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A1" w:rsidRDefault="001152A1" w:rsidP="001152A1">
      <w:pPr>
        <w:spacing w:line="240" w:lineRule="auto"/>
        <w:rPr>
          <w:sz w:val="2"/>
        </w:rPr>
        <w:sectPr w:rsidR="001152A1" w:rsidSect="001152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</w:p>
    <w:p w:rsidR="001152A1" w:rsidRDefault="001152A1" w:rsidP="001152A1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1152A1" w:rsidRDefault="001152A1" w:rsidP="001152A1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6D6006" w:rsidRPr="006D6006" w:rsidRDefault="006D6006" w:rsidP="006D60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6D6006">
        <w:rPr>
          <w:lang w:val="fr-FR"/>
        </w:rPr>
        <w:t>Groupe de travail du transport des denrées pé</w:t>
      </w:r>
      <w:bookmarkStart w:id="1" w:name="_GoBack"/>
      <w:bookmarkEnd w:id="1"/>
      <w:r w:rsidRPr="006D6006">
        <w:rPr>
          <w:lang w:val="fr-FR"/>
        </w:rPr>
        <w:t>rissables</w:t>
      </w:r>
    </w:p>
    <w:p w:rsidR="006D6006" w:rsidRPr="006D6006" w:rsidRDefault="006D6006" w:rsidP="006D6006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  <w:lang w:val="fr-FR"/>
        </w:rPr>
      </w:pPr>
    </w:p>
    <w:p w:rsidR="006D6006" w:rsidRPr="006D6006" w:rsidRDefault="006D6006" w:rsidP="006D60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6D6006">
        <w:rPr>
          <w:lang w:val="fr-FR"/>
        </w:rPr>
        <w:t>Soixante et onzième session</w:t>
      </w:r>
    </w:p>
    <w:p w:rsidR="006D6006" w:rsidRPr="006D6006" w:rsidRDefault="006D6006" w:rsidP="006D600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6D6006">
        <w:rPr>
          <w:lang w:val="fr-FR"/>
        </w:rPr>
        <w:t>Genève, 6-9 octobre 2015</w:t>
      </w:r>
    </w:p>
    <w:p w:rsidR="006D6006" w:rsidRPr="006D6006" w:rsidRDefault="006D6006" w:rsidP="006D600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FR"/>
        </w:rPr>
      </w:pPr>
      <w:r w:rsidRPr="006D6006">
        <w:rPr>
          <w:lang w:val="fr-FR"/>
        </w:rPr>
        <w:t>Point 5 b) de l’ordre du jour provisoire</w:t>
      </w:r>
    </w:p>
    <w:p w:rsidR="006D6006" w:rsidRPr="006D6006" w:rsidRDefault="006D6006" w:rsidP="006D600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  <w:lang w:val="fr-FR"/>
        </w:rPr>
      </w:pPr>
      <w:r w:rsidRPr="006D6006">
        <w:rPr>
          <w:lang w:val="fr-FR"/>
        </w:rPr>
        <w:t>Propositions d’amendements à l’ATP</w:t>
      </w:r>
      <w:r w:rsidR="003736E3">
        <w:rPr>
          <w:lang w:val="fr-FR"/>
        </w:rPr>
        <w:t> :</w:t>
      </w:r>
      <w:r w:rsidRPr="006D6006">
        <w:rPr>
          <w:lang w:val="fr-FR"/>
        </w:rPr>
        <w:t xml:space="preserve"> nouvelles propositions</w:t>
      </w:r>
    </w:p>
    <w:p w:rsidR="006D6006" w:rsidRPr="006D6006" w:rsidRDefault="006D6006" w:rsidP="006D6006">
      <w:pPr>
        <w:pStyle w:val="SingleTxt"/>
        <w:spacing w:after="0" w:line="120" w:lineRule="exact"/>
        <w:rPr>
          <w:sz w:val="10"/>
          <w:lang w:val="fr-FR"/>
        </w:rPr>
      </w:pPr>
    </w:p>
    <w:p w:rsidR="006D6006" w:rsidRPr="006D6006" w:rsidRDefault="006D6006" w:rsidP="006D6006">
      <w:pPr>
        <w:pStyle w:val="SingleTxt"/>
        <w:spacing w:after="0" w:line="120" w:lineRule="exact"/>
        <w:rPr>
          <w:sz w:val="10"/>
          <w:lang w:val="fr-FR"/>
        </w:rPr>
      </w:pPr>
    </w:p>
    <w:p w:rsidR="006D6006" w:rsidRPr="006D6006" w:rsidRDefault="006D6006" w:rsidP="006D60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  <w:lang w:val="fr-FR"/>
        </w:rPr>
      </w:pPr>
      <w:r w:rsidRPr="006D6006">
        <w:rPr>
          <w:lang w:val="fr-FR"/>
        </w:rPr>
        <w:tab/>
      </w:r>
      <w:r w:rsidRPr="006D6006">
        <w:rPr>
          <w:lang w:val="fr-FR"/>
        </w:rPr>
        <w:tab/>
        <w:t xml:space="preserve">Propositions diverses de modifications d’ordre </w:t>
      </w:r>
      <w:r>
        <w:rPr>
          <w:lang w:val="fr-FR"/>
        </w:rPr>
        <w:br/>
      </w:r>
      <w:r w:rsidRPr="006D6006">
        <w:rPr>
          <w:lang w:val="fr-FR"/>
        </w:rPr>
        <w:t>rédactionnel</w:t>
      </w:r>
    </w:p>
    <w:p w:rsidR="006D6006" w:rsidRPr="006D6006" w:rsidRDefault="006D6006" w:rsidP="006D6006">
      <w:pPr>
        <w:pStyle w:val="SingleTxt"/>
        <w:spacing w:after="0" w:line="120" w:lineRule="exact"/>
        <w:rPr>
          <w:b/>
          <w:sz w:val="10"/>
          <w:lang w:val="fr-FR"/>
        </w:rPr>
      </w:pPr>
    </w:p>
    <w:p w:rsidR="006D6006" w:rsidRPr="006D6006" w:rsidRDefault="006D6006" w:rsidP="006D6006">
      <w:pPr>
        <w:pStyle w:val="SingleTxt"/>
        <w:spacing w:after="0" w:line="120" w:lineRule="exact"/>
        <w:rPr>
          <w:b/>
          <w:sz w:val="10"/>
          <w:lang w:val="fr-FR"/>
        </w:rPr>
      </w:pPr>
    </w:p>
    <w:p w:rsidR="006D6006" w:rsidRDefault="006D6006" w:rsidP="006D600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FR"/>
        </w:rPr>
      </w:pPr>
      <w:r w:rsidRPr="006D6006">
        <w:rPr>
          <w:lang w:val="fr-FR"/>
        </w:rPr>
        <w:tab/>
      </w:r>
      <w:r w:rsidRPr="006D6006">
        <w:rPr>
          <w:lang w:val="fr-FR"/>
        </w:rPr>
        <w:tab/>
        <w:t>Note du secrétariat</w:t>
      </w:r>
    </w:p>
    <w:p w:rsidR="006D6006" w:rsidRPr="006D6006" w:rsidRDefault="006D6006" w:rsidP="006D6006">
      <w:pPr>
        <w:pStyle w:val="SingleTxt"/>
        <w:spacing w:after="0" w:line="120" w:lineRule="exact"/>
        <w:rPr>
          <w:b/>
          <w:sz w:val="10"/>
          <w:lang w:val="fr-FR"/>
        </w:rPr>
      </w:pPr>
    </w:p>
    <w:p w:rsidR="006D6006" w:rsidRPr="006D6006" w:rsidRDefault="006D6006" w:rsidP="006D6006">
      <w:pPr>
        <w:pStyle w:val="SingleTxt"/>
        <w:spacing w:after="0" w:line="120" w:lineRule="exact"/>
        <w:rPr>
          <w:b/>
          <w:sz w:val="10"/>
          <w:lang w:val="fr-FR"/>
        </w:rPr>
      </w:pP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>À la soixante-dixième session du WP.11, en octobre 2014, le secrétariat a été prié de soumettre une version révisée du document ECE/TRANS/WP.11/2014/3 à la session suivante du Groupe de travail, en tenant compte des observations formulées par les délégations. Le texte révisé établi comme suite à cette demande figure ci-après.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>Au paragraphe 1 de l’appendice 1 de l’annexe 1, le s</w:t>
      </w:r>
      <w:r w:rsidR="00EA43A2">
        <w:rPr>
          <w:lang w:val="fr-FR"/>
        </w:rPr>
        <w:t>ecrétariat propose que l’alinéa </w:t>
      </w:r>
      <w:r w:rsidRPr="00EA43A2">
        <w:rPr>
          <w:lang w:val="fr-FR"/>
        </w:rPr>
        <w:t>b</w:t>
      </w:r>
      <w:r w:rsidR="00EA43A2">
        <w:rPr>
          <w:lang w:val="fr-FR"/>
        </w:rPr>
        <w:t>)</w:t>
      </w:r>
      <w:r w:rsidRPr="006D6006">
        <w:rPr>
          <w:lang w:val="fr-FR"/>
        </w:rPr>
        <w:t xml:space="preserve"> se lise comme suit dans la version anglaise</w:t>
      </w:r>
      <w:r w:rsidR="003736E3">
        <w:rPr>
          <w:lang w:val="fr-FR"/>
        </w:rPr>
        <w:t> :</w:t>
      </w:r>
      <w:r w:rsidRPr="006D6006">
        <w:rPr>
          <w:lang w:val="fr-FR"/>
        </w:rPr>
        <w:t xml:space="preserve">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(b) </w:t>
      </w:r>
      <w:proofErr w:type="spellStart"/>
      <w:r w:rsidRPr="006D6006">
        <w:rPr>
          <w:lang w:val="fr-FR"/>
        </w:rPr>
        <w:t>periodically</w:t>
      </w:r>
      <w:proofErr w:type="spellEnd"/>
      <w:r w:rsidRPr="006D6006">
        <w:rPr>
          <w:lang w:val="fr-FR"/>
        </w:rPr>
        <w:t xml:space="preserve">, at least once </w:t>
      </w:r>
      <w:proofErr w:type="spellStart"/>
      <w:r w:rsidRPr="006D6006">
        <w:rPr>
          <w:lang w:val="fr-FR"/>
        </w:rPr>
        <w:t>every</w:t>
      </w:r>
      <w:proofErr w:type="spellEnd"/>
      <w:r w:rsidRPr="006D6006">
        <w:rPr>
          <w:lang w:val="fr-FR"/>
        </w:rPr>
        <w:t xml:space="preserve"> six </w:t>
      </w:r>
      <w:proofErr w:type="spellStart"/>
      <w:r w:rsidRPr="006D6006">
        <w:rPr>
          <w:lang w:val="fr-FR"/>
        </w:rPr>
        <w:t>years</w:t>
      </w:r>
      <w:proofErr w:type="spellEnd"/>
      <w:r w:rsidRPr="006D6006">
        <w:rPr>
          <w:lang w:val="fr-FR"/>
        </w:rPr>
        <w:t xml:space="preserve">; and ». L’ajout de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and » (et), qui figure déjà dans la version française, permet d’indiquer clairement que les alinéas </w:t>
      </w:r>
      <w:r w:rsidR="00EA43A2">
        <w:rPr>
          <w:lang w:val="fr-FR"/>
        </w:rPr>
        <w:t>a)</w:t>
      </w:r>
      <w:r w:rsidRPr="006D6006">
        <w:rPr>
          <w:lang w:val="fr-FR"/>
        </w:rPr>
        <w:t xml:space="preserve">, </w:t>
      </w:r>
      <w:r w:rsidR="00EA43A2" w:rsidRPr="00EA43A2">
        <w:rPr>
          <w:lang w:val="fr-FR"/>
        </w:rPr>
        <w:t>b</w:t>
      </w:r>
      <w:r w:rsidR="00EA43A2">
        <w:rPr>
          <w:lang w:val="fr-FR"/>
        </w:rPr>
        <w:t>)</w:t>
      </w:r>
      <w:r w:rsidRPr="006D6006">
        <w:rPr>
          <w:lang w:val="fr-FR"/>
        </w:rPr>
        <w:t xml:space="preserve"> et </w:t>
      </w:r>
      <w:r w:rsidRPr="00EA43A2">
        <w:rPr>
          <w:lang w:val="fr-FR"/>
        </w:rPr>
        <w:t>c</w:t>
      </w:r>
      <w:r w:rsidR="00EA43A2">
        <w:rPr>
          <w:lang w:val="fr-FR"/>
        </w:rPr>
        <w:t>)</w:t>
      </w:r>
      <w:r w:rsidRPr="006D6006">
        <w:rPr>
          <w:lang w:val="fr-FR"/>
        </w:rPr>
        <w:t xml:space="preserve"> sont tous obligatoires et qu’il ne s’agit pas d’options. Cette correction doit aussi être apportée au texte russe.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>La dernière phrase du paragraphe 6.4 (Points de mesure de la température) se lit comme suit</w:t>
      </w:r>
      <w:r w:rsidR="003736E3">
        <w:rPr>
          <w:lang w:val="fr-FR"/>
        </w:rPr>
        <w:t> :</w:t>
      </w:r>
      <w:r w:rsidRPr="006D6006">
        <w:rPr>
          <w:lang w:val="fr-FR"/>
        </w:rPr>
        <w:t xml:space="preserve">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Le dernier relevé devrait provenir du point le plus chaud à l’intérieur de la caisse et du point le plus froid à l’extérieur. ». Le secrétariat propose de remplacer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devrait » par </w:t>
      </w:r>
      <w:r w:rsidR="00EA43A2">
        <w:rPr>
          <w:lang w:val="fr-FR"/>
        </w:rPr>
        <w:t>« </w:t>
      </w:r>
      <w:r w:rsidRPr="006D6006">
        <w:rPr>
          <w:lang w:val="fr-FR"/>
        </w:rPr>
        <w:t>doit » afin que cette disposition constitue une obligation plutôt qu’une recommandation.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>Le modèle de procès-verbal d’essai n</w:t>
      </w:r>
      <w:r w:rsidRPr="006D6006">
        <w:rPr>
          <w:vertAlign w:val="superscript"/>
          <w:lang w:val="fr-FR"/>
        </w:rPr>
        <w:t>o</w:t>
      </w:r>
      <w:r w:rsidRPr="00EA43A2">
        <w:rPr>
          <w:lang w:val="fr-FR"/>
        </w:rPr>
        <w:t> </w:t>
      </w:r>
      <w:r w:rsidRPr="006D6006">
        <w:rPr>
          <w:lang w:val="fr-FR"/>
        </w:rPr>
        <w:t>3 (Contrôle de l’</w:t>
      </w:r>
      <w:proofErr w:type="spellStart"/>
      <w:r w:rsidRPr="006D6006">
        <w:rPr>
          <w:lang w:val="fr-FR"/>
        </w:rPr>
        <w:t>isothermie</w:t>
      </w:r>
      <w:proofErr w:type="spellEnd"/>
      <w:r w:rsidRPr="006D6006">
        <w:rPr>
          <w:lang w:val="fr-FR"/>
        </w:rPr>
        <w:t xml:space="preserve"> des engins en service effectué sur le terrain par les experts conformément à la section 5 de l’appendice 2 de l’annexe 1 de l’ATP) fait référence à un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expert de la station expérimentale agréée ». De l’avis du secrétariat, on devrait plutôt lire </w:t>
      </w:r>
      <w:r w:rsidR="00EA43A2">
        <w:rPr>
          <w:lang w:val="fr-FR"/>
        </w:rPr>
        <w:t>« </w:t>
      </w:r>
      <w:r w:rsidRPr="006D6006">
        <w:rPr>
          <w:lang w:val="fr-FR"/>
        </w:rPr>
        <w:t>la station expérimentale agréée/l’expert » comme c’est le cas pour les contrôles relevant des modèles n</w:t>
      </w:r>
      <w:r w:rsidRPr="006D6006">
        <w:rPr>
          <w:vertAlign w:val="superscript"/>
          <w:lang w:val="fr-FR"/>
        </w:rPr>
        <w:t>os</w:t>
      </w:r>
      <w:r w:rsidRPr="006D6006">
        <w:rPr>
          <w:lang w:val="fr-FR"/>
        </w:rPr>
        <w:t> 7, 8 et 9.</w:t>
      </w:r>
    </w:p>
    <w:p w:rsidR="006D6006" w:rsidRPr="006D6006" w:rsidRDefault="006D6006" w:rsidP="00EA43A2">
      <w:pPr>
        <w:pStyle w:val="SingleTxt"/>
        <w:keepLines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lastRenderedPageBreak/>
        <w:t>La note de bas de page 10 relative au modèle de formule d’attestation de conformité, à l’appendice 3 de l’annexe 1, se lit comme suit</w:t>
      </w:r>
      <w:r w:rsidR="003736E3">
        <w:rPr>
          <w:lang w:val="fr-FR"/>
        </w:rPr>
        <w:t> :</w:t>
      </w:r>
      <w:r w:rsidRPr="006D6006">
        <w:rPr>
          <w:lang w:val="fr-FR"/>
        </w:rPr>
        <w:t xml:space="preserve">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Dans le cas où les </w:t>
      </w:r>
      <w:r w:rsidRPr="00EA43A2">
        <w:rPr>
          <w:spacing w:val="2"/>
          <w:lang w:val="fr-FR"/>
        </w:rPr>
        <w:t xml:space="preserve">puissances ont été mesurées selon les dispositions du </w:t>
      </w:r>
      <w:r w:rsidR="00EA43A2">
        <w:rPr>
          <w:spacing w:val="2"/>
          <w:lang w:val="fr-FR"/>
        </w:rPr>
        <w:t>paragraphe 3.2.7 de l’appendice </w:t>
      </w:r>
      <w:r w:rsidRPr="00EA43A2">
        <w:rPr>
          <w:spacing w:val="2"/>
          <w:lang w:val="fr-FR"/>
        </w:rPr>
        <w:t>2</w:t>
      </w:r>
      <w:r w:rsidRPr="006D6006">
        <w:rPr>
          <w:lang w:val="fr-FR"/>
        </w:rPr>
        <w:t xml:space="preserve"> de la présente annexe. ». Le secrétariat se demande si le renvoi au paragraphe</w:t>
      </w:r>
      <w:r w:rsidR="00EA43A2">
        <w:rPr>
          <w:lang w:val="fr-FR"/>
        </w:rPr>
        <w:t> </w:t>
      </w:r>
      <w:r w:rsidRPr="006D6006">
        <w:rPr>
          <w:lang w:val="fr-FR"/>
        </w:rPr>
        <w:t>3.2.7 est exact. À la soixante-dixième session du WP.11, le représentant de l’Allemagne a déclaré que ce renvoi était erroné. Le WP.11 est invité à déterminer le paragraphe auquel il faudrait renvoyer.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 xml:space="preserve">Dans la version anglaise, à l’appendice 1 de l’annexe 2, remplacer le titre actuel par </w:t>
      </w:r>
      <w:r w:rsidR="00EA43A2">
        <w:rPr>
          <w:lang w:val="fr-FR"/>
        </w:rPr>
        <w:t>« </w:t>
      </w:r>
      <w:r w:rsidRPr="006D6006">
        <w:rPr>
          <w:lang w:val="fr-FR"/>
        </w:rPr>
        <w:t>MONITORING OF AIR TEMPERATURE FOR TRANSPORT OF QUICK-FROZEN PERISHABLE FOODSTUFFS ».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EA43A2">
        <w:rPr>
          <w:spacing w:val="2"/>
          <w:lang w:val="fr-FR"/>
        </w:rPr>
        <w:t>Dans la version française, au troisième paragrap</w:t>
      </w:r>
      <w:r w:rsidR="00EA43A2">
        <w:rPr>
          <w:spacing w:val="2"/>
          <w:lang w:val="fr-FR"/>
        </w:rPr>
        <w:t>he de l’appendice 1 de l’annexe </w:t>
      </w:r>
      <w:r w:rsidRPr="00EA43A2">
        <w:rPr>
          <w:spacing w:val="2"/>
          <w:lang w:val="fr-FR"/>
        </w:rPr>
        <w:t>2</w:t>
      </w:r>
      <w:r w:rsidRPr="006D6006">
        <w:rPr>
          <w:lang w:val="fr-FR"/>
        </w:rPr>
        <w:t xml:space="preserve">, remplacer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conformes aux normes » par </w:t>
      </w:r>
      <w:r w:rsidR="00EA43A2">
        <w:rPr>
          <w:lang w:val="fr-FR"/>
        </w:rPr>
        <w:t>« </w:t>
      </w:r>
      <w:r w:rsidRPr="006D6006">
        <w:rPr>
          <w:lang w:val="fr-FR"/>
        </w:rPr>
        <w:t>conforme à la norme ».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 xml:space="preserve">Dans la version anglaise, à l’annexe 3, dans la note de bas de page 2 relative à la liste de denrées, remplacer </w:t>
      </w:r>
      <w:r w:rsidR="00EA43A2">
        <w:rPr>
          <w:lang w:val="fr-FR"/>
        </w:rPr>
        <w:t>« </w:t>
      </w:r>
      <w:proofErr w:type="spellStart"/>
      <w:r w:rsidRPr="006D6006">
        <w:rPr>
          <w:lang w:val="fr-FR"/>
        </w:rPr>
        <w:t>Any</w:t>
      </w:r>
      <w:proofErr w:type="spellEnd"/>
      <w:r w:rsidRPr="006D6006">
        <w:rPr>
          <w:lang w:val="fr-FR"/>
        </w:rPr>
        <w:t xml:space="preserve"> </w:t>
      </w:r>
      <w:proofErr w:type="spellStart"/>
      <w:r w:rsidRPr="006D6006">
        <w:rPr>
          <w:lang w:val="fr-FR"/>
        </w:rPr>
        <w:t>preparations</w:t>
      </w:r>
      <w:proofErr w:type="spellEnd"/>
      <w:r w:rsidRPr="006D6006">
        <w:rPr>
          <w:lang w:val="fr-FR"/>
        </w:rPr>
        <w:t xml:space="preserve"> </w:t>
      </w:r>
      <w:proofErr w:type="spellStart"/>
      <w:r w:rsidRPr="006D6006">
        <w:rPr>
          <w:lang w:val="fr-FR"/>
        </w:rPr>
        <w:t>thereof</w:t>
      </w:r>
      <w:proofErr w:type="spellEnd"/>
      <w:r w:rsidRPr="006D6006">
        <w:rPr>
          <w:lang w:val="fr-FR"/>
        </w:rPr>
        <w:t xml:space="preserve"> » par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And </w:t>
      </w:r>
      <w:proofErr w:type="spellStart"/>
      <w:r w:rsidRPr="006D6006">
        <w:rPr>
          <w:lang w:val="fr-FR"/>
        </w:rPr>
        <w:t>preparations</w:t>
      </w:r>
      <w:proofErr w:type="spellEnd"/>
      <w:r w:rsidRPr="006D6006">
        <w:rPr>
          <w:lang w:val="fr-FR"/>
        </w:rPr>
        <w:t xml:space="preserve"> </w:t>
      </w:r>
      <w:proofErr w:type="spellStart"/>
      <w:r w:rsidRPr="006D6006">
        <w:rPr>
          <w:lang w:val="fr-FR"/>
        </w:rPr>
        <w:t>thereof</w:t>
      </w:r>
      <w:proofErr w:type="spellEnd"/>
      <w:r w:rsidRPr="006D6006">
        <w:rPr>
          <w:lang w:val="fr-FR"/>
        </w:rPr>
        <w:t> » par souci de cohérence avec le français et pour s’assurer que cette note sera bien interprétée.</w:t>
      </w:r>
    </w:p>
    <w:p w:rsidR="006D6006" w:rsidRPr="006D6006" w:rsidRDefault="006D6006" w:rsidP="006D6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FR"/>
        </w:rPr>
      </w:pPr>
      <w:r w:rsidRPr="006D6006">
        <w:rPr>
          <w:lang w:val="fr-FR"/>
        </w:rPr>
        <w:t>L’ATP ne contient plus d’indications concernant le modèle de procès-verbal à utiliser pour chaque essai. Celles-ci ont été remplacées par la section 8 (Procès-verbaux d’essai), qui est libellée comme suit</w:t>
      </w:r>
      <w:r w:rsidR="003736E3">
        <w:rPr>
          <w:lang w:val="fr-FR"/>
        </w:rPr>
        <w:t> :</w:t>
      </w:r>
      <w:r w:rsidRPr="006D6006">
        <w:rPr>
          <w:lang w:val="fr-FR"/>
        </w:rPr>
        <w:t xml:space="preserve"> </w:t>
      </w:r>
      <w:r w:rsidR="00EA43A2">
        <w:rPr>
          <w:lang w:val="fr-FR"/>
        </w:rPr>
        <w:t>« </w:t>
      </w:r>
      <w:r w:rsidRPr="006D6006">
        <w:rPr>
          <w:lang w:val="fr-FR"/>
        </w:rPr>
        <w:t xml:space="preserve">Un procès-verbal du type approprié pour l’engin contrôlé doit être établi pour chaque essai </w:t>
      </w:r>
      <w:r w:rsidR="00EA43A2">
        <w:rPr>
          <w:lang w:val="fr-FR"/>
        </w:rPr>
        <w:t>conformément à l’un des modèles </w:t>
      </w:r>
      <w:r w:rsidRPr="006D6006">
        <w:rPr>
          <w:lang w:val="fr-FR"/>
        </w:rPr>
        <w:t xml:space="preserve">1 à 10 ci-après. ». Cette modification a été apportée </w:t>
      </w:r>
      <w:r w:rsidR="00EA43A2">
        <w:rPr>
          <w:lang w:val="fr-FR"/>
        </w:rPr>
        <w:t>lors de la révision de l’annexe </w:t>
      </w:r>
      <w:r w:rsidRPr="006D6006">
        <w:rPr>
          <w:lang w:val="fr-FR"/>
        </w:rPr>
        <w:t>1. Le secrétariat se demande s’il serait utile de réintroduire les indications en question. Dans les versions antérieures de l’ATP, après chaque section relative à un essai, il était indiqué quels procès-verbaux étaient exigés, par exemple</w:t>
      </w:r>
      <w:r w:rsidR="003736E3">
        <w:rPr>
          <w:lang w:val="fr-FR"/>
        </w:rPr>
        <w:t> :</w:t>
      </w:r>
    </w:p>
    <w:p w:rsidR="006D6006" w:rsidRPr="006D6006" w:rsidRDefault="00EA43A2" w:rsidP="006D6006">
      <w:pPr>
        <w:pStyle w:val="SingleTxt"/>
        <w:rPr>
          <w:lang w:val="fr-FR"/>
        </w:rPr>
      </w:pPr>
      <w:r>
        <w:rPr>
          <w:lang w:val="fr-FR"/>
        </w:rPr>
        <w:t>« iii)</w:t>
      </w:r>
      <w:r>
        <w:rPr>
          <w:lang w:val="fr-FR"/>
        </w:rPr>
        <w:tab/>
      </w:r>
      <w:r w:rsidR="006D6006" w:rsidRPr="006D6006">
        <w:rPr>
          <w:lang w:val="fr-FR"/>
        </w:rPr>
        <w:t>Procès-verbaux d’essai</w:t>
      </w:r>
    </w:p>
    <w:p w:rsidR="001152A1" w:rsidRDefault="006D6006" w:rsidP="006D6006">
      <w:pPr>
        <w:pStyle w:val="SingleTxt"/>
        <w:rPr>
          <w:lang w:val="fr-FR"/>
        </w:rPr>
      </w:pPr>
      <w:r w:rsidRPr="006D6006">
        <w:rPr>
          <w:lang w:val="fr-FR"/>
        </w:rPr>
        <w:t xml:space="preserve">Chaque essai d’engin donnera lieu à l’établissement d’un procès-verbal composé d’une </w:t>
      </w:r>
      <w:r w:rsidR="003736E3">
        <w:rPr>
          <w:lang w:val="fr-FR"/>
        </w:rPr>
        <w:t>p</w:t>
      </w:r>
      <w:r w:rsidRPr="006D6006">
        <w:rPr>
          <w:lang w:val="fr-FR"/>
        </w:rPr>
        <w:t xml:space="preserve">artie 1, conforme au modèle </w:t>
      </w:r>
      <w:r w:rsidR="00EA43A2">
        <w:rPr>
          <w:lang w:val="fr-FR"/>
        </w:rPr>
        <w:t>n</w:t>
      </w:r>
      <w:r w:rsidR="00EA43A2" w:rsidRPr="00EA43A2">
        <w:rPr>
          <w:vertAlign w:val="superscript"/>
          <w:lang w:val="fr-FR"/>
        </w:rPr>
        <w:t>o</w:t>
      </w:r>
      <w:r w:rsidR="00EA43A2">
        <w:rPr>
          <w:lang w:val="fr-FR"/>
        </w:rPr>
        <w:t> </w:t>
      </w:r>
      <w:r w:rsidRPr="006D6006">
        <w:rPr>
          <w:lang w:val="fr-FR"/>
        </w:rPr>
        <w:t xml:space="preserve">l A ou </w:t>
      </w:r>
      <w:proofErr w:type="spellStart"/>
      <w:r w:rsidRPr="006D6006">
        <w:rPr>
          <w:lang w:val="fr-FR"/>
        </w:rPr>
        <w:t>l</w:t>
      </w:r>
      <w:proofErr w:type="spellEnd"/>
      <w:r w:rsidRPr="006D6006">
        <w:rPr>
          <w:lang w:val="fr-FR"/>
        </w:rPr>
        <w:t xml:space="preserve"> B ci-après, et d’une </w:t>
      </w:r>
      <w:r w:rsidR="00EA43A2">
        <w:rPr>
          <w:lang w:val="fr-FR"/>
        </w:rPr>
        <w:t>p</w:t>
      </w:r>
      <w:r w:rsidRPr="006D6006">
        <w:rPr>
          <w:lang w:val="fr-FR"/>
        </w:rPr>
        <w:t xml:space="preserve">artie 2, conforme au modèle </w:t>
      </w:r>
      <w:r w:rsidR="00EA43A2">
        <w:rPr>
          <w:lang w:val="fr-FR"/>
        </w:rPr>
        <w:t>n</w:t>
      </w:r>
      <w:r w:rsidR="00EA43A2" w:rsidRPr="00EA43A2">
        <w:rPr>
          <w:vertAlign w:val="superscript"/>
          <w:lang w:val="fr-FR"/>
        </w:rPr>
        <w:t>o</w:t>
      </w:r>
      <w:r w:rsidR="00EA43A2">
        <w:rPr>
          <w:lang w:val="fr-FR"/>
        </w:rPr>
        <w:t> </w:t>
      </w:r>
      <w:r w:rsidR="00EA43A2" w:rsidRPr="006D6006">
        <w:rPr>
          <w:lang w:val="fr-FR"/>
        </w:rPr>
        <w:t xml:space="preserve"> </w:t>
      </w:r>
      <w:r w:rsidRPr="006D6006">
        <w:rPr>
          <w:lang w:val="fr-FR"/>
        </w:rPr>
        <w:t>2 A ou 2 B ci-après. ».</w:t>
      </w:r>
    </w:p>
    <w:p w:rsidR="00EA43A2" w:rsidRPr="00EA43A2" w:rsidRDefault="00EA43A2" w:rsidP="00EA43A2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A43A2" w:rsidRPr="00EA43A2" w:rsidSect="001152A1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2T16:44:00Z" w:initials="Start">
    <w:p w:rsidR="001152A1" w:rsidRDefault="001152A1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NO&gt;&gt;N1516614F&lt;&lt;ODS JOB NO&gt;&gt;</w:t>
      </w:r>
    </w:p>
    <w:p w:rsidR="001152A1" w:rsidRDefault="001152A1">
      <w:pPr>
        <w:pStyle w:val="CommentText"/>
      </w:pPr>
      <w:r>
        <w:t>&lt;&lt;ODS DOC SYMBOL1&gt;&gt;ECE/TRANS/WP.11/2015/5&lt;&lt;ODS DOC SYMBOL1&gt;&gt;</w:t>
      </w:r>
    </w:p>
    <w:p w:rsidR="001152A1" w:rsidRDefault="001152A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8C" w:rsidRDefault="00FB488C" w:rsidP="00F3330B">
      <w:pPr>
        <w:spacing w:line="240" w:lineRule="auto"/>
      </w:pPr>
      <w:r>
        <w:separator/>
      </w:r>
    </w:p>
  </w:endnote>
  <w:endnote w:type="continuationSeparator" w:id="0">
    <w:p w:rsidR="00FB488C" w:rsidRDefault="00FB488C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152A1" w:rsidTr="001152A1">
      <w:trPr>
        <w:jc w:val="center"/>
      </w:trPr>
      <w:tc>
        <w:tcPr>
          <w:tcW w:w="5126" w:type="dxa"/>
          <w:shd w:val="clear" w:color="auto" w:fill="auto"/>
        </w:tcPr>
        <w:p w:rsidR="001152A1" w:rsidRPr="001152A1" w:rsidRDefault="001152A1" w:rsidP="001152A1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4334">
            <w:rPr>
              <w:b w:val="0"/>
              <w:w w:val="103"/>
              <w:sz w:val="14"/>
            </w:rPr>
            <w:t>GE.15-12631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152A1" w:rsidRPr="001152A1" w:rsidRDefault="001152A1" w:rsidP="001152A1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A433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A433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1152A1" w:rsidRPr="001152A1" w:rsidRDefault="001152A1" w:rsidP="00115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152A1" w:rsidTr="001152A1">
      <w:trPr>
        <w:jc w:val="center"/>
      </w:trPr>
      <w:tc>
        <w:tcPr>
          <w:tcW w:w="5126" w:type="dxa"/>
          <w:shd w:val="clear" w:color="auto" w:fill="auto"/>
        </w:tcPr>
        <w:p w:rsidR="001152A1" w:rsidRPr="001152A1" w:rsidRDefault="001152A1" w:rsidP="001152A1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F9769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FA4334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1152A1" w:rsidRPr="001152A1" w:rsidRDefault="001152A1" w:rsidP="001152A1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FA4334">
            <w:rPr>
              <w:b w:val="0"/>
              <w:w w:val="103"/>
              <w:sz w:val="14"/>
            </w:rPr>
            <w:t>GE.15-12631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1152A1" w:rsidRPr="001152A1" w:rsidRDefault="001152A1" w:rsidP="001152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A1" w:rsidRDefault="001152A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106AB5" wp14:editId="6BDA5F6B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1/2015/5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1/2015/5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1152A1" w:rsidTr="001152A1">
      <w:tc>
        <w:tcPr>
          <w:tcW w:w="3859" w:type="dxa"/>
        </w:tcPr>
        <w:p w:rsidR="001152A1" w:rsidRDefault="001152A1" w:rsidP="001152A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FA4334">
            <w:rPr>
              <w:b w:val="0"/>
              <w:sz w:val="20"/>
            </w:rPr>
            <w:t>GE.15-12631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220915    220915</w:t>
          </w:r>
        </w:p>
        <w:p w:rsidR="001152A1" w:rsidRPr="001152A1" w:rsidRDefault="001152A1" w:rsidP="001152A1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FA4334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*1512631*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1152A1" w:rsidRDefault="001152A1" w:rsidP="001152A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38B7885" wp14:editId="089B485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52A1" w:rsidRPr="001152A1" w:rsidRDefault="001152A1" w:rsidP="001152A1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8C" w:rsidRPr="003E47D8" w:rsidRDefault="00FB488C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  <w:footnote w:type="continuationSeparator" w:id="0">
    <w:p w:rsidR="00FB488C" w:rsidRPr="003E47D8" w:rsidRDefault="00FB488C" w:rsidP="003E47D8">
      <w:pPr>
        <w:pStyle w:val="Footer"/>
        <w:spacing w:after="80"/>
        <w:rPr>
          <w:sz w:val="16"/>
        </w:rPr>
      </w:pPr>
      <w:r w:rsidRPr="003E47D8"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152A1" w:rsidTr="001152A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152A1" w:rsidRPr="001152A1" w:rsidRDefault="001152A1" w:rsidP="001152A1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4334">
            <w:rPr>
              <w:b/>
              <w:color w:val="000000"/>
            </w:rPr>
            <w:t>ECE/TRANS/WP.11/2015/5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152A1" w:rsidRDefault="001152A1" w:rsidP="001152A1">
          <w:pPr>
            <w:pStyle w:val="Header"/>
          </w:pPr>
        </w:p>
      </w:tc>
    </w:tr>
  </w:tbl>
  <w:p w:rsidR="001152A1" w:rsidRPr="001152A1" w:rsidRDefault="001152A1" w:rsidP="001152A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152A1" w:rsidTr="001152A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152A1" w:rsidRDefault="001152A1" w:rsidP="001152A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152A1" w:rsidRPr="001152A1" w:rsidRDefault="001152A1" w:rsidP="001152A1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FA4334">
            <w:rPr>
              <w:b/>
              <w:color w:val="000000"/>
            </w:rPr>
            <w:t>ECE/TRANS/WP.11/2015/5</w:t>
          </w:r>
          <w:r>
            <w:rPr>
              <w:b/>
              <w:color w:val="000000"/>
            </w:rPr>
            <w:fldChar w:fldCharType="end"/>
          </w:r>
        </w:p>
      </w:tc>
    </w:tr>
  </w:tbl>
  <w:p w:rsidR="001152A1" w:rsidRPr="001152A1" w:rsidRDefault="001152A1" w:rsidP="001152A1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1152A1" w:rsidTr="001152A1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152A1" w:rsidRDefault="001152A1" w:rsidP="001152A1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152A1" w:rsidRPr="001152A1" w:rsidRDefault="001152A1" w:rsidP="001152A1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152A1" w:rsidRDefault="001152A1" w:rsidP="001152A1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1152A1" w:rsidRPr="001152A1" w:rsidRDefault="001152A1" w:rsidP="001152A1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/TRANS/WP.11/2015/5</w:t>
          </w:r>
        </w:p>
      </w:tc>
    </w:tr>
    <w:tr w:rsidR="001152A1" w:rsidRPr="001152A1" w:rsidTr="001152A1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52A1" w:rsidRPr="001152A1" w:rsidRDefault="001152A1" w:rsidP="001152A1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27D169B" wp14:editId="63D90136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52A1" w:rsidRPr="001152A1" w:rsidRDefault="001152A1" w:rsidP="001152A1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52A1" w:rsidRPr="001152A1" w:rsidRDefault="001152A1" w:rsidP="001152A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152A1" w:rsidRDefault="001152A1" w:rsidP="001152A1">
          <w:pPr>
            <w:pStyle w:val="Distribution"/>
            <w:rPr>
              <w:color w:val="000000"/>
            </w:rPr>
          </w:pPr>
          <w:r>
            <w:rPr>
              <w:color w:val="000000"/>
            </w:rPr>
            <w:t xml:space="preserve">Distr. </w:t>
          </w:r>
          <w:proofErr w:type="spellStart"/>
          <w:r>
            <w:rPr>
              <w:color w:val="000000"/>
            </w:rPr>
            <w:t>générale</w:t>
          </w:r>
          <w:proofErr w:type="spellEnd"/>
        </w:p>
        <w:p w:rsidR="001152A1" w:rsidRDefault="001152A1" w:rsidP="001152A1">
          <w:pPr>
            <w:pStyle w:val="Publication"/>
            <w:rPr>
              <w:color w:val="000000"/>
            </w:rPr>
          </w:pPr>
          <w:r>
            <w:rPr>
              <w:color w:val="000000"/>
            </w:rPr>
            <w:t xml:space="preserve">27 </w:t>
          </w:r>
          <w:proofErr w:type="spellStart"/>
          <w:r>
            <w:rPr>
              <w:color w:val="000000"/>
            </w:rPr>
            <w:t>juillet</w:t>
          </w:r>
          <w:proofErr w:type="spellEnd"/>
          <w:r>
            <w:rPr>
              <w:color w:val="000000"/>
            </w:rPr>
            <w:t xml:space="preserve"> 2015</w:t>
          </w:r>
        </w:p>
        <w:p w:rsidR="001152A1" w:rsidRDefault="001152A1" w:rsidP="001152A1">
          <w:pPr>
            <w:rPr>
              <w:lang w:val="en-US"/>
            </w:rPr>
          </w:pPr>
          <w:proofErr w:type="spellStart"/>
          <w:r>
            <w:rPr>
              <w:lang w:val="en-US"/>
            </w:rPr>
            <w:t>Français</w:t>
          </w:r>
          <w:proofErr w:type="spellEnd"/>
        </w:p>
        <w:p w:rsidR="001152A1" w:rsidRPr="001152A1" w:rsidRDefault="001152A1" w:rsidP="001152A1">
          <w:pPr>
            <w:pStyle w:val="Original"/>
            <w:rPr>
              <w:color w:val="000000"/>
            </w:rPr>
          </w:pPr>
          <w:r>
            <w:rPr>
              <w:color w:val="000000"/>
            </w:rPr>
            <w:t xml:space="preserve">Original : </w:t>
          </w:r>
          <w:proofErr w:type="spellStart"/>
          <w:r>
            <w:rPr>
              <w:color w:val="000000"/>
            </w:rPr>
            <w:t>anglais</w:t>
          </w:r>
          <w:proofErr w:type="spellEnd"/>
        </w:p>
      </w:tc>
    </w:tr>
  </w:tbl>
  <w:p w:rsidR="001152A1" w:rsidRPr="001152A1" w:rsidRDefault="001152A1" w:rsidP="001152A1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C2B72"/>
    <w:multiLevelType w:val="singleLevel"/>
    <w:tmpl w:val="6B506E14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2631*"/>
    <w:docVar w:name="CreationDt" w:val="9/22/2015 4:44: PM"/>
    <w:docVar w:name="DocCategory" w:val="Doc"/>
    <w:docVar w:name="DocType" w:val="Final"/>
    <w:docVar w:name="DutyStation" w:val="Geneva"/>
    <w:docVar w:name="FooterJN" w:val="GE.15-12631"/>
    <w:docVar w:name="jobn" w:val="GE.15-12631 (F)"/>
    <w:docVar w:name="jobnDT" w:val="GE.15-12631 (F)   220915"/>
    <w:docVar w:name="jobnDTDT" w:val="GE.15-12631 (F)   220915   220915"/>
    <w:docVar w:name="JobNo" w:val="GE.1512631F"/>
    <w:docVar w:name="JobNo2" w:val="GE.1516614F"/>
    <w:docVar w:name="LocalDrive" w:val="0"/>
    <w:docVar w:name="OandT" w:val="Nath V."/>
    <w:docVar w:name="PaperSize" w:val="A4"/>
    <w:docVar w:name="sss1" w:val="ECE/TRANS/WP.11/2015/5"/>
    <w:docVar w:name="sss2" w:val="-"/>
    <w:docVar w:name="Symbol1" w:val="ECE/TRANS/WP.11/2015/5"/>
    <w:docVar w:name="Symbol2" w:val="-"/>
  </w:docVars>
  <w:rsids>
    <w:rsidRoot w:val="00FB488C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025A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2A1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08A8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6E3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D6006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319"/>
    <w:rsid w:val="0077589C"/>
    <w:rsid w:val="00775BFD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1D93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5DBE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12B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4D9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1305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523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A43A2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573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97698"/>
    <w:rsid w:val="00FA2589"/>
    <w:rsid w:val="00FA34DF"/>
    <w:rsid w:val="00FA3F4D"/>
    <w:rsid w:val="00FA3FBD"/>
    <w:rsid w:val="00FA4334"/>
    <w:rsid w:val="00FA62B4"/>
    <w:rsid w:val="00FA70CF"/>
    <w:rsid w:val="00FA71DD"/>
    <w:rsid w:val="00FB3AA4"/>
    <w:rsid w:val="00FB3C35"/>
    <w:rsid w:val="00FB4627"/>
    <w:rsid w:val="00FB488C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1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2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2A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A1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115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2A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2A1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A1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A73D-0069-419C-A15C-B4F3A2BA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Nath V.</dc:creator>
  <cp:lastModifiedBy>Caillot</cp:lastModifiedBy>
  <cp:revision>3</cp:revision>
  <cp:lastPrinted>2015-09-22T15:46:00Z</cp:lastPrinted>
  <dcterms:created xsi:type="dcterms:W3CDTF">2015-09-22T15:46:00Z</dcterms:created>
  <dcterms:modified xsi:type="dcterms:W3CDTF">2015-09-22T15:46:00Z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1512631F</vt:lpwstr>
  </property>
  <property fmtid="{D5CDD505-2E9C-101B-9397-08002B2CF9AE}" pid="3" name="ODSRefJobNo">
    <vt:lpwstr>1516614F</vt:lpwstr>
  </property>
  <property fmtid="{D5CDD505-2E9C-101B-9397-08002B2CF9AE}" pid="4" name="Symbol1">
    <vt:lpwstr>ECE/TRANS/WP.11/2015/5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Nath V.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27 juillet 2015</vt:lpwstr>
  </property>
  <property fmtid="{D5CDD505-2E9C-101B-9397-08002B2CF9AE}" pid="12" name="Original">
    <vt:lpwstr>anglais</vt:lpwstr>
  </property>
  <property fmtid="{D5CDD505-2E9C-101B-9397-08002B2CF9AE}" pid="13" name="Release Date">
    <vt:lpwstr>220915</vt:lpwstr>
  </property>
</Properties>
</file>