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A4246" w:rsidTr="00CF757B">
        <w:trPr>
          <w:cantSplit/>
          <w:trHeight w:hRule="exact" w:val="429"/>
        </w:trPr>
        <w:tc>
          <w:tcPr>
            <w:tcW w:w="1276" w:type="dxa"/>
            <w:tcBorders>
              <w:bottom w:val="single" w:sz="4" w:space="0" w:color="auto"/>
            </w:tcBorders>
            <w:vAlign w:val="bottom"/>
          </w:tcPr>
          <w:p w:rsidR="00FA4246" w:rsidRDefault="00FA4246" w:rsidP="00CF757B">
            <w:bookmarkStart w:id="0" w:name="OLE_LINK1"/>
            <w:bookmarkStart w:id="1" w:name="OLE_LINK2"/>
          </w:p>
        </w:tc>
        <w:tc>
          <w:tcPr>
            <w:tcW w:w="8363" w:type="dxa"/>
            <w:gridSpan w:val="2"/>
            <w:tcBorders>
              <w:bottom w:val="single" w:sz="4" w:space="0" w:color="auto"/>
            </w:tcBorders>
            <w:vAlign w:val="bottom"/>
          </w:tcPr>
          <w:p w:rsidR="00FA4246" w:rsidRPr="00D47EEA" w:rsidRDefault="00FA4246" w:rsidP="00FA4246">
            <w:pPr>
              <w:jc w:val="right"/>
            </w:pPr>
            <w:r w:rsidRPr="00C04153">
              <w:rPr>
                <w:b/>
                <w:sz w:val="40"/>
                <w:szCs w:val="40"/>
              </w:rPr>
              <w:t>INF.</w:t>
            </w:r>
            <w:r>
              <w:rPr>
                <w:b/>
                <w:sz w:val="40"/>
                <w:szCs w:val="40"/>
              </w:rPr>
              <w:t>26</w:t>
            </w:r>
          </w:p>
        </w:tc>
      </w:tr>
      <w:tr w:rsidR="00FA4246" w:rsidTr="00FA4246">
        <w:trPr>
          <w:cantSplit/>
          <w:trHeight w:hRule="exact" w:val="3833"/>
        </w:trPr>
        <w:tc>
          <w:tcPr>
            <w:tcW w:w="6804" w:type="dxa"/>
            <w:gridSpan w:val="2"/>
            <w:tcBorders>
              <w:top w:val="single" w:sz="4" w:space="0" w:color="auto"/>
              <w:bottom w:val="single" w:sz="12" w:space="0" w:color="auto"/>
            </w:tcBorders>
          </w:tcPr>
          <w:p w:rsidR="00FA4246" w:rsidRPr="00E15127" w:rsidRDefault="00FA4246" w:rsidP="00CF757B">
            <w:pPr>
              <w:spacing w:before="120"/>
              <w:rPr>
                <w:b/>
                <w:sz w:val="28"/>
                <w:szCs w:val="28"/>
                <w:lang w:val="fr-CH"/>
              </w:rPr>
            </w:pPr>
            <w:r w:rsidRPr="00E15127">
              <w:rPr>
                <w:b/>
                <w:sz w:val="28"/>
                <w:szCs w:val="28"/>
                <w:lang w:val="fr-CH"/>
              </w:rPr>
              <w:t>Commission économique pour l’Europe</w:t>
            </w:r>
          </w:p>
          <w:p w:rsidR="00FA4246" w:rsidRPr="00E15127" w:rsidRDefault="00FA4246" w:rsidP="00CF757B">
            <w:pPr>
              <w:spacing w:before="120"/>
              <w:rPr>
                <w:sz w:val="28"/>
                <w:szCs w:val="28"/>
                <w:lang w:val="fr-CH"/>
              </w:rPr>
            </w:pPr>
            <w:r w:rsidRPr="00E15127">
              <w:rPr>
                <w:sz w:val="28"/>
                <w:szCs w:val="28"/>
                <w:lang w:val="fr-CH"/>
              </w:rPr>
              <w:t>Comité des transports intérieurs</w:t>
            </w:r>
          </w:p>
          <w:p w:rsidR="00FA4246" w:rsidRPr="00E15127" w:rsidRDefault="00FA4246" w:rsidP="00CF757B">
            <w:pPr>
              <w:spacing w:before="120"/>
              <w:rPr>
                <w:b/>
                <w:sz w:val="24"/>
                <w:szCs w:val="24"/>
                <w:lang w:val="fr-CH"/>
              </w:rPr>
            </w:pPr>
            <w:r w:rsidRPr="00E15127">
              <w:rPr>
                <w:b/>
                <w:sz w:val="24"/>
                <w:szCs w:val="24"/>
                <w:lang w:val="fr-CH"/>
              </w:rPr>
              <w:t>Groupe de travail des transports de marchandises dangereuses</w:t>
            </w:r>
          </w:p>
          <w:p w:rsidR="00FA4246" w:rsidRPr="00E15127" w:rsidRDefault="00FA4246" w:rsidP="00CF757B">
            <w:pPr>
              <w:spacing w:before="120"/>
              <w:rPr>
                <w:b/>
                <w:lang w:val="fr-CH"/>
              </w:rPr>
            </w:pPr>
            <w:r w:rsidRPr="004812F5">
              <w:rPr>
                <w:b/>
                <w:lang w:val="fr-FR"/>
              </w:rPr>
              <w:t>Réunion commune d</w:t>
            </w:r>
            <w:r>
              <w:rPr>
                <w:b/>
                <w:lang w:val="fr-FR"/>
              </w:rPr>
              <w:t>’</w:t>
            </w:r>
            <w:r w:rsidRPr="004812F5">
              <w:rPr>
                <w:b/>
                <w:lang w:val="fr-FR"/>
              </w:rPr>
              <w:t>experts sur le Règlement annexé</w:t>
            </w:r>
            <w:r>
              <w:rPr>
                <w:b/>
                <w:lang w:val="fr-FR"/>
              </w:rPr>
              <w:br/>
            </w:r>
            <w:r w:rsidRPr="004812F5">
              <w:rPr>
                <w:b/>
                <w:lang w:val="fr-FR"/>
              </w:rPr>
              <w:t>à l</w:t>
            </w:r>
            <w:r>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Pr>
                <w:b/>
                <w:bCs/>
                <w:lang w:val="fr-FR"/>
              </w:rPr>
              <w:t>’</w:t>
            </w:r>
            <w:r w:rsidRPr="004812F5">
              <w:rPr>
                <w:b/>
                <w:bCs/>
                <w:lang w:val="fr-FR"/>
              </w:rPr>
              <w:t>ADN)</w:t>
            </w:r>
          </w:p>
          <w:p w:rsidR="00FA4246" w:rsidRPr="00E15127" w:rsidRDefault="00FA4246" w:rsidP="00CF757B">
            <w:pPr>
              <w:spacing w:before="120"/>
              <w:rPr>
                <w:b/>
                <w:lang w:val="fr-CH"/>
              </w:rPr>
            </w:pPr>
            <w:r w:rsidRPr="00E15127">
              <w:rPr>
                <w:b/>
                <w:lang w:val="fr-CH"/>
              </w:rPr>
              <w:t>Vingt-</w:t>
            </w:r>
            <w:r>
              <w:rPr>
                <w:b/>
                <w:lang w:val="fr-CH"/>
              </w:rPr>
              <w:t>six</w:t>
            </w:r>
            <w:r w:rsidRPr="00E15127">
              <w:rPr>
                <w:b/>
                <w:lang w:val="fr-CH"/>
              </w:rPr>
              <w:t>ième session</w:t>
            </w:r>
          </w:p>
          <w:p w:rsidR="00FA4246" w:rsidRPr="00E15127" w:rsidRDefault="00FA4246" w:rsidP="00CF757B">
            <w:pPr>
              <w:rPr>
                <w:lang w:val="fr-CH"/>
              </w:rPr>
            </w:pPr>
            <w:r w:rsidRPr="00E15127">
              <w:rPr>
                <w:lang w:val="fr-CH"/>
              </w:rPr>
              <w:t>Genève, 2</w:t>
            </w:r>
            <w:r>
              <w:rPr>
                <w:lang w:val="fr-CH"/>
              </w:rPr>
              <w:t>7</w:t>
            </w:r>
            <w:r w:rsidRPr="00E15127">
              <w:rPr>
                <w:lang w:val="fr-CH"/>
              </w:rPr>
              <w:t>-</w:t>
            </w:r>
            <w:r>
              <w:rPr>
                <w:lang w:val="fr-CH"/>
              </w:rPr>
              <w:t>30</w:t>
            </w:r>
            <w:r w:rsidRPr="00E15127">
              <w:rPr>
                <w:lang w:val="fr-CH"/>
              </w:rPr>
              <w:t xml:space="preserve"> janvier 201</w:t>
            </w:r>
            <w:r>
              <w:rPr>
                <w:lang w:val="fr-CH"/>
              </w:rPr>
              <w:t>5</w:t>
            </w:r>
          </w:p>
          <w:p w:rsidR="00FA4246" w:rsidRPr="00E15127" w:rsidRDefault="00FA4246" w:rsidP="00CF757B">
            <w:pPr>
              <w:rPr>
                <w:lang w:val="fr-CH"/>
              </w:rPr>
            </w:pPr>
            <w:r w:rsidRPr="00E15127">
              <w:rPr>
                <w:lang w:val="fr-CH"/>
              </w:rPr>
              <w:t xml:space="preserve">Point </w:t>
            </w:r>
            <w:r>
              <w:rPr>
                <w:lang w:val="fr-CH"/>
              </w:rPr>
              <w:t>5 b</w:t>
            </w:r>
            <w:r w:rsidRPr="00E15127">
              <w:rPr>
                <w:lang w:val="fr-CH"/>
              </w:rPr>
              <w:t>) de l’ordre du jour provisoire</w:t>
            </w:r>
          </w:p>
          <w:p w:rsidR="00FA4246" w:rsidRDefault="00FA4246" w:rsidP="00CF757B">
            <w:pPr>
              <w:rPr>
                <w:b/>
                <w:lang w:val="fr-CH"/>
              </w:rPr>
            </w:pPr>
            <w:r w:rsidRPr="002E7B0B">
              <w:rPr>
                <w:b/>
                <w:lang w:val="fr-CH"/>
              </w:rPr>
              <w:t>Propositions d’amendements au Règlement annexé à l’ADN</w:t>
            </w:r>
            <w:r>
              <w:rPr>
                <w:b/>
                <w:lang w:val="fr-CH"/>
              </w:rPr>
              <w:t>:</w:t>
            </w:r>
          </w:p>
          <w:p w:rsidR="00FA4246" w:rsidRPr="00592384" w:rsidRDefault="00FA4246" w:rsidP="00CF757B">
            <w:pPr>
              <w:rPr>
                <w:b/>
                <w:lang w:val="fr-CH"/>
              </w:rPr>
            </w:pPr>
            <w:r>
              <w:rPr>
                <w:b/>
                <w:lang w:val="fr-CH"/>
              </w:rPr>
              <w:t>Autres propositions</w:t>
            </w:r>
          </w:p>
        </w:tc>
        <w:tc>
          <w:tcPr>
            <w:tcW w:w="2835" w:type="dxa"/>
            <w:tcBorders>
              <w:top w:val="single" w:sz="4" w:space="0" w:color="auto"/>
              <w:bottom w:val="single" w:sz="12" w:space="0" w:color="auto"/>
            </w:tcBorders>
          </w:tcPr>
          <w:p w:rsidR="00383AB8" w:rsidRDefault="00383AB8" w:rsidP="00CF757B">
            <w:pPr>
              <w:spacing w:before="120"/>
            </w:pPr>
          </w:p>
          <w:p w:rsidR="00FA4246" w:rsidRDefault="00FA4246" w:rsidP="00CF757B">
            <w:pPr>
              <w:spacing w:before="120"/>
            </w:pPr>
            <w:bookmarkStart w:id="2" w:name="_GoBack"/>
            <w:bookmarkEnd w:id="2"/>
            <w:proofErr w:type="spellStart"/>
            <w:r>
              <w:t>Français</w:t>
            </w:r>
            <w:proofErr w:type="spellEnd"/>
          </w:p>
          <w:p w:rsidR="00FA4246" w:rsidRPr="00A83495" w:rsidRDefault="00FA4246" w:rsidP="00CF757B">
            <w:pPr>
              <w:spacing w:before="120"/>
            </w:pPr>
            <w:r>
              <w:t>22</w:t>
            </w:r>
            <w:r w:rsidRPr="00A83495">
              <w:t xml:space="preserve"> </w:t>
            </w:r>
            <w:proofErr w:type="spellStart"/>
            <w:r w:rsidRPr="00A83495">
              <w:t>janvier</w:t>
            </w:r>
            <w:proofErr w:type="spellEnd"/>
            <w:r w:rsidRPr="00A83495">
              <w:t xml:space="preserve"> 2015</w:t>
            </w:r>
          </w:p>
        </w:tc>
      </w:tr>
    </w:tbl>
    <w:bookmarkEnd w:id="0"/>
    <w:bookmarkEnd w:id="1"/>
    <w:p w:rsidR="00404A6A" w:rsidRPr="005F3D76" w:rsidRDefault="00FA4246" w:rsidP="00FA4246">
      <w:pPr>
        <w:pStyle w:val="HChG"/>
        <w:rPr>
          <w:snapToGrid/>
          <w:lang w:val="fr-FR"/>
        </w:rPr>
      </w:pPr>
      <w:r>
        <w:rPr>
          <w:snapToGrid/>
          <w:lang w:val="fr-FR"/>
        </w:rPr>
        <w:tab/>
      </w:r>
      <w:r>
        <w:rPr>
          <w:snapToGrid/>
          <w:lang w:val="fr-FR"/>
        </w:rPr>
        <w:tab/>
      </w:r>
      <w:r w:rsidR="00404A6A" w:rsidRPr="005F3D76">
        <w:rPr>
          <w:snapToGrid/>
          <w:lang w:val="fr-FR"/>
        </w:rPr>
        <w:t>Prescriptions de l'ADN en liaison avec les différentes matières</w:t>
      </w:r>
    </w:p>
    <w:p w:rsidR="00404A6A" w:rsidRPr="005F3D76" w:rsidRDefault="00FA4246" w:rsidP="00FA4246">
      <w:pPr>
        <w:pStyle w:val="HChG"/>
        <w:rPr>
          <w:snapToGrid/>
          <w:lang w:val="fr-FR"/>
        </w:rPr>
      </w:pPr>
      <w:r>
        <w:rPr>
          <w:snapToGrid/>
          <w:lang w:val="fr-FR"/>
        </w:rPr>
        <w:tab/>
      </w:r>
      <w:r>
        <w:rPr>
          <w:snapToGrid/>
          <w:lang w:val="fr-FR"/>
        </w:rPr>
        <w:tab/>
      </w:r>
      <w:r w:rsidR="00404A6A" w:rsidRPr="005F3D76">
        <w:rPr>
          <w:snapToGrid/>
          <w:lang w:val="fr-FR"/>
        </w:rPr>
        <w:t>Exigences applicables aux équipements électriques -</w:t>
      </w:r>
    </w:p>
    <w:p w:rsidR="00404A6A" w:rsidRPr="005F3D76" w:rsidRDefault="00FA4246" w:rsidP="00FA4246">
      <w:pPr>
        <w:pStyle w:val="H1G"/>
        <w:rPr>
          <w:snapToGrid/>
          <w:vertAlign w:val="superscript"/>
          <w:lang w:val="fr-FR" w:eastAsia="en-US"/>
        </w:rPr>
      </w:pPr>
      <w:r>
        <w:rPr>
          <w:snapToGrid/>
          <w:lang w:val="fr-FR" w:eastAsia="en-US"/>
        </w:rPr>
        <w:tab/>
      </w:r>
      <w:r>
        <w:rPr>
          <w:snapToGrid/>
          <w:lang w:val="fr-FR" w:eastAsia="en-US"/>
        </w:rPr>
        <w:tab/>
      </w:r>
      <w:r w:rsidR="00404A6A" w:rsidRPr="005F3D76">
        <w:rPr>
          <w:snapToGrid/>
          <w:lang w:val="fr-FR" w:eastAsia="en-US"/>
        </w:rPr>
        <w:t>Transmis par l'Union Européenne de la Navigation Fluviale (UENF)</w:t>
      </w:r>
    </w:p>
    <w:p w:rsidR="00404A6A" w:rsidRPr="0088276A" w:rsidRDefault="00FA4246" w:rsidP="00FA4246">
      <w:pPr>
        <w:pStyle w:val="H1G"/>
        <w:rPr>
          <w:lang w:val="fr-FR"/>
        </w:rPr>
      </w:pPr>
      <w:r>
        <w:rPr>
          <w:lang w:val="fr-FR"/>
        </w:rPr>
        <w:tab/>
      </w:r>
      <w:r>
        <w:rPr>
          <w:lang w:val="fr-FR"/>
        </w:rPr>
        <w:tab/>
      </w:r>
      <w:r w:rsidR="00404A6A" w:rsidRPr="0088276A">
        <w:rPr>
          <w:lang w:val="fr-FR"/>
        </w:rPr>
        <w:t>Introduction</w:t>
      </w:r>
    </w:p>
    <w:p w:rsidR="00404A6A" w:rsidRPr="005F3D76" w:rsidRDefault="00404A6A" w:rsidP="00FA4246">
      <w:pPr>
        <w:pStyle w:val="SingleTxtG"/>
        <w:rPr>
          <w:snapToGrid/>
          <w:lang w:val="fr-FR" w:eastAsia="en-US"/>
        </w:rPr>
      </w:pPr>
      <w:r w:rsidRPr="005F3D76">
        <w:rPr>
          <w:snapToGrid/>
          <w:lang w:val="fr-FR" w:eastAsia="en-US"/>
        </w:rPr>
        <w:t>1.</w:t>
      </w:r>
      <w:r w:rsidRPr="005F3D76">
        <w:rPr>
          <w:snapToGrid/>
          <w:lang w:val="fr-FR" w:eastAsia="en-US"/>
        </w:rPr>
        <w:tab/>
        <w:t>Au cours de la 24</w:t>
      </w:r>
      <w:r w:rsidRPr="005F3D76">
        <w:rPr>
          <w:snapToGrid/>
          <w:vertAlign w:val="superscript"/>
          <w:lang w:val="fr-FR" w:eastAsia="en-US"/>
        </w:rPr>
        <w:t>ème</w:t>
      </w:r>
      <w:r w:rsidR="002222D3" w:rsidRPr="005F3D76">
        <w:rPr>
          <w:snapToGrid/>
          <w:lang w:val="fr-FR" w:eastAsia="en-US"/>
        </w:rPr>
        <w:t xml:space="preserve"> </w:t>
      </w:r>
      <w:r w:rsidRPr="005F3D76">
        <w:rPr>
          <w:snapToGrid/>
          <w:lang w:val="fr-FR" w:eastAsia="en-US"/>
        </w:rPr>
        <w:t>session du Comité de sécurité de l'ADN tenue en janvier 2014, l'UENF a demandé que soient prescrites certaines exigences applicables aux équipements de bateaux-citernes en liaison avec la liste des matières des bateaux. A cet égard était déterminante la question de savoir si la liste des matières d'un bateau comporte ou non des marchandises pour lesquelles la colonne 17 du tableau C prévoit l'exigence d'une protection contre l'explosion. La demande de l'UENF comportait deux parties.</w:t>
      </w:r>
    </w:p>
    <w:p w:rsidR="00404A6A" w:rsidRPr="005F3D76" w:rsidRDefault="00404A6A" w:rsidP="00FA4246">
      <w:pPr>
        <w:pStyle w:val="SingleTxtG"/>
        <w:rPr>
          <w:snapToGrid/>
          <w:lang w:val="fr-FR" w:eastAsia="en-US"/>
        </w:rPr>
      </w:pPr>
      <w:r w:rsidRPr="005F3D76">
        <w:rPr>
          <w:snapToGrid/>
          <w:lang w:val="fr-FR" w:eastAsia="en-US"/>
        </w:rPr>
        <w:t>2.</w:t>
      </w:r>
      <w:r w:rsidRPr="005F3D76">
        <w:rPr>
          <w:snapToGrid/>
          <w:lang w:val="fr-FR" w:eastAsia="en-US"/>
        </w:rPr>
        <w:tab/>
        <w:t xml:space="preserve">La première partie de la demande portait sur les coupe-flammes aux orifices de prise d'échantillons, dispositifs de détente et ouvertures d'aération de </w:t>
      </w:r>
      <w:proofErr w:type="spellStart"/>
      <w:r w:rsidRPr="005F3D76">
        <w:rPr>
          <w:snapToGrid/>
          <w:lang w:val="fr-FR" w:eastAsia="en-US"/>
        </w:rPr>
        <w:t>cofferdams</w:t>
      </w:r>
      <w:proofErr w:type="spellEnd"/>
      <w:r w:rsidRPr="005F3D76">
        <w:rPr>
          <w:snapToGrid/>
          <w:lang w:val="fr-FR" w:eastAsia="en-US"/>
        </w:rPr>
        <w:t>. Cette partie de la demande a été approuvée par le Comité de sécurité. Les modifications figurent dans l'ADN 2015.</w:t>
      </w:r>
    </w:p>
    <w:p w:rsidR="00404A6A" w:rsidRPr="005F3D76" w:rsidRDefault="00404A6A" w:rsidP="00FA4246">
      <w:pPr>
        <w:pStyle w:val="SingleTxtG"/>
        <w:rPr>
          <w:snapToGrid/>
          <w:lang w:val="fr-FR" w:eastAsia="en-US"/>
        </w:rPr>
      </w:pPr>
      <w:r w:rsidRPr="005F3D76">
        <w:rPr>
          <w:snapToGrid/>
          <w:lang w:val="fr-FR" w:eastAsia="en-US"/>
        </w:rPr>
        <w:t>La deuxième partie de la demande portait sur les exigences applicables aux équipements électriques. Au terme d'un bref examen de la demande, l'UENF a retiré ladite demande au cours de la 24</w:t>
      </w:r>
      <w:r w:rsidRPr="005F3D76">
        <w:rPr>
          <w:snapToGrid/>
          <w:vertAlign w:val="superscript"/>
          <w:lang w:val="fr-FR" w:eastAsia="en-US"/>
        </w:rPr>
        <w:t>ème</w:t>
      </w:r>
      <w:r w:rsidR="00802AB4" w:rsidRPr="005F3D76">
        <w:rPr>
          <w:snapToGrid/>
          <w:lang w:val="fr-FR" w:eastAsia="en-US"/>
        </w:rPr>
        <w:t xml:space="preserve"> </w:t>
      </w:r>
      <w:r w:rsidRPr="005F3D76">
        <w:rPr>
          <w:snapToGrid/>
          <w:lang w:val="fr-FR" w:eastAsia="en-US"/>
        </w:rPr>
        <w:t>session du Comité de sécurité, l'argumentation ne semblant pas suffisamment étayée.</w:t>
      </w:r>
    </w:p>
    <w:p w:rsidR="00404A6A" w:rsidRPr="005F3D76" w:rsidRDefault="00404A6A" w:rsidP="00FA4246">
      <w:pPr>
        <w:pStyle w:val="SingleTxtG"/>
        <w:rPr>
          <w:snapToGrid/>
          <w:lang w:val="fr-FR" w:eastAsia="en-US"/>
        </w:rPr>
      </w:pPr>
      <w:r w:rsidRPr="005F3D76">
        <w:rPr>
          <w:snapToGrid/>
          <w:lang w:val="fr-FR" w:eastAsia="en-US"/>
        </w:rPr>
        <w:t>3.</w:t>
      </w:r>
      <w:r w:rsidRPr="005F3D76">
        <w:rPr>
          <w:snapToGrid/>
          <w:lang w:val="fr-FR" w:eastAsia="en-US"/>
        </w:rPr>
        <w:tab/>
        <w:t>Dans le document CCNR-ZKR/ADN/WP.15/AC.2/2014/24, l'UENF a attiré l'attention sur le fait que les deux parties de la demande constituent d'une part une suite logique aux efforts constatés dans différentes parties de l'ADN pour adapter les exigences applicables aux équipements de bateaux-citernes en fonction des matières transportées. En outre, les deux parties de la demande doivent être traitées dans le cadre de la mise en œuvre du nouveau concept pour la protection contre l'explosion.</w:t>
      </w:r>
    </w:p>
    <w:p w:rsidR="00404A6A" w:rsidRPr="005F3D76" w:rsidRDefault="00404A6A" w:rsidP="00FA4246">
      <w:pPr>
        <w:pStyle w:val="SingleTxtG"/>
        <w:rPr>
          <w:snapToGrid/>
          <w:lang w:val="fr-FR" w:eastAsia="en-US"/>
        </w:rPr>
      </w:pPr>
      <w:r w:rsidRPr="005F3D76">
        <w:rPr>
          <w:snapToGrid/>
          <w:lang w:val="fr-FR" w:eastAsia="en-US"/>
        </w:rPr>
        <w:t>4.</w:t>
      </w:r>
      <w:r w:rsidRPr="005F3D76">
        <w:rPr>
          <w:snapToGrid/>
          <w:lang w:val="fr-FR" w:eastAsia="en-US"/>
        </w:rPr>
        <w:tab/>
        <w:t>Entre temps, les travaux concernant le concept pour la protection contre l'explosion se sont poursuivis. L'UENF a décidé de soumettre une version révisée de sa demande retirée au cours de la 24</w:t>
      </w:r>
      <w:r w:rsidRPr="005F3D76">
        <w:rPr>
          <w:snapToGrid/>
          <w:vertAlign w:val="superscript"/>
          <w:lang w:val="fr-FR" w:eastAsia="en-US"/>
        </w:rPr>
        <w:t>ème</w:t>
      </w:r>
      <w:r w:rsidR="002222D3" w:rsidRPr="005F3D76">
        <w:rPr>
          <w:snapToGrid/>
          <w:lang w:val="fr-FR" w:eastAsia="en-US"/>
        </w:rPr>
        <w:t xml:space="preserve"> </w:t>
      </w:r>
      <w:r w:rsidRPr="005F3D76">
        <w:rPr>
          <w:snapToGrid/>
          <w:lang w:val="fr-FR" w:eastAsia="en-US"/>
        </w:rPr>
        <w:t xml:space="preserve">session du Comité de sécurité, les réflexions qui sous-tendent cette demande étant en adéquation avec les principes directeurs du concept pour la protection contre l'explosion. </w:t>
      </w:r>
    </w:p>
    <w:p w:rsidR="00404A6A" w:rsidRPr="0088276A" w:rsidRDefault="00FA4246" w:rsidP="00FA4246">
      <w:pPr>
        <w:pStyle w:val="H1G"/>
        <w:rPr>
          <w:lang w:val="fr-FR"/>
        </w:rPr>
      </w:pPr>
      <w:r>
        <w:rPr>
          <w:lang w:val="fr-FR"/>
        </w:rPr>
        <w:lastRenderedPageBreak/>
        <w:tab/>
      </w:r>
      <w:r>
        <w:rPr>
          <w:lang w:val="fr-FR"/>
        </w:rPr>
        <w:tab/>
      </w:r>
      <w:r w:rsidR="00404A6A" w:rsidRPr="0088276A">
        <w:rPr>
          <w:lang w:val="fr-FR"/>
        </w:rPr>
        <w:t>Texte en vigueur</w:t>
      </w:r>
    </w:p>
    <w:p w:rsidR="00404A6A" w:rsidRPr="005F3D76" w:rsidRDefault="00404A6A" w:rsidP="00FA4246">
      <w:pPr>
        <w:pStyle w:val="SingleTxtG"/>
        <w:rPr>
          <w:snapToGrid/>
          <w:lang w:val="fr-FR" w:eastAsia="en-US"/>
        </w:rPr>
      </w:pPr>
      <w:r w:rsidRPr="005F3D76">
        <w:rPr>
          <w:rFonts w:eastAsia="Calibri"/>
          <w:snapToGrid/>
          <w:lang w:val="fr-FR" w:eastAsia="en-US"/>
        </w:rPr>
        <w:t>5.</w:t>
      </w:r>
      <w:r w:rsidRPr="005F3D76">
        <w:rPr>
          <w:rFonts w:eastAsia="Calibri"/>
          <w:snapToGrid/>
          <w:lang w:val="fr-FR" w:eastAsia="en-US"/>
        </w:rPr>
        <w:tab/>
        <w:t xml:space="preserve">Le texte en vigueur au 9.3.x.52.1 est rédigé comme suit : </w:t>
      </w:r>
    </w:p>
    <w:p w:rsidR="00293C33" w:rsidRPr="005F3D76" w:rsidRDefault="00293C33" w:rsidP="00FA4246">
      <w:pPr>
        <w:pStyle w:val="SingleTxtG"/>
        <w:rPr>
          <w:rFonts w:eastAsia="Calibri"/>
          <w:snapToGrid/>
          <w:lang w:val="fr-FR" w:eastAsia="en-US"/>
        </w:rPr>
      </w:pPr>
      <w:r w:rsidRPr="005F3D76">
        <w:rPr>
          <w:rFonts w:eastAsia="Calibri"/>
          <w:snapToGrid/>
          <w:lang w:val="fr-FR" w:eastAsia="en-US"/>
        </w:rPr>
        <w:t>9.3</w:t>
      </w:r>
      <w:proofErr w:type="gramStart"/>
      <w:r w:rsidRPr="005F3D76">
        <w:rPr>
          <w:rFonts w:eastAsia="Calibri"/>
          <w:snapToGrid/>
          <w:lang w:val="fr-FR" w:eastAsia="en-US"/>
        </w:rPr>
        <w:t>.x.52</w:t>
      </w:r>
      <w:proofErr w:type="gramEnd"/>
      <w:r w:rsidRPr="005F3D76">
        <w:rPr>
          <w:rFonts w:eastAsia="Calibri"/>
          <w:snapToGrid/>
          <w:lang w:val="fr-FR" w:eastAsia="en-US"/>
        </w:rPr>
        <w:t xml:space="preserve"> Type et emplacement des équipements électriques</w:t>
      </w:r>
    </w:p>
    <w:p w:rsidR="00293C33" w:rsidRPr="005F3D76" w:rsidRDefault="00293C33" w:rsidP="00FA4246">
      <w:pPr>
        <w:pStyle w:val="SingleTxtG"/>
        <w:rPr>
          <w:rFonts w:eastAsia="Calibri"/>
          <w:snapToGrid/>
          <w:lang w:val="fr-FR" w:eastAsia="en-US"/>
        </w:rPr>
      </w:pPr>
      <w:r w:rsidRPr="005F3D76">
        <w:rPr>
          <w:rFonts w:eastAsia="Calibri"/>
          <w:snapToGrid/>
          <w:lang w:val="fr-FR" w:eastAsia="en-US"/>
        </w:rPr>
        <w:t>9.3</w:t>
      </w:r>
      <w:proofErr w:type="gramStart"/>
      <w:r w:rsidRPr="005F3D76">
        <w:rPr>
          <w:rFonts w:eastAsia="Calibri"/>
          <w:snapToGrid/>
          <w:lang w:val="fr-FR" w:eastAsia="en-US"/>
        </w:rPr>
        <w:t>.x.52.1</w:t>
      </w:r>
      <w:proofErr w:type="gramEnd"/>
      <w:r w:rsidRPr="005F3D76">
        <w:rPr>
          <w:rFonts w:eastAsia="Calibri"/>
          <w:snapToGrid/>
          <w:lang w:val="fr-FR" w:eastAsia="en-US"/>
        </w:rPr>
        <w:t xml:space="preserve"> [Équipements admis]</w:t>
      </w:r>
    </w:p>
    <w:p w:rsidR="00293C33" w:rsidRPr="005F3D76" w:rsidRDefault="00293C33" w:rsidP="00FA4246">
      <w:pPr>
        <w:pStyle w:val="SingleTxtG"/>
        <w:rPr>
          <w:rFonts w:eastAsia="Calibri"/>
          <w:snapToGrid/>
          <w:lang w:val="fr-FR" w:eastAsia="en-US"/>
        </w:rPr>
      </w:pPr>
      <w:r w:rsidRPr="005F3D76">
        <w:rPr>
          <w:rFonts w:eastAsia="Calibri"/>
          <w:snapToGrid/>
          <w:lang w:val="fr-FR" w:eastAsia="en-US"/>
        </w:rPr>
        <w:t>a)</w:t>
      </w:r>
      <w:r w:rsidRPr="005F3D76">
        <w:rPr>
          <w:rFonts w:eastAsia="Calibri"/>
          <w:snapToGrid/>
          <w:lang w:val="fr-FR" w:eastAsia="en-US"/>
        </w:rPr>
        <w:tab/>
        <w:t>Seuls les équipements ci-après sont admis dans les citernes à cargaison, les citernes à restes de cargaison, et les tuyauteries de chargement et de déchargement (comparables à la zone 0) :</w:t>
      </w:r>
    </w:p>
    <w:p w:rsidR="00293C33" w:rsidRPr="005F3D76" w:rsidRDefault="00293C33" w:rsidP="00FA4246">
      <w:pPr>
        <w:pStyle w:val="SingleTxtG"/>
        <w:rPr>
          <w:rFonts w:eastAsia="Calibri"/>
          <w:snapToGrid/>
          <w:lang w:val="fr-FR" w:eastAsia="en-US"/>
        </w:rPr>
      </w:pPr>
      <w:r w:rsidRPr="005F3D76">
        <w:rPr>
          <w:rFonts w:eastAsia="Calibri"/>
          <w:snapToGrid/>
          <w:lang w:val="fr-FR" w:eastAsia="en-US"/>
        </w:rPr>
        <w:t>– appareils de mesure, de réglage et d'alarme du type de protection EE x (</w:t>
      </w:r>
      <w:proofErr w:type="spellStart"/>
      <w:r w:rsidRPr="005F3D76">
        <w:rPr>
          <w:rFonts w:eastAsia="Calibri"/>
          <w:snapToGrid/>
          <w:lang w:val="fr-FR" w:eastAsia="en-US"/>
        </w:rPr>
        <w:t>ia</w:t>
      </w:r>
      <w:proofErr w:type="spellEnd"/>
      <w:r w:rsidRPr="005F3D76">
        <w:rPr>
          <w:rFonts w:eastAsia="Calibri"/>
          <w:snapToGrid/>
          <w:lang w:val="fr-FR" w:eastAsia="en-US"/>
        </w:rPr>
        <w:t>).</w:t>
      </w:r>
    </w:p>
    <w:p w:rsidR="00293C33" w:rsidRPr="005F3D76" w:rsidRDefault="00293C33" w:rsidP="00FA4246">
      <w:pPr>
        <w:pStyle w:val="SingleTxtG"/>
        <w:rPr>
          <w:rFonts w:eastAsia="Calibri"/>
          <w:snapToGrid/>
          <w:lang w:val="fr-FR" w:eastAsia="en-US"/>
        </w:rPr>
      </w:pPr>
      <w:r w:rsidRPr="005F3D76">
        <w:rPr>
          <w:rFonts w:eastAsia="Calibri"/>
          <w:snapToGrid/>
          <w:lang w:val="fr-FR" w:eastAsia="en-US"/>
        </w:rPr>
        <w:t xml:space="preserve">b) </w:t>
      </w:r>
      <w:r w:rsidRPr="005F3D76">
        <w:rPr>
          <w:rFonts w:eastAsia="Calibri"/>
          <w:snapToGrid/>
          <w:lang w:val="fr-FR" w:eastAsia="en-US"/>
        </w:rPr>
        <w:tab/>
        <w:t xml:space="preserve">Seuls les équipements suivants sont admis dans les </w:t>
      </w:r>
      <w:proofErr w:type="spellStart"/>
      <w:r w:rsidRPr="005F3D76">
        <w:rPr>
          <w:rFonts w:eastAsia="Calibri"/>
          <w:snapToGrid/>
          <w:lang w:val="fr-FR" w:eastAsia="en-US"/>
        </w:rPr>
        <w:t>cofferdams</w:t>
      </w:r>
      <w:proofErr w:type="spellEnd"/>
      <w:r w:rsidRPr="005F3D76">
        <w:rPr>
          <w:rFonts w:eastAsia="Calibri"/>
          <w:snapToGrid/>
          <w:lang w:val="fr-FR" w:eastAsia="en-US"/>
        </w:rPr>
        <w:t>, espaces de double coque, doubles fonds et espaces de cales (comparables à la zone 1) :</w:t>
      </w:r>
    </w:p>
    <w:p w:rsidR="00293C33" w:rsidRPr="005F3D76" w:rsidRDefault="00293C33" w:rsidP="00FA4246">
      <w:pPr>
        <w:pStyle w:val="SingleTxtG"/>
        <w:rPr>
          <w:rFonts w:eastAsia="Calibri"/>
          <w:snapToGrid/>
          <w:lang w:val="fr-FR" w:eastAsia="en-US"/>
        </w:rPr>
      </w:pPr>
      <w:r w:rsidRPr="005F3D76">
        <w:rPr>
          <w:rFonts w:eastAsia="Calibri"/>
          <w:snapToGrid/>
          <w:lang w:val="fr-FR" w:eastAsia="en-US"/>
        </w:rPr>
        <w:t xml:space="preserve">– </w:t>
      </w:r>
      <w:r w:rsidRPr="005F3D76">
        <w:rPr>
          <w:rFonts w:eastAsia="Calibri"/>
          <w:snapToGrid/>
          <w:lang w:val="fr-FR" w:eastAsia="en-US"/>
        </w:rPr>
        <w:tab/>
        <w:t>appareils de mesure, de réglage et d'alarme de type certifié de sécurité ;</w:t>
      </w:r>
    </w:p>
    <w:p w:rsidR="00293C33" w:rsidRPr="005F3D76" w:rsidRDefault="00293C33" w:rsidP="00FA4246">
      <w:pPr>
        <w:pStyle w:val="SingleTxtG"/>
        <w:rPr>
          <w:rFonts w:eastAsia="Calibri"/>
          <w:snapToGrid/>
          <w:lang w:val="fr-FR" w:eastAsia="en-US"/>
        </w:rPr>
      </w:pPr>
      <w:r w:rsidRPr="005F3D76">
        <w:rPr>
          <w:rFonts w:eastAsia="Calibri"/>
          <w:snapToGrid/>
          <w:lang w:val="fr-FR" w:eastAsia="en-US"/>
        </w:rPr>
        <w:t xml:space="preserve">– </w:t>
      </w:r>
      <w:r w:rsidRPr="005F3D76">
        <w:rPr>
          <w:rFonts w:eastAsia="Calibri"/>
          <w:snapToGrid/>
          <w:lang w:val="fr-FR" w:eastAsia="en-US"/>
        </w:rPr>
        <w:tab/>
        <w:t>appareils d'éclairage répondant au type de protection “enveloppe antidéflagrante” ou “surpression interne” ;</w:t>
      </w:r>
    </w:p>
    <w:p w:rsidR="00293C33" w:rsidRPr="005F3D76" w:rsidRDefault="00293C33" w:rsidP="00FA4246">
      <w:pPr>
        <w:pStyle w:val="SingleTxtG"/>
        <w:rPr>
          <w:rFonts w:eastAsia="Calibri"/>
          <w:snapToGrid/>
          <w:lang w:val="fr-FR" w:eastAsia="en-US"/>
        </w:rPr>
      </w:pPr>
      <w:r w:rsidRPr="005F3D76">
        <w:rPr>
          <w:rFonts w:eastAsia="Calibri"/>
          <w:snapToGrid/>
          <w:lang w:val="fr-FR" w:eastAsia="en-US"/>
        </w:rPr>
        <w:t xml:space="preserve">– </w:t>
      </w:r>
      <w:r w:rsidRPr="005F3D76">
        <w:rPr>
          <w:rFonts w:eastAsia="Calibri"/>
          <w:snapToGrid/>
          <w:lang w:val="fr-FR" w:eastAsia="en-US"/>
        </w:rPr>
        <w:tab/>
        <w:t>émetteurs de sonar en enceinte hermétique dont les câbles sont acheminés jusqu'au pont principal dans des tubes en acier à paroi épaisse munis de joints étanches aux gaz ;</w:t>
      </w:r>
    </w:p>
    <w:p w:rsidR="00293C33" w:rsidRPr="005F3D76" w:rsidRDefault="00293C33" w:rsidP="00FA4246">
      <w:pPr>
        <w:pStyle w:val="SingleTxtG"/>
        <w:rPr>
          <w:rFonts w:eastAsia="Calibri"/>
          <w:snapToGrid/>
          <w:lang w:val="fr-FR" w:eastAsia="en-US"/>
        </w:rPr>
      </w:pPr>
      <w:r w:rsidRPr="005F3D76">
        <w:rPr>
          <w:rFonts w:eastAsia="Calibri"/>
          <w:snapToGrid/>
          <w:lang w:val="fr-FR" w:eastAsia="en-US"/>
        </w:rPr>
        <w:t xml:space="preserve">– </w:t>
      </w:r>
      <w:r w:rsidRPr="005F3D76">
        <w:rPr>
          <w:rFonts w:eastAsia="Calibri"/>
          <w:snapToGrid/>
          <w:lang w:val="fr-FR" w:eastAsia="en-US"/>
        </w:rPr>
        <w:tab/>
        <w:t>câbles du système actif de protection cathodique de la coque, installés dans des tubes de protection en acier semblables à ceux utilisés pour les émetteurs de sonar.</w:t>
      </w:r>
    </w:p>
    <w:p w:rsidR="00293C33" w:rsidRPr="005F3D76" w:rsidRDefault="00293C33" w:rsidP="00FA4246">
      <w:pPr>
        <w:pStyle w:val="SingleTxtG"/>
        <w:rPr>
          <w:rFonts w:eastAsia="Calibri"/>
          <w:snapToGrid/>
          <w:lang w:val="fr-FR" w:eastAsia="en-US"/>
        </w:rPr>
      </w:pPr>
      <w:r w:rsidRPr="005F3D76">
        <w:rPr>
          <w:rFonts w:eastAsia="Calibri"/>
          <w:snapToGrid/>
          <w:lang w:val="fr-FR" w:eastAsia="en-US"/>
        </w:rPr>
        <w:t xml:space="preserve">c) </w:t>
      </w:r>
      <w:r w:rsidRPr="005F3D76">
        <w:rPr>
          <w:rFonts w:eastAsia="Calibri"/>
          <w:snapToGrid/>
          <w:lang w:val="fr-FR" w:eastAsia="en-US"/>
        </w:rPr>
        <w:tab/>
        <w:t>Dans les locaux de service dans la zone de cargaison au-dessous du pont (comparables à la zone 1), seuls les équipements suivants sont admis :</w:t>
      </w:r>
    </w:p>
    <w:p w:rsidR="00293C33" w:rsidRPr="005F3D76" w:rsidRDefault="00293C33" w:rsidP="00FA4246">
      <w:pPr>
        <w:pStyle w:val="SingleTxtG"/>
        <w:rPr>
          <w:rFonts w:eastAsia="Calibri"/>
          <w:snapToGrid/>
          <w:lang w:val="fr-FR" w:eastAsia="en-US"/>
        </w:rPr>
      </w:pPr>
      <w:r w:rsidRPr="005F3D76">
        <w:rPr>
          <w:rFonts w:eastAsia="Calibri"/>
          <w:snapToGrid/>
          <w:lang w:val="fr-FR" w:eastAsia="en-US"/>
        </w:rPr>
        <w:t xml:space="preserve">– </w:t>
      </w:r>
      <w:r w:rsidRPr="005F3D76">
        <w:rPr>
          <w:rFonts w:eastAsia="Calibri"/>
          <w:snapToGrid/>
          <w:lang w:val="fr-FR" w:eastAsia="en-US"/>
        </w:rPr>
        <w:tab/>
        <w:t>appareils de mesure, de réglage et d'alarme de type certifié de sécurité ;</w:t>
      </w:r>
    </w:p>
    <w:p w:rsidR="00293C33" w:rsidRPr="005F3D76" w:rsidRDefault="00293C33" w:rsidP="00FA4246">
      <w:pPr>
        <w:pStyle w:val="SingleTxtG"/>
        <w:rPr>
          <w:rFonts w:eastAsia="Calibri"/>
          <w:snapToGrid/>
          <w:lang w:val="fr-FR" w:eastAsia="en-US"/>
        </w:rPr>
      </w:pPr>
      <w:r w:rsidRPr="005F3D76">
        <w:rPr>
          <w:rFonts w:eastAsia="Calibri"/>
          <w:snapToGrid/>
          <w:lang w:val="fr-FR" w:eastAsia="en-US"/>
        </w:rPr>
        <w:t xml:space="preserve">– </w:t>
      </w:r>
      <w:r w:rsidRPr="005F3D76">
        <w:rPr>
          <w:rFonts w:eastAsia="Calibri"/>
          <w:snapToGrid/>
          <w:lang w:val="fr-FR" w:eastAsia="en-US"/>
        </w:rPr>
        <w:tab/>
        <w:t>appareils d'éclairage répondant au type de protection “enveloppe antidéflagrante” ou “surpression interne” ;</w:t>
      </w:r>
    </w:p>
    <w:p w:rsidR="00293C33" w:rsidRPr="005F3D76" w:rsidRDefault="00293C33" w:rsidP="00FA4246">
      <w:pPr>
        <w:pStyle w:val="SingleTxtG"/>
        <w:rPr>
          <w:rFonts w:eastAsia="Calibri"/>
          <w:snapToGrid/>
          <w:lang w:val="fr-FR" w:eastAsia="en-US"/>
        </w:rPr>
      </w:pPr>
      <w:r w:rsidRPr="005F3D76">
        <w:rPr>
          <w:rFonts w:eastAsia="Calibri"/>
          <w:snapToGrid/>
          <w:lang w:val="fr-FR" w:eastAsia="en-US"/>
        </w:rPr>
        <w:t xml:space="preserve">– </w:t>
      </w:r>
      <w:r w:rsidRPr="005F3D76">
        <w:rPr>
          <w:rFonts w:eastAsia="Calibri"/>
          <w:snapToGrid/>
          <w:lang w:val="fr-FR" w:eastAsia="en-US"/>
        </w:rPr>
        <w:tab/>
        <w:t>moteurs entraînant les équipements indispensables tels que pompes de ballastage. Ils doivent être de type certifié de sécurité.</w:t>
      </w:r>
    </w:p>
    <w:p w:rsidR="00293C33" w:rsidRPr="005F3D76" w:rsidRDefault="00293C33" w:rsidP="00FA4246">
      <w:pPr>
        <w:pStyle w:val="SingleTxtG"/>
        <w:rPr>
          <w:rFonts w:eastAsia="Calibri"/>
          <w:snapToGrid/>
          <w:lang w:val="fr-FR" w:eastAsia="en-US"/>
        </w:rPr>
      </w:pPr>
      <w:proofErr w:type="gramStart"/>
      <w:r w:rsidRPr="005F3D76">
        <w:rPr>
          <w:rFonts w:eastAsia="Calibri"/>
          <w:snapToGrid/>
          <w:lang w:val="fr-FR" w:eastAsia="en-US"/>
        </w:rPr>
        <w:t>d</w:t>
      </w:r>
      <w:proofErr w:type="gramEnd"/>
      <w:r w:rsidRPr="005F3D76">
        <w:rPr>
          <w:rFonts w:eastAsia="Calibri"/>
          <w:snapToGrid/>
          <w:lang w:val="fr-FR" w:eastAsia="en-US"/>
        </w:rPr>
        <w:t>)</w:t>
      </w:r>
      <w:r w:rsidRPr="005F3D76">
        <w:rPr>
          <w:rFonts w:eastAsia="Calibri"/>
          <w:snapToGrid/>
          <w:lang w:val="fr-FR" w:eastAsia="en-US"/>
        </w:rPr>
        <w:tab/>
        <w:t>Les appareils de commande et de protection des équipements énumérés aux alinéas a), b) et c) ci-dessus doivent être situés en dehors de la zone de cargaison s'ils ne sont pas à sécurité intrinsèque.</w:t>
      </w:r>
    </w:p>
    <w:p w:rsidR="00293C33" w:rsidRPr="005F3D76" w:rsidRDefault="00293C33" w:rsidP="00FA4246">
      <w:pPr>
        <w:pStyle w:val="SingleTxtG"/>
        <w:rPr>
          <w:rFonts w:eastAsia="Calibri"/>
          <w:snapToGrid/>
          <w:lang w:val="fr-FR" w:eastAsia="en-US"/>
        </w:rPr>
      </w:pPr>
      <w:r w:rsidRPr="005F3D76">
        <w:rPr>
          <w:rFonts w:eastAsia="Calibri"/>
          <w:snapToGrid/>
          <w:lang w:val="fr-FR" w:eastAsia="en-US"/>
        </w:rPr>
        <w:t>e)</w:t>
      </w:r>
      <w:r w:rsidRPr="005F3D76">
        <w:rPr>
          <w:rFonts w:eastAsia="Calibri"/>
          <w:snapToGrid/>
          <w:lang w:val="fr-FR" w:eastAsia="en-US"/>
        </w:rPr>
        <w:tab/>
        <w:t>Dans la zone de cargaison sur le pont (comparable à la zone 1), les équipements électriques doivent être de type certifié de sécurité.</w:t>
      </w:r>
    </w:p>
    <w:p w:rsidR="00404A6A" w:rsidRPr="0088276A" w:rsidRDefault="00FA4246" w:rsidP="00FA4246">
      <w:pPr>
        <w:pStyle w:val="H1G"/>
        <w:rPr>
          <w:lang w:val="fr-FR"/>
        </w:rPr>
      </w:pPr>
      <w:r>
        <w:rPr>
          <w:lang w:val="fr-FR"/>
        </w:rPr>
        <w:tab/>
      </w:r>
      <w:r>
        <w:rPr>
          <w:lang w:val="fr-FR"/>
        </w:rPr>
        <w:tab/>
      </w:r>
      <w:r w:rsidR="0088276A">
        <w:rPr>
          <w:lang w:val="fr-FR"/>
        </w:rPr>
        <w:t>Proposition de texte de l'UENF</w:t>
      </w:r>
    </w:p>
    <w:p w:rsidR="00404A6A" w:rsidRPr="005F3D76" w:rsidRDefault="00404A6A" w:rsidP="00FA4246">
      <w:pPr>
        <w:pStyle w:val="SingleTxtG"/>
        <w:rPr>
          <w:snapToGrid/>
          <w:lang w:val="fr-FR" w:eastAsia="en-US"/>
        </w:rPr>
      </w:pPr>
      <w:r w:rsidRPr="005F3D76">
        <w:rPr>
          <w:rFonts w:eastAsia="Calibri"/>
          <w:snapToGrid/>
          <w:lang w:val="fr-FR" w:eastAsia="en-US"/>
        </w:rPr>
        <w:t>6.</w:t>
      </w:r>
      <w:r w:rsidR="00855D08" w:rsidRPr="005F3D76">
        <w:rPr>
          <w:rFonts w:eastAsia="Calibri"/>
          <w:snapToGrid/>
          <w:lang w:val="fr-FR" w:eastAsia="en-US"/>
        </w:rPr>
        <w:tab/>
      </w:r>
      <w:r w:rsidRPr="005F3D76">
        <w:rPr>
          <w:rFonts w:eastAsia="Calibri"/>
          <w:snapToGrid/>
          <w:lang w:val="fr-FR" w:eastAsia="en-US"/>
        </w:rPr>
        <w:t>Sur la base de la décision prise au cours de la 25ème session du Comité de sécurité de l'ADN, l'UENF propose de compléter comme suit le 9.3.x.52.1 :</w:t>
      </w:r>
      <w:r w:rsidRPr="005F3D76">
        <w:rPr>
          <w:snapToGrid/>
          <w:lang w:val="fr-FR" w:eastAsia="en-US"/>
        </w:rPr>
        <w:t xml:space="preserve"> </w:t>
      </w:r>
    </w:p>
    <w:p w:rsidR="004B2901" w:rsidRDefault="004B2901" w:rsidP="00FA4246">
      <w:pPr>
        <w:pStyle w:val="SingleTxtG"/>
        <w:rPr>
          <w:rFonts w:eastAsia="Calibri"/>
          <w:snapToGrid/>
          <w:lang w:val="fr-FR" w:eastAsia="en-US"/>
        </w:rPr>
      </w:pPr>
    </w:p>
    <w:p w:rsidR="00404A6A" w:rsidRPr="005F3D76" w:rsidRDefault="00404A6A" w:rsidP="00FA4246">
      <w:pPr>
        <w:pStyle w:val="SingleTxtG"/>
        <w:rPr>
          <w:rFonts w:eastAsia="Calibri"/>
          <w:snapToGrid/>
          <w:lang w:val="fr-FR" w:eastAsia="en-US"/>
        </w:rPr>
      </w:pPr>
      <w:r w:rsidRPr="005F3D76">
        <w:rPr>
          <w:rFonts w:eastAsia="Calibri"/>
          <w:snapToGrid/>
          <w:lang w:val="fr-FR" w:eastAsia="en-US"/>
        </w:rPr>
        <w:t>A la fin du 9.3.x.52.1 est inséré le texte suivant après la lettre e) :</w:t>
      </w:r>
    </w:p>
    <w:p w:rsidR="00404A6A" w:rsidRPr="005F3D76" w:rsidRDefault="00404A6A" w:rsidP="00FA4246">
      <w:pPr>
        <w:pStyle w:val="SingleTxtG"/>
        <w:rPr>
          <w:rFonts w:eastAsia="Calibri"/>
          <w:snapToGrid/>
          <w:lang w:val="fr-FR" w:eastAsia="en-US"/>
        </w:rPr>
      </w:pPr>
      <w:r w:rsidRPr="005F3D76">
        <w:rPr>
          <w:rFonts w:eastAsia="Calibri"/>
          <w:snapToGrid/>
          <w:lang w:val="fr-FR" w:eastAsia="en-US"/>
        </w:rPr>
        <w:t>….</w:t>
      </w:r>
    </w:p>
    <w:p w:rsidR="00C32CF7" w:rsidRPr="005F3D76" w:rsidRDefault="00C32CF7" w:rsidP="00FA4246">
      <w:pPr>
        <w:pStyle w:val="SingleTxtG"/>
        <w:rPr>
          <w:rFonts w:eastAsia="Calibri"/>
          <w:snapToGrid/>
          <w:lang w:val="fr-FR" w:eastAsia="en-US"/>
        </w:rPr>
      </w:pPr>
      <w:r w:rsidRPr="005F3D76">
        <w:rPr>
          <w:rFonts w:eastAsia="Calibri"/>
          <w:snapToGrid/>
          <w:lang w:val="fr-FR" w:eastAsia="en-US"/>
        </w:rPr>
        <w:t>e)</w:t>
      </w:r>
      <w:r w:rsidRPr="005F3D76">
        <w:rPr>
          <w:rFonts w:eastAsia="Calibri"/>
          <w:snapToGrid/>
          <w:lang w:val="fr-FR" w:eastAsia="en-US"/>
        </w:rPr>
        <w:tab/>
        <w:t>Dans la zone de cargaison sur le pont (comparable à la zone 1), les équipements électriques doivent être de type certifié de sécurité.</w:t>
      </w:r>
    </w:p>
    <w:p w:rsidR="00404A6A" w:rsidRPr="005F3D76" w:rsidRDefault="00404A6A" w:rsidP="00FA4246">
      <w:pPr>
        <w:pStyle w:val="SingleTxtG"/>
        <w:rPr>
          <w:bCs/>
          <w:snapToGrid/>
          <w:lang w:val="fr-FR" w:eastAsia="zh-CN"/>
        </w:rPr>
      </w:pPr>
      <w:r w:rsidRPr="005F3D76">
        <w:rPr>
          <w:bCs/>
          <w:snapToGrid/>
          <w:lang w:val="fr-FR" w:eastAsia="en-US"/>
        </w:rPr>
        <w:t xml:space="preserve">Si la liste des matières du bateau au sens du 1.16.1.2.5 ne comporte que des matières pour lesquelles n'est pas nécessaire une protection contre l'explosion en vertu du chapitre 3, </w:t>
      </w:r>
      <w:r w:rsidRPr="005F3D76">
        <w:rPr>
          <w:bCs/>
          <w:snapToGrid/>
          <w:lang w:val="fr-FR" w:eastAsia="en-US"/>
        </w:rPr>
        <w:lastRenderedPageBreak/>
        <w:t>tableau C, colonne 17, les équipements électriques situés dans les zones visées aux lettres a), b), c), d) et e) doivent répondre au type de protection "risque limité d'explosion" (comparable à la zone 2), la température de surface maximale de 200 °C ne devant pas être dépassée.</w:t>
      </w:r>
      <w:r w:rsidRPr="005F3D76">
        <w:rPr>
          <w:b/>
          <w:bCs/>
          <w:snapToGrid/>
          <w:lang w:val="fr-FR" w:eastAsia="en-US"/>
        </w:rPr>
        <w:t xml:space="preserve"> </w:t>
      </w:r>
    </w:p>
    <w:p w:rsidR="00404A6A" w:rsidRPr="005F3D76" w:rsidRDefault="00FA4246" w:rsidP="00FA4246">
      <w:pPr>
        <w:pStyle w:val="H1G"/>
        <w:rPr>
          <w:snapToGrid/>
          <w:lang w:val="fr-FR" w:eastAsia="en-US"/>
        </w:rPr>
      </w:pPr>
      <w:r>
        <w:rPr>
          <w:snapToGrid/>
          <w:lang w:val="fr-FR" w:eastAsia="en-US"/>
        </w:rPr>
        <w:tab/>
      </w:r>
      <w:r>
        <w:rPr>
          <w:snapToGrid/>
          <w:lang w:val="fr-FR" w:eastAsia="en-US"/>
        </w:rPr>
        <w:tab/>
      </w:r>
      <w:r w:rsidR="0088276A">
        <w:rPr>
          <w:snapToGrid/>
          <w:lang w:val="fr-FR" w:eastAsia="en-US"/>
        </w:rPr>
        <w:t>Motif</w:t>
      </w:r>
    </w:p>
    <w:p w:rsidR="00404A6A" w:rsidRPr="005F3D76" w:rsidRDefault="00404A6A" w:rsidP="00FA4246">
      <w:pPr>
        <w:pStyle w:val="SingleTxtG"/>
        <w:rPr>
          <w:snapToGrid/>
          <w:lang w:val="fr-FR" w:eastAsia="en-US"/>
        </w:rPr>
      </w:pPr>
      <w:r w:rsidRPr="005F3D76">
        <w:rPr>
          <w:snapToGrid/>
          <w:lang w:val="fr-FR" w:eastAsia="en-US"/>
        </w:rPr>
        <w:t>7.</w:t>
      </w:r>
      <w:r w:rsidRPr="005F3D76">
        <w:rPr>
          <w:snapToGrid/>
          <w:lang w:val="fr-FR" w:eastAsia="en-US"/>
        </w:rPr>
        <w:tab/>
        <w:t>Ce complément est nécessaire afin d'obtenir une sécurité juridique pour les équipements électriques dans la zone de cargaison de bâtiments dont la liste des matières transportées au sens du 1.16.1.2.5 ne comporte que des matières pour lesquelles une protection contre l'explosion n'est pas nécessaire en vertu du chapitre 3, tableau</w:t>
      </w:r>
      <w:r w:rsidR="004B2901">
        <w:rPr>
          <w:snapToGrid/>
          <w:lang w:val="fr-FR" w:eastAsia="en-US"/>
        </w:rPr>
        <w:t> </w:t>
      </w:r>
      <w:r w:rsidRPr="005F3D76">
        <w:rPr>
          <w:snapToGrid/>
          <w:lang w:val="fr-FR" w:eastAsia="en-US"/>
        </w:rPr>
        <w:t>C, Colonne 17. De telles exigences seraient plutôt cherchées dans les colonnes 15 et 16 du tableau C. Mais ces colonnes ne comportent pas de mentions pour les matières pour lesquelles une protection contre l'explosion n'est pas nécessaire en vertu de la colonne 17 :</w:t>
      </w:r>
    </w:p>
    <w:p w:rsidR="00404A6A" w:rsidRPr="005F3D76" w:rsidRDefault="00404A6A" w:rsidP="00FA4246">
      <w:pPr>
        <w:pStyle w:val="SingleTxtG"/>
        <w:rPr>
          <w:snapToGrid/>
          <w:lang w:val="fr-FR" w:eastAsia="en-US"/>
        </w:rPr>
      </w:pPr>
      <w:r w:rsidRPr="005F3D76">
        <w:rPr>
          <w:snapToGrid/>
          <w:lang w:val="fr-FR" w:eastAsia="en-US"/>
        </w:rPr>
        <w:t xml:space="preserve">La sous-section </w:t>
      </w:r>
      <w:r w:rsidRPr="005F3D76">
        <w:rPr>
          <w:rFonts w:eastAsia="Calibri"/>
          <w:snapToGrid/>
          <w:lang w:val="fr-FR" w:eastAsia="en-US"/>
        </w:rPr>
        <w:t>9.3.x.51.3 est rédigée comme suit :</w:t>
      </w:r>
    </w:p>
    <w:p w:rsidR="00F144BE" w:rsidRPr="005F3D76" w:rsidRDefault="00F144BE" w:rsidP="00FA4246">
      <w:pPr>
        <w:pStyle w:val="SingleTxtG"/>
        <w:rPr>
          <w:rFonts w:eastAsia="Calibri"/>
          <w:snapToGrid/>
          <w:lang w:val="fr-FR" w:eastAsia="en-US"/>
        </w:rPr>
      </w:pPr>
      <w:r w:rsidRPr="005F3D76">
        <w:rPr>
          <w:rFonts w:eastAsia="Calibri"/>
          <w:snapToGrid/>
          <w:lang w:val="fr-FR" w:eastAsia="en-US"/>
        </w:rPr>
        <w:t>Pour sélectionner le matériel électrique destiné à des zones à risque d'explosion on doit prendre en considération les groupes d'explosion et les classes de température affectés aux matières transportées selon les colonnes (15) et (16) du tableau C du chapitre 3.2.</w:t>
      </w:r>
    </w:p>
    <w:p w:rsidR="00404A6A" w:rsidRPr="00FA4246" w:rsidRDefault="00404A6A" w:rsidP="00FA4246">
      <w:pPr>
        <w:pStyle w:val="SingleTxtG"/>
        <w:rPr>
          <w:rFonts w:eastAsia="Calibri"/>
          <w:b/>
          <w:snapToGrid/>
          <w:lang w:val="fr-FR" w:eastAsia="en-US"/>
        </w:rPr>
      </w:pPr>
      <w:r w:rsidRPr="00FA4246">
        <w:rPr>
          <w:rFonts w:eastAsia="Calibri"/>
          <w:b/>
          <w:snapToGrid/>
          <w:lang w:val="fr-FR" w:eastAsia="en-US"/>
        </w:rPr>
        <w:t>Utilisation du tableau C :</w:t>
      </w:r>
    </w:p>
    <w:p w:rsidR="00404A6A" w:rsidRPr="00FA4246" w:rsidRDefault="00404A6A" w:rsidP="00FA4246">
      <w:pPr>
        <w:pStyle w:val="SingleTxtG"/>
        <w:rPr>
          <w:rFonts w:eastAsia="Calibri"/>
          <w:b/>
          <w:snapToGrid/>
          <w:lang w:val="fr-FR" w:eastAsia="en-US"/>
        </w:rPr>
      </w:pPr>
      <w:r w:rsidRPr="00FA4246">
        <w:rPr>
          <w:rFonts w:eastAsia="Calibri"/>
          <w:b/>
          <w:snapToGrid/>
          <w:lang w:val="fr-FR" w:eastAsia="en-US"/>
        </w:rPr>
        <w:t xml:space="preserve">Lorsque la protection contre l'explosion n'est pas exigée dans la colonne 17 du tableau C, il n'y a pas non plus de mentions dans les colonnes 15 et 16. </w:t>
      </w:r>
    </w:p>
    <w:p w:rsidR="00404A6A" w:rsidRPr="005F3D76" w:rsidRDefault="00404A6A" w:rsidP="00FA4246">
      <w:pPr>
        <w:pStyle w:val="SingleTxtG"/>
        <w:rPr>
          <w:rFonts w:eastAsia="Calibri"/>
          <w:snapToGrid/>
          <w:lang w:val="fr-FR" w:eastAsia="en-US"/>
        </w:rPr>
      </w:pPr>
      <w:r w:rsidRPr="005F3D76">
        <w:rPr>
          <w:rFonts w:eastAsia="Calibri"/>
          <w:snapToGrid/>
          <w:lang w:val="fr-FR" w:eastAsia="en-US"/>
        </w:rPr>
        <w:t xml:space="preserve">8. </w:t>
      </w:r>
      <w:r w:rsidRPr="005F3D76">
        <w:rPr>
          <w:rFonts w:eastAsia="Calibri"/>
          <w:snapToGrid/>
          <w:lang w:val="fr-FR" w:eastAsia="en-US"/>
        </w:rPr>
        <w:tab/>
        <w:t>Le complément proposé est également conforme à la décision prise lors de la 25</w:t>
      </w:r>
      <w:r w:rsidRPr="005F3D76">
        <w:rPr>
          <w:rFonts w:eastAsia="Calibri"/>
          <w:snapToGrid/>
          <w:vertAlign w:val="superscript"/>
          <w:lang w:val="fr-FR" w:eastAsia="en-US"/>
        </w:rPr>
        <w:t>ème</w:t>
      </w:r>
      <w:r w:rsidR="00802AB4" w:rsidRPr="005F3D76">
        <w:rPr>
          <w:rFonts w:eastAsia="Calibri"/>
          <w:snapToGrid/>
          <w:lang w:val="fr-FR" w:eastAsia="en-US"/>
        </w:rPr>
        <w:t xml:space="preserve"> </w:t>
      </w:r>
      <w:r w:rsidRPr="005F3D76">
        <w:rPr>
          <w:rFonts w:eastAsia="Calibri"/>
          <w:snapToGrid/>
          <w:lang w:val="fr-FR" w:eastAsia="en-US"/>
        </w:rPr>
        <w:t>session du Comité de sécurité de l'ADN.</w:t>
      </w:r>
    </w:p>
    <w:p w:rsidR="00404A6A" w:rsidRPr="005F3D76" w:rsidRDefault="00404A6A" w:rsidP="00FA4246">
      <w:pPr>
        <w:pStyle w:val="SingleTxtG"/>
        <w:rPr>
          <w:rFonts w:eastAsia="Calibri"/>
          <w:snapToGrid/>
          <w:lang w:val="fr-FR" w:eastAsia="en-US"/>
        </w:rPr>
      </w:pPr>
      <w:r w:rsidRPr="005F3D76">
        <w:rPr>
          <w:rFonts w:eastAsia="Calibri"/>
          <w:snapToGrid/>
          <w:lang w:val="fr-FR" w:eastAsia="en-US"/>
        </w:rPr>
        <w:t>Extrait du compte rendu de la 25</w:t>
      </w:r>
      <w:r w:rsidRPr="005F3D76">
        <w:rPr>
          <w:rFonts w:eastAsia="Calibri"/>
          <w:snapToGrid/>
          <w:vertAlign w:val="superscript"/>
          <w:lang w:val="fr-FR" w:eastAsia="en-US"/>
        </w:rPr>
        <w:t>ème</w:t>
      </w:r>
      <w:r w:rsidR="00802AB4" w:rsidRPr="005F3D76">
        <w:rPr>
          <w:rFonts w:eastAsia="Calibri"/>
          <w:snapToGrid/>
          <w:lang w:val="fr-FR" w:eastAsia="en-US"/>
        </w:rPr>
        <w:t xml:space="preserve"> </w:t>
      </w:r>
      <w:r w:rsidRPr="005F3D76">
        <w:rPr>
          <w:rFonts w:eastAsia="Calibri"/>
          <w:snapToGrid/>
          <w:lang w:val="fr-FR" w:eastAsia="en-US"/>
        </w:rPr>
        <w:t>réunion commune d'experts sur le Règlement annexé à l’Accord européen relatif au transport international des marchandises dangereuses par voies de navigation intérieures (Comité de sécurité de l’ADN) du 25 au 29 août 2014 :</w:t>
      </w:r>
    </w:p>
    <w:p w:rsidR="004F7F04" w:rsidRPr="005F3D76" w:rsidRDefault="004F7F04" w:rsidP="00FA4246">
      <w:pPr>
        <w:pStyle w:val="SingleTxtG"/>
        <w:rPr>
          <w:snapToGrid/>
          <w:lang w:val="fr-FR"/>
        </w:rPr>
      </w:pPr>
      <w:r w:rsidRPr="005F3D76">
        <w:rPr>
          <w:b/>
          <w:snapToGrid/>
          <w:lang w:val="fr-FR"/>
        </w:rPr>
        <w:t>54.</w:t>
      </w:r>
      <w:r w:rsidRPr="005F3D76">
        <w:rPr>
          <w:snapToGrid/>
          <w:lang w:val="fr-FR"/>
        </w:rPr>
        <w:tab/>
        <w:t>Le Comité de sécurité a indiqué qu'il convenait de tenir compte de ces risques et que tous les bateaux-citernes transportant des marchandises dangereuses soumises à l'ADN quelles qu'elles soient devraient satisfaire à un niveau de protection contre l'explosion minimum de zone 2. Le groupe de travail informel devra déterminer quelles sont les prescriptions minimales qui devraient être satisfaites par le matériel électrique (par exemple, classe de température, groupe d'explosion) et qui devraient être reflétées comme il convient dans le tableau C.</w:t>
      </w:r>
    </w:p>
    <w:p w:rsidR="004F7F04" w:rsidRPr="005F3D76" w:rsidRDefault="004F7F04" w:rsidP="00FA4246">
      <w:pPr>
        <w:pStyle w:val="SingleTxtG"/>
        <w:rPr>
          <w:snapToGrid/>
          <w:lang w:val="fr-FR"/>
        </w:rPr>
      </w:pPr>
      <w:r w:rsidRPr="005F3D76">
        <w:rPr>
          <w:b/>
          <w:snapToGrid/>
          <w:lang w:val="fr-FR"/>
        </w:rPr>
        <w:t>56.</w:t>
      </w:r>
      <w:r w:rsidRPr="005F3D76">
        <w:rPr>
          <w:snapToGrid/>
          <w:lang w:val="fr-FR"/>
        </w:rPr>
        <w:tab/>
        <w:t xml:space="preserve">Le Comité de sécurité a décidé qu'il conviendrait d'appliquer un concept intermédiaire, </w:t>
      </w:r>
      <w:r w:rsidRPr="005F3D76">
        <w:rPr>
          <w:b/>
          <w:snapToGrid/>
          <w:lang w:val="fr-FR"/>
        </w:rPr>
        <w:t>à savoir que le niveau de protection, s'il doit être supérieur au niveau minimum prévu pour la zone 2, dépendra de la liste des matières autorisées au transport par le bateau-citerne,</w:t>
      </w:r>
      <w:r w:rsidRPr="005F3D76">
        <w:rPr>
          <w:snapToGrid/>
          <w:lang w:val="fr-FR"/>
        </w:rPr>
        <w:t xml:space="preserve"> c’est-à-dire celui à prévoir pour la matière qui présente le plus grand risque d'explosion dans cette liste. Des exceptions pourraient être prévues dans des cas bien définis pour le matériel qui peut être remplacé facilement lorsqu'une matière moins dangereuse est transportée.</w:t>
      </w:r>
    </w:p>
    <w:p w:rsidR="002C49BA" w:rsidRPr="00FA4246" w:rsidRDefault="00FA4246" w:rsidP="00FA4246">
      <w:pPr>
        <w:spacing w:before="240"/>
        <w:ind w:left="1134" w:right="1134"/>
        <w:jc w:val="center"/>
        <w:rPr>
          <w:u w:val="single"/>
          <w:lang w:val="de-DE"/>
        </w:rPr>
      </w:pPr>
      <w:r>
        <w:rPr>
          <w:u w:val="single"/>
          <w:lang w:val="de-DE"/>
        </w:rPr>
        <w:tab/>
      </w:r>
      <w:r>
        <w:rPr>
          <w:u w:val="single"/>
          <w:lang w:val="de-DE"/>
        </w:rPr>
        <w:tab/>
      </w:r>
      <w:r>
        <w:rPr>
          <w:u w:val="single"/>
          <w:lang w:val="de-DE"/>
        </w:rPr>
        <w:tab/>
      </w:r>
    </w:p>
    <w:sectPr w:rsidR="002C49BA" w:rsidRPr="00FA4246" w:rsidSect="00FA4246">
      <w:headerReference w:type="even" r:id="rId8"/>
      <w:headerReference w:type="default" r:id="rId9"/>
      <w:footerReference w:type="even" r:id="rId10"/>
      <w:footerReference w:type="default" r:id="rId11"/>
      <w:footerReference w:type="first" r:id="rId12"/>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FC" w:rsidRDefault="000F7BFC">
      <w:pPr>
        <w:rPr>
          <w:szCs w:val="24"/>
        </w:rPr>
      </w:pPr>
    </w:p>
  </w:endnote>
  <w:endnote w:type="continuationSeparator" w:id="0">
    <w:p w:rsidR="000F7BFC" w:rsidRDefault="000F7BFC">
      <w:pPr>
        <w:rPr>
          <w:szCs w:val="24"/>
        </w:rPr>
      </w:pPr>
    </w:p>
  </w:endnote>
  <w:endnote w:type="continuationNotice" w:id="1">
    <w:p w:rsidR="000F7BFC" w:rsidRDefault="000F7BFC">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D6" w:rsidRPr="00FA4246" w:rsidRDefault="00FA4246" w:rsidP="00FA4246">
    <w:pPr>
      <w:spacing w:line="240" w:lineRule="auto"/>
      <w:rPr>
        <w:sz w:val="16"/>
        <w:lang w:eastAsia="en-US"/>
      </w:rPr>
    </w:pPr>
    <w:r w:rsidRPr="00A17622">
      <w:rPr>
        <w:b/>
        <w:sz w:val="18"/>
        <w:lang w:eastAsia="en-US"/>
      </w:rPr>
      <w:fldChar w:fldCharType="begin"/>
    </w:r>
    <w:r w:rsidRPr="00A17622">
      <w:rPr>
        <w:b/>
        <w:sz w:val="18"/>
        <w:lang w:eastAsia="en-US"/>
      </w:rPr>
      <w:instrText xml:space="preserve"> PAGE </w:instrText>
    </w:r>
    <w:r w:rsidRPr="00A17622">
      <w:rPr>
        <w:b/>
        <w:sz w:val="18"/>
        <w:lang w:eastAsia="en-US"/>
      </w:rPr>
      <w:fldChar w:fldCharType="separate"/>
    </w:r>
    <w:r>
      <w:rPr>
        <w:b/>
        <w:noProof/>
        <w:sz w:val="18"/>
        <w:lang w:eastAsia="en-US"/>
      </w:rPr>
      <w:t>2</w:t>
    </w:r>
    <w:r w:rsidRPr="00A17622">
      <w:rPr>
        <w:b/>
        <w:sz w:val="18"/>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08" w:rsidRPr="00FA4246" w:rsidRDefault="00FA4246" w:rsidP="00FA4246">
    <w:pPr>
      <w:spacing w:line="240" w:lineRule="auto"/>
      <w:jc w:val="right"/>
      <w:rPr>
        <w:sz w:val="16"/>
        <w:lang w:eastAsia="en-US"/>
      </w:rPr>
    </w:pPr>
    <w:r w:rsidRPr="00A17622">
      <w:rPr>
        <w:b/>
        <w:sz w:val="18"/>
        <w:lang w:eastAsia="en-US"/>
      </w:rPr>
      <w:fldChar w:fldCharType="begin"/>
    </w:r>
    <w:r w:rsidRPr="00A17622">
      <w:rPr>
        <w:b/>
        <w:sz w:val="18"/>
        <w:lang w:eastAsia="en-US"/>
      </w:rPr>
      <w:instrText xml:space="preserve"> PAGE </w:instrText>
    </w:r>
    <w:r w:rsidRPr="00A17622">
      <w:rPr>
        <w:b/>
        <w:sz w:val="18"/>
        <w:lang w:eastAsia="en-US"/>
      </w:rPr>
      <w:fldChar w:fldCharType="separate"/>
    </w:r>
    <w:r>
      <w:rPr>
        <w:b/>
        <w:noProof/>
        <w:sz w:val="18"/>
        <w:lang w:eastAsia="en-US"/>
      </w:rPr>
      <w:t>3</w:t>
    </w:r>
    <w:r w:rsidRPr="00A17622">
      <w:rPr>
        <w:b/>
        <w:sz w:val="18"/>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46" w:rsidRDefault="00FA4246" w:rsidP="00FA4246">
    <w:pPr>
      <w:jc w:val="right"/>
    </w:pPr>
    <w:r>
      <w:rPr>
        <w:rStyle w:val="PageNumber"/>
      </w:rPr>
      <w:fldChar w:fldCharType="begin"/>
    </w:r>
    <w:r>
      <w:rPr>
        <w:rStyle w:val="PageNumber"/>
      </w:rPr>
      <w:instrText xml:space="preserve"> PAGE </w:instrText>
    </w:r>
    <w:r>
      <w:rPr>
        <w:rStyle w:val="PageNumber"/>
      </w:rPr>
      <w:fldChar w:fldCharType="separate"/>
    </w:r>
    <w:r w:rsidR="00383AB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FC" w:rsidRDefault="000F7BFC">
      <w:pPr>
        <w:tabs>
          <w:tab w:val="right" w:pos="2155"/>
        </w:tabs>
        <w:spacing w:after="80"/>
        <w:ind w:left="680"/>
        <w:rPr>
          <w:szCs w:val="24"/>
          <w:u w:val="single"/>
        </w:rPr>
      </w:pPr>
      <w:r>
        <w:rPr>
          <w:szCs w:val="24"/>
          <w:u w:val="single"/>
        </w:rPr>
        <w:tab/>
      </w:r>
    </w:p>
  </w:footnote>
  <w:footnote w:type="continuationSeparator" w:id="0">
    <w:p w:rsidR="000F7BFC" w:rsidRDefault="000F7BFC">
      <w:pPr>
        <w:tabs>
          <w:tab w:val="left" w:pos="2155"/>
        </w:tabs>
        <w:spacing w:after="80"/>
        <w:ind w:left="680"/>
        <w:rPr>
          <w:szCs w:val="24"/>
          <w:u w:val="single"/>
        </w:rPr>
      </w:pPr>
      <w:r>
        <w:rPr>
          <w:szCs w:val="24"/>
          <w:u w:val="single"/>
        </w:rPr>
        <w:tab/>
      </w:r>
    </w:p>
  </w:footnote>
  <w:footnote w:type="continuationNotice" w:id="1">
    <w:p w:rsidR="000F7BFC" w:rsidRDefault="000F7BFC">
      <w:pP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27" w:rsidRPr="00FA4246" w:rsidRDefault="00FA4246" w:rsidP="00FA4246">
    <w:pPr>
      <w:pStyle w:val="Header"/>
      <w:rPr>
        <w:lang w:val="fr-CH"/>
      </w:rPr>
    </w:pPr>
    <w:r>
      <w:rPr>
        <w:lang w:val="fr-CH"/>
      </w:rPr>
      <w:t>I</w:t>
    </w:r>
    <w:r>
      <w:rPr>
        <w:lang w:val="fr-CH"/>
      </w:rPr>
      <w:t>NF.26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6A" w:rsidRPr="00FA4246" w:rsidRDefault="00FA4246" w:rsidP="00FA4246">
    <w:pPr>
      <w:pStyle w:val="Header"/>
      <w:jc w:val="right"/>
      <w:rPr>
        <w:lang w:val="fr-CH"/>
      </w:rPr>
    </w:pPr>
    <w:r>
      <w:rPr>
        <w:lang w:val="fr-CH"/>
      </w:rPr>
      <w:t>INF.</w:t>
    </w:r>
    <w:r>
      <w:rPr>
        <w:lang w:val="fr-CH"/>
      </w:rP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3">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5">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6">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7">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8">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9">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3">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15">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17">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8">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19">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7">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29">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23"/>
  </w:num>
  <w:num w:numId="4">
    <w:abstractNumId w:val="4"/>
  </w:num>
  <w:num w:numId="5">
    <w:abstractNumId w:val="27"/>
  </w:num>
  <w:num w:numId="6">
    <w:abstractNumId w:val="2"/>
  </w:num>
  <w:num w:numId="7">
    <w:abstractNumId w:val="5"/>
  </w:num>
  <w:num w:numId="8">
    <w:abstractNumId w:val="16"/>
  </w:num>
  <w:num w:numId="9">
    <w:abstractNumId w:val="9"/>
  </w:num>
  <w:num w:numId="10">
    <w:abstractNumId w:val="6"/>
  </w:num>
  <w:num w:numId="11">
    <w:abstractNumId w:val="18"/>
  </w:num>
  <w:num w:numId="12">
    <w:abstractNumId w:val="3"/>
  </w:num>
  <w:num w:numId="13">
    <w:abstractNumId w:val="26"/>
  </w:num>
  <w:num w:numId="14">
    <w:abstractNumId w:val="7"/>
  </w:num>
  <w:num w:numId="15">
    <w:abstractNumId w:val="29"/>
  </w:num>
  <w:num w:numId="16">
    <w:abstractNumId w:val="24"/>
  </w:num>
  <w:num w:numId="17">
    <w:abstractNumId w:val="15"/>
  </w:num>
  <w:num w:numId="18">
    <w:abstractNumId w:val="10"/>
  </w:num>
  <w:num w:numId="19">
    <w:abstractNumId w:val="17"/>
  </w:num>
  <w:num w:numId="20">
    <w:abstractNumId w:val="8"/>
  </w:num>
  <w:num w:numId="21">
    <w:abstractNumId w:val="21"/>
  </w:num>
  <w:num w:numId="22">
    <w:abstractNumId w:val="28"/>
  </w:num>
  <w:num w:numId="23">
    <w:abstractNumId w:val="22"/>
  </w:num>
  <w:num w:numId="24">
    <w:abstractNumId w:val="13"/>
  </w:num>
  <w:num w:numId="25">
    <w:abstractNumId w:val="20"/>
  </w:num>
  <w:num w:numId="26">
    <w:abstractNumId w:val="12"/>
  </w:num>
  <w:num w:numId="27">
    <w:abstractNumId w:val="11"/>
  </w:num>
  <w:num w:numId="28">
    <w:abstractNumId w:val="25"/>
  </w:num>
  <w:num w:numId="29">
    <w:abstractNumId w:val="14"/>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10CCD"/>
    <w:rsid w:val="00020B06"/>
    <w:rsid w:val="0002116F"/>
    <w:rsid w:val="00024FB3"/>
    <w:rsid w:val="00030C06"/>
    <w:rsid w:val="00031537"/>
    <w:rsid w:val="00035613"/>
    <w:rsid w:val="00037CC1"/>
    <w:rsid w:val="0004044C"/>
    <w:rsid w:val="00041717"/>
    <w:rsid w:val="00045320"/>
    <w:rsid w:val="000463F9"/>
    <w:rsid w:val="000471D8"/>
    <w:rsid w:val="00050941"/>
    <w:rsid w:val="00050F6B"/>
    <w:rsid w:val="00053D5C"/>
    <w:rsid w:val="00054498"/>
    <w:rsid w:val="00056F3E"/>
    <w:rsid w:val="00057251"/>
    <w:rsid w:val="00060A33"/>
    <w:rsid w:val="000632A3"/>
    <w:rsid w:val="00063AD6"/>
    <w:rsid w:val="00071CC5"/>
    <w:rsid w:val="00072C8C"/>
    <w:rsid w:val="00075692"/>
    <w:rsid w:val="00075B37"/>
    <w:rsid w:val="00075D0F"/>
    <w:rsid w:val="0007766C"/>
    <w:rsid w:val="00081084"/>
    <w:rsid w:val="0008130F"/>
    <w:rsid w:val="0008420F"/>
    <w:rsid w:val="0008613C"/>
    <w:rsid w:val="000907FA"/>
    <w:rsid w:val="000931C0"/>
    <w:rsid w:val="00095E3D"/>
    <w:rsid w:val="00097767"/>
    <w:rsid w:val="000A0570"/>
    <w:rsid w:val="000A446A"/>
    <w:rsid w:val="000A5033"/>
    <w:rsid w:val="000B175B"/>
    <w:rsid w:val="000B1C22"/>
    <w:rsid w:val="000B3A0F"/>
    <w:rsid w:val="000B5909"/>
    <w:rsid w:val="000B6729"/>
    <w:rsid w:val="000B6B5B"/>
    <w:rsid w:val="000B7ECB"/>
    <w:rsid w:val="000C023D"/>
    <w:rsid w:val="000C4400"/>
    <w:rsid w:val="000C67EE"/>
    <w:rsid w:val="000C7258"/>
    <w:rsid w:val="000E0415"/>
    <w:rsid w:val="000E520B"/>
    <w:rsid w:val="000E566D"/>
    <w:rsid w:val="000E7062"/>
    <w:rsid w:val="000F7BFC"/>
    <w:rsid w:val="001025CF"/>
    <w:rsid w:val="001066C5"/>
    <w:rsid w:val="00111C23"/>
    <w:rsid w:val="00113FC7"/>
    <w:rsid w:val="00121B98"/>
    <w:rsid w:val="001220B8"/>
    <w:rsid w:val="00123A7B"/>
    <w:rsid w:val="00131A08"/>
    <w:rsid w:val="0013213F"/>
    <w:rsid w:val="0013574C"/>
    <w:rsid w:val="00135BA5"/>
    <w:rsid w:val="00136129"/>
    <w:rsid w:val="00137A57"/>
    <w:rsid w:val="001422F4"/>
    <w:rsid w:val="00155C78"/>
    <w:rsid w:val="00161846"/>
    <w:rsid w:val="001730D3"/>
    <w:rsid w:val="00174EA5"/>
    <w:rsid w:val="001817E0"/>
    <w:rsid w:val="00181A2A"/>
    <w:rsid w:val="001870ED"/>
    <w:rsid w:val="00193460"/>
    <w:rsid w:val="001938F0"/>
    <w:rsid w:val="001A1048"/>
    <w:rsid w:val="001A148C"/>
    <w:rsid w:val="001A2704"/>
    <w:rsid w:val="001A4ED5"/>
    <w:rsid w:val="001B3169"/>
    <w:rsid w:val="001B3934"/>
    <w:rsid w:val="001B4B04"/>
    <w:rsid w:val="001B520E"/>
    <w:rsid w:val="001B5B74"/>
    <w:rsid w:val="001C3971"/>
    <w:rsid w:val="001C5D76"/>
    <w:rsid w:val="001C6663"/>
    <w:rsid w:val="001C7895"/>
    <w:rsid w:val="001C7D91"/>
    <w:rsid w:val="001D184F"/>
    <w:rsid w:val="001D26DF"/>
    <w:rsid w:val="001D6796"/>
    <w:rsid w:val="001E2192"/>
    <w:rsid w:val="001E73AA"/>
    <w:rsid w:val="001F09CD"/>
    <w:rsid w:val="001F1354"/>
    <w:rsid w:val="001F14EB"/>
    <w:rsid w:val="001F5DEF"/>
    <w:rsid w:val="00203DD1"/>
    <w:rsid w:val="00205464"/>
    <w:rsid w:val="00211454"/>
    <w:rsid w:val="00211E0B"/>
    <w:rsid w:val="002161C2"/>
    <w:rsid w:val="002222D3"/>
    <w:rsid w:val="00224AA7"/>
    <w:rsid w:val="00225418"/>
    <w:rsid w:val="00231733"/>
    <w:rsid w:val="00236DE8"/>
    <w:rsid w:val="002405A7"/>
    <w:rsid w:val="00242C50"/>
    <w:rsid w:val="00250D22"/>
    <w:rsid w:val="00252025"/>
    <w:rsid w:val="00252334"/>
    <w:rsid w:val="00256528"/>
    <w:rsid w:val="00256C6B"/>
    <w:rsid w:val="00261834"/>
    <w:rsid w:val="00261D35"/>
    <w:rsid w:val="00263764"/>
    <w:rsid w:val="002728A1"/>
    <w:rsid w:val="002736EA"/>
    <w:rsid w:val="002745AF"/>
    <w:rsid w:val="00275092"/>
    <w:rsid w:val="00277B86"/>
    <w:rsid w:val="00293C33"/>
    <w:rsid w:val="00293E45"/>
    <w:rsid w:val="0029559D"/>
    <w:rsid w:val="002A0F84"/>
    <w:rsid w:val="002A3AB5"/>
    <w:rsid w:val="002B431F"/>
    <w:rsid w:val="002B50AC"/>
    <w:rsid w:val="002B7E5F"/>
    <w:rsid w:val="002C03A7"/>
    <w:rsid w:val="002C3A68"/>
    <w:rsid w:val="002C49BA"/>
    <w:rsid w:val="002C5B89"/>
    <w:rsid w:val="002C6ACD"/>
    <w:rsid w:val="002C7C88"/>
    <w:rsid w:val="002D0E0E"/>
    <w:rsid w:val="002D19AD"/>
    <w:rsid w:val="002D652F"/>
    <w:rsid w:val="002E0B26"/>
    <w:rsid w:val="002E1352"/>
    <w:rsid w:val="00300698"/>
    <w:rsid w:val="003107FA"/>
    <w:rsid w:val="0031437A"/>
    <w:rsid w:val="00315F72"/>
    <w:rsid w:val="003229D8"/>
    <w:rsid w:val="00323726"/>
    <w:rsid w:val="00324FA1"/>
    <w:rsid w:val="0032532E"/>
    <w:rsid w:val="0033023C"/>
    <w:rsid w:val="00332291"/>
    <w:rsid w:val="00333876"/>
    <w:rsid w:val="00333D37"/>
    <w:rsid w:val="0033408B"/>
    <w:rsid w:val="0033745A"/>
    <w:rsid w:val="00350559"/>
    <w:rsid w:val="00350DE1"/>
    <w:rsid w:val="00350E89"/>
    <w:rsid w:val="00354544"/>
    <w:rsid w:val="003545F4"/>
    <w:rsid w:val="003632F3"/>
    <w:rsid w:val="003641EF"/>
    <w:rsid w:val="0036541D"/>
    <w:rsid w:val="003709C2"/>
    <w:rsid w:val="00370F68"/>
    <w:rsid w:val="00371FB2"/>
    <w:rsid w:val="00375D3A"/>
    <w:rsid w:val="00380A4E"/>
    <w:rsid w:val="003820C5"/>
    <w:rsid w:val="00383AB8"/>
    <w:rsid w:val="0039277A"/>
    <w:rsid w:val="00395B51"/>
    <w:rsid w:val="003972E0"/>
    <w:rsid w:val="003A1EBD"/>
    <w:rsid w:val="003A3950"/>
    <w:rsid w:val="003B0BDF"/>
    <w:rsid w:val="003B1FD7"/>
    <w:rsid w:val="003B507C"/>
    <w:rsid w:val="003B5C22"/>
    <w:rsid w:val="003B7822"/>
    <w:rsid w:val="003C1867"/>
    <w:rsid w:val="003C2CC4"/>
    <w:rsid w:val="003C2E87"/>
    <w:rsid w:val="003C3936"/>
    <w:rsid w:val="003C5DF2"/>
    <w:rsid w:val="003C70C8"/>
    <w:rsid w:val="003D0F99"/>
    <w:rsid w:val="003D2B8F"/>
    <w:rsid w:val="003D3B4A"/>
    <w:rsid w:val="003D4B23"/>
    <w:rsid w:val="003D620D"/>
    <w:rsid w:val="003E7A98"/>
    <w:rsid w:val="003F1ED3"/>
    <w:rsid w:val="003F3B18"/>
    <w:rsid w:val="003F4A0B"/>
    <w:rsid w:val="003F729B"/>
    <w:rsid w:val="003F72C8"/>
    <w:rsid w:val="00400769"/>
    <w:rsid w:val="00403952"/>
    <w:rsid w:val="004049D8"/>
    <w:rsid w:val="00404A6A"/>
    <w:rsid w:val="00407014"/>
    <w:rsid w:val="004152DA"/>
    <w:rsid w:val="00417E2F"/>
    <w:rsid w:val="00421563"/>
    <w:rsid w:val="00423439"/>
    <w:rsid w:val="00424A17"/>
    <w:rsid w:val="004316DA"/>
    <w:rsid w:val="004325CB"/>
    <w:rsid w:val="00433C98"/>
    <w:rsid w:val="00434E37"/>
    <w:rsid w:val="00446793"/>
    <w:rsid w:val="00446DE4"/>
    <w:rsid w:val="00452BB4"/>
    <w:rsid w:val="004535E7"/>
    <w:rsid w:val="0045394D"/>
    <w:rsid w:val="0045575E"/>
    <w:rsid w:val="004578CF"/>
    <w:rsid w:val="0046236D"/>
    <w:rsid w:val="004644C6"/>
    <w:rsid w:val="00466C98"/>
    <w:rsid w:val="00467938"/>
    <w:rsid w:val="004743AE"/>
    <w:rsid w:val="00480BB9"/>
    <w:rsid w:val="00481AC6"/>
    <w:rsid w:val="00484A7C"/>
    <w:rsid w:val="00492241"/>
    <w:rsid w:val="00492774"/>
    <w:rsid w:val="004933E1"/>
    <w:rsid w:val="00495EE5"/>
    <w:rsid w:val="00496493"/>
    <w:rsid w:val="00497343"/>
    <w:rsid w:val="004A1EF5"/>
    <w:rsid w:val="004A1F22"/>
    <w:rsid w:val="004A1F48"/>
    <w:rsid w:val="004A2EDD"/>
    <w:rsid w:val="004A3894"/>
    <w:rsid w:val="004A3E33"/>
    <w:rsid w:val="004A41CA"/>
    <w:rsid w:val="004A5778"/>
    <w:rsid w:val="004B2901"/>
    <w:rsid w:val="004B29D2"/>
    <w:rsid w:val="004B5816"/>
    <w:rsid w:val="004C7BD2"/>
    <w:rsid w:val="004D2AF1"/>
    <w:rsid w:val="004D785F"/>
    <w:rsid w:val="004D7A03"/>
    <w:rsid w:val="004E0F2B"/>
    <w:rsid w:val="004E6760"/>
    <w:rsid w:val="004E74FC"/>
    <w:rsid w:val="004F13C8"/>
    <w:rsid w:val="004F1BE5"/>
    <w:rsid w:val="004F6071"/>
    <w:rsid w:val="004F750B"/>
    <w:rsid w:val="004F7F04"/>
    <w:rsid w:val="00503228"/>
    <w:rsid w:val="00505384"/>
    <w:rsid w:val="00513283"/>
    <w:rsid w:val="005134CA"/>
    <w:rsid w:val="0051520D"/>
    <w:rsid w:val="0051600A"/>
    <w:rsid w:val="005166F9"/>
    <w:rsid w:val="00516773"/>
    <w:rsid w:val="0052122E"/>
    <w:rsid w:val="00521ECF"/>
    <w:rsid w:val="00527CFD"/>
    <w:rsid w:val="0053266F"/>
    <w:rsid w:val="00541737"/>
    <w:rsid w:val="005420F2"/>
    <w:rsid w:val="00542DCC"/>
    <w:rsid w:val="00542FFC"/>
    <w:rsid w:val="0054420A"/>
    <w:rsid w:val="005447B3"/>
    <w:rsid w:val="005458EF"/>
    <w:rsid w:val="00546E37"/>
    <w:rsid w:val="005470FF"/>
    <w:rsid w:val="00572177"/>
    <w:rsid w:val="00580C8B"/>
    <w:rsid w:val="00580ED5"/>
    <w:rsid w:val="00587F3C"/>
    <w:rsid w:val="00590B15"/>
    <w:rsid w:val="0059380F"/>
    <w:rsid w:val="005A0417"/>
    <w:rsid w:val="005A1D62"/>
    <w:rsid w:val="005A21DC"/>
    <w:rsid w:val="005A63C6"/>
    <w:rsid w:val="005B0C72"/>
    <w:rsid w:val="005B353D"/>
    <w:rsid w:val="005B3DB3"/>
    <w:rsid w:val="005B4CE0"/>
    <w:rsid w:val="005C3653"/>
    <w:rsid w:val="005C6DF8"/>
    <w:rsid w:val="005D3FE8"/>
    <w:rsid w:val="005D7718"/>
    <w:rsid w:val="005E7C6F"/>
    <w:rsid w:val="005F2595"/>
    <w:rsid w:val="005F2BD2"/>
    <w:rsid w:val="005F3D76"/>
    <w:rsid w:val="005F3E0D"/>
    <w:rsid w:val="005F441C"/>
    <w:rsid w:val="005F5209"/>
    <w:rsid w:val="005F6B61"/>
    <w:rsid w:val="005F6E62"/>
    <w:rsid w:val="00601D72"/>
    <w:rsid w:val="0060248B"/>
    <w:rsid w:val="00603EBA"/>
    <w:rsid w:val="00606CF1"/>
    <w:rsid w:val="00610834"/>
    <w:rsid w:val="00611FC4"/>
    <w:rsid w:val="00617178"/>
    <w:rsid w:val="006176FB"/>
    <w:rsid w:val="0062304B"/>
    <w:rsid w:val="006249FB"/>
    <w:rsid w:val="00626B1C"/>
    <w:rsid w:val="00627ED0"/>
    <w:rsid w:val="00630B7D"/>
    <w:rsid w:val="00631FF4"/>
    <w:rsid w:val="006364CC"/>
    <w:rsid w:val="00637CA2"/>
    <w:rsid w:val="00640B26"/>
    <w:rsid w:val="00642C2E"/>
    <w:rsid w:val="00644FED"/>
    <w:rsid w:val="0064585E"/>
    <w:rsid w:val="006517B6"/>
    <w:rsid w:val="00651FC8"/>
    <w:rsid w:val="00654B0B"/>
    <w:rsid w:val="00665595"/>
    <w:rsid w:val="006659D9"/>
    <w:rsid w:val="00673795"/>
    <w:rsid w:val="00676EEB"/>
    <w:rsid w:val="00682DD7"/>
    <w:rsid w:val="00683296"/>
    <w:rsid w:val="006833A6"/>
    <w:rsid w:val="00690D91"/>
    <w:rsid w:val="0069157F"/>
    <w:rsid w:val="00692279"/>
    <w:rsid w:val="00697CD4"/>
    <w:rsid w:val="006A1E28"/>
    <w:rsid w:val="006A3F0D"/>
    <w:rsid w:val="006A5C73"/>
    <w:rsid w:val="006A6D47"/>
    <w:rsid w:val="006A7392"/>
    <w:rsid w:val="006A7CCA"/>
    <w:rsid w:val="006B19FE"/>
    <w:rsid w:val="006B3B2C"/>
    <w:rsid w:val="006B3DFE"/>
    <w:rsid w:val="006B57C3"/>
    <w:rsid w:val="006B706C"/>
    <w:rsid w:val="006C2742"/>
    <w:rsid w:val="006C5214"/>
    <w:rsid w:val="006C60A6"/>
    <w:rsid w:val="006C7FB0"/>
    <w:rsid w:val="006D4415"/>
    <w:rsid w:val="006D5021"/>
    <w:rsid w:val="006E09C4"/>
    <w:rsid w:val="006E0D61"/>
    <w:rsid w:val="006E564B"/>
    <w:rsid w:val="006E5D14"/>
    <w:rsid w:val="006F20A6"/>
    <w:rsid w:val="006F509F"/>
    <w:rsid w:val="006F7764"/>
    <w:rsid w:val="00700D90"/>
    <w:rsid w:val="00701D1E"/>
    <w:rsid w:val="007031F8"/>
    <w:rsid w:val="00703780"/>
    <w:rsid w:val="00705359"/>
    <w:rsid w:val="007078D5"/>
    <w:rsid w:val="00712D44"/>
    <w:rsid w:val="00714AFC"/>
    <w:rsid w:val="00715E93"/>
    <w:rsid w:val="00715F12"/>
    <w:rsid w:val="00717597"/>
    <w:rsid w:val="00717E9A"/>
    <w:rsid w:val="00720053"/>
    <w:rsid w:val="0072632A"/>
    <w:rsid w:val="00726CBE"/>
    <w:rsid w:val="0072750B"/>
    <w:rsid w:val="0073465B"/>
    <w:rsid w:val="00734C2D"/>
    <w:rsid w:val="00737E85"/>
    <w:rsid w:val="00740176"/>
    <w:rsid w:val="007425B4"/>
    <w:rsid w:val="00743AA0"/>
    <w:rsid w:val="00751197"/>
    <w:rsid w:val="0075310B"/>
    <w:rsid w:val="0075352F"/>
    <w:rsid w:val="00756A00"/>
    <w:rsid w:val="00757B9F"/>
    <w:rsid w:val="00762551"/>
    <w:rsid w:val="0076336D"/>
    <w:rsid w:val="00766EC7"/>
    <w:rsid w:val="007674B0"/>
    <w:rsid w:val="0077083D"/>
    <w:rsid w:val="00774068"/>
    <w:rsid w:val="00777BDB"/>
    <w:rsid w:val="00797065"/>
    <w:rsid w:val="00797099"/>
    <w:rsid w:val="007A01FC"/>
    <w:rsid w:val="007A3C01"/>
    <w:rsid w:val="007B6BA5"/>
    <w:rsid w:val="007B7B1E"/>
    <w:rsid w:val="007C169B"/>
    <w:rsid w:val="007C3390"/>
    <w:rsid w:val="007C4F4B"/>
    <w:rsid w:val="007D0EB6"/>
    <w:rsid w:val="007D64B1"/>
    <w:rsid w:val="007E5ABB"/>
    <w:rsid w:val="007E7364"/>
    <w:rsid w:val="007F0B83"/>
    <w:rsid w:val="007F2784"/>
    <w:rsid w:val="007F47D1"/>
    <w:rsid w:val="007F5967"/>
    <w:rsid w:val="007F6611"/>
    <w:rsid w:val="00801D46"/>
    <w:rsid w:val="00802AB4"/>
    <w:rsid w:val="00803656"/>
    <w:rsid w:val="00803D3F"/>
    <w:rsid w:val="0081239D"/>
    <w:rsid w:val="008139F5"/>
    <w:rsid w:val="00816C3A"/>
    <w:rsid w:val="008175E9"/>
    <w:rsid w:val="00821686"/>
    <w:rsid w:val="008242D7"/>
    <w:rsid w:val="00825A28"/>
    <w:rsid w:val="0082761D"/>
    <w:rsid w:val="00827E05"/>
    <w:rsid w:val="008305E5"/>
    <w:rsid w:val="008311A3"/>
    <w:rsid w:val="008333C7"/>
    <w:rsid w:val="00836A0C"/>
    <w:rsid w:val="00842AFA"/>
    <w:rsid w:val="00842B7B"/>
    <w:rsid w:val="00844584"/>
    <w:rsid w:val="00853E16"/>
    <w:rsid w:val="008550E6"/>
    <w:rsid w:val="00855D08"/>
    <w:rsid w:val="00863555"/>
    <w:rsid w:val="00864768"/>
    <w:rsid w:val="00866B0C"/>
    <w:rsid w:val="00866E24"/>
    <w:rsid w:val="008719EB"/>
    <w:rsid w:val="00871FD5"/>
    <w:rsid w:val="00875B69"/>
    <w:rsid w:val="00880120"/>
    <w:rsid w:val="00880D35"/>
    <w:rsid w:val="00881E3E"/>
    <w:rsid w:val="0088276A"/>
    <w:rsid w:val="00890BAF"/>
    <w:rsid w:val="008932A0"/>
    <w:rsid w:val="00896CBD"/>
    <w:rsid w:val="008978BC"/>
    <w:rsid w:val="008979B1"/>
    <w:rsid w:val="008A1480"/>
    <w:rsid w:val="008A2229"/>
    <w:rsid w:val="008A227E"/>
    <w:rsid w:val="008A3F15"/>
    <w:rsid w:val="008A6B25"/>
    <w:rsid w:val="008A6C4F"/>
    <w:rsid w:val="008A7A81"/>
    <w:rsid w:val="008B70D8"/>
    <w:rsid w:val="008C57B1"/>
    <w:rsid w:val="008C78C7"/>
    <w:rsid w:val="008D054A"/>
    <w:rsid w:val="008D3C1D"/>
    <w:rsid w:val="008D4730"/>
    <w:rsid w:val="008D5935"/>
    <w:rsid w:val="008E0E46"/>
    <w:rsid w:val="008E58A3"/>
    <w:rsid w:val="008E7D56"/>
    <w:rsid w:val="008F561F"/>
    <w:rsid w:val="008F649A"/>
    <w:rsid w:val="00907AD2"/>
    <w:rsid w:val="009124F2"/>
    <w:rsid w:val="00915860"/>
    <w:rsid w:val="00917C0E"/>
    <w:rsid w:val="00925B30"/>
    <w:rsid w:val="0092768B"/>
    <w:rsid w:val="009316CC"/>
    <w:rsid w:val="00936C2E"/>
    <w:rsid w:val="00936F09"/>
    <w:rsid w:val="00936FB0"/>
    <w:rsid w:val="00940A5E"/>
    <w:rsid w:val="00945924"/>
    <w:rsid w:val="009464F5"/>
    <w:rsid w:val="00946B6A"/>
    <w:rsid w:val="00950A26"/>
    <w:rsid w:val="00953A54"/>
    <w:rsid w:val="00960ED4"/>
    <w:rsid w:val="00962117"/>
    <w:rsid w:val="009624BC"/>
    <w:rsid w:val="00963CBA"/>
    <w:rsid w:val="00965971"/>
    <w:rsid w:val="00972BAD"/>
    <w:rsid w:val="00974A8D"/>
    <w:rsid w:val="009755CD"/>
    <w:rsid w:val="009861C7"/>
    <w:rsid w:val="00987B8A"/>
    <w:rsid w:val="00991261"/>
    <w:rsid w:val="00995E83"/>
    <w:rsid w:val="00996B20"/>
    <w:rsid w:val="00997711"/>
    <w:rsid w:val="00997760"/>
    <w:rsid w:val="009A0783"/>
    <w:rsid w:val="009A4DD4"/>
    <w:rsid w:val="009A4E3B"/>
    <w:rsid w:val="009A505F"/>
    <w:rsid w:val="009B0335"/>
    <w:rsid w:val="009B45F7"/>
    <w:rsid w:val="009B4CA8"/>
    <w:rsid w:val="009C2FB1"/>
    <w:rsid w:val="009D10EC"/>
    <w:rsid w:val="009D43C2"/>
    <w:rsid w:val="009D5DD3"/>
    <w:rsid w:val="009E102B"/>
    <w:rsid w:val="009E171B"/>
    <w:rsid w:val="009E29EB"/>
    <w:rsid w:val="009F3A17"/>
    <w:rsid w:val="009F49F7"/>
    <w:rsid w:val="009F5ED7"/>
    <w:rsid w:val="00A002DC"/>
    <w:rsid w:val="00A01E5A"/>
    <w:rsid w:val="00A1427D"/>
    <w:rsid w:val="00A143BC"/>
    <w:rsid w:val="00A14774"/>
    <w:rsid w:val="00A17830"/>
    <w:rsid w:val="00A22EF4"/>
    <w:rsid w:val="00A24105"/>
    <w:rsid w:val="00A2488D"/>
    <w:rsid w:val="00A26CE4"/>
    <w:rsid w:val="00A318FF"/>
    <w:rsid w:val="00A33DF6"/>
    <w:rsid w:val="00A413F7"/>
    <w:rsid w:val="00A42CEA"/>
    <w:rsid w:val="00A478E2"/>
    <w:rsid w:val="00A52F74"/>
    <w:rsid w:val="00A541EA"/>
    <w:rsid w:val="00A55D32"/>
    <w:rsid w:val="00A72F22"/>
    <w:rsid w:val="00A7307A"/>
    <w:rsid w:val="00A742F7"/>
    <w:rsid w:val="00A747E9"/>
    <w:rsid w:val="00A748A6"/>
    <w:rsid w:val="00A816FE"/>
    <w:rsid w:val="00A822B1"/>
    <w:rsid w:val="00A84BE1"/>
    <w:rsid w:val="00A854F0"/>
    <w:rsid w:val="00A879A4"/>
    <w:rsid w:val="00A93320"/>
    <w:rsid w:val="00A94CE2"/>
    <w:rsid w:val="00A97F13"/>
    <w:rsid w:val="00AA021B"/>
    <w:rsid w:val="00AA771D"/>
    <w:rsid w:val="00AB3DA4"/>
    <w:rsid w:val="00AB7662"/>
    <w:rsid w:val="00AB7676"/>
    <w:rsid w:val="00AC1316"/>
    <w:rsid w:val="00AC6F63"/>
    <w:rsid w:val="00AD7888"/>
    <w:rsid w:val="00AE20DC"/>
    <w:rsid w:val="00AE55CE"/>
    <w:rsid w:val="00AE7A4A"/>
    <w:rsid w:val="00AF6613"/>
    <w:rsid w:val="00AF685C"/>
    <w:rsid w:val="00AF6AF5"/>
    <w:rsid w:val="00B0164B"/>
    <w:rsid w:val="00B11FD2"/>
    <w:rsid w:val="00B146F4"/>
    <w:rsid w:val="00B24D69"/>
    <w:rsid w:val="00B27444"/>
    <w:rsid w:val="00B30179"/>
    <w:rsid w:val="00B31695"/>
    <w:rsid w:val="00B33EC0"/>
    <w:rsid w:val="00B35C41"/>
    <w:rsid w:val="00B36133"/>
    <w:rsid w:val="00B42B5F"/>
    <w:rsid w:val="00B46BB8"/>
    <w:rsid w:val="00B5119C"/>
    <w:rsid w:val="00B52A6D"/>
    <w:rsid w:val="00B5315C"/>
    <w:rsid w:val="00B54A1E"/>
    <w:rsid w:val="00B55767"/>
    <w:rsid w:val="00B5723A"/>
    <w:rsid w:val="00B6106F"/>
    <w:rsid w:val="00B612E3"/>
    <w:rsid w:val="00B62664"/>
    <w:rsid w:val="00B66400"/>
    <w:rsid w:val="00B66AC9"/>
    <w:rsid w:val="00B72BAF"/>
    <w:rsid w:val="00B75C0E"/>
    <w:rsid w:val="00B75DBE"/>
    <w:rsid w:val="00B81E12"/>
    <w:rsid w:val="00B83813"/>
    <w:rsid w:val="00B83D20"/>
    <w:rsid w:val="00B85B45"/>
    <w:rsid w:val="00B908E1"/>
    <w:rsid w:val="00B92F1E"/>
    <w:rsid w:val="00B92F25"/>
    <w:rsid w:val="00B94D0E"/>
    <w:rsid w:val="00B9615B"/>
    <w:rsid w:val="00BA0D97"/>
    <w:rsid w:val="00BA31B9"/>
    <w:rsid w:val="00BA4C2C"/>
    <w:rsid w:val="00BA512A"/>
    <w:rsid w:val="00BA6EB9"/>
    <w:rsid w:val="00BA75EC"/>
    <w:rsid w:val="00BA7A1C"/>
    <w:rsid w:val="00BB0E9C"/>
    <w:rsid w:val="00BB3C77"/>
    <w:rsid w:val="00BB4DC2"/>
    <w:rsid w:val="00BC2D38"/>
    <w:rsid w:val="00BC73EE"/>
    <w:rsid w:val="00BC74E9"/>
    <w:rsid w:val="00BC775C"/>
    <w:rsid w:val="00BD1D9F"/>
    <w:rsid w:val="00BD2146"/>
    <w:rsid w:val="00BD2427"/>
    <w:rsid w:val="00BE07FE"/>
    <w:rsid w:val="00BE2319"/>
    <w:rsid w:val="00BE2713"/>
    <w:rsid w:val="00BE4F74"/>
    <w:rsid w:val="00BE618E"/>
    <w:rsid w:val="00C024CD"/>
    <w:rsid w:val="00C1554D"/>
    <w:rsid w:val="00C17699"/>
    <w:rsid w:val="00C2337F"/>
    <w:rsid w:val="00C23F04"/>
    <w:rsid w:val="00C30246"/>
    <w:rsid w:val="00C30B51"/>
    <w:rsid w:val="00C3163F"/>
    <w:rsid w:val="00C32156"/>
    <w:rsid w:val="00C32CF7"/>
    <w:rsid w:val="00C342A7"/>
    <w:rsid w:val="00C35F27"/>
    <w:rsid w:val="00C41A28"/>
    <w:rsid w:val="00C4421A"/>
    <w:rsid w:val="00C46154"/>
    <w:rsid w:val="00C463DD"/>
    <w:rsid w:val="00C5582C"/>
    <w:rsid w:val="00C60906"/>
    <w:rsid w:val="00C61A09"/>
    <w:rsid w:val="00C66354"/>
    <w:rsid w:val="00C66DDD"/>
    <w:rsid w:val="00C72817"/>
    <w:rsid w:val="00C73E53"/>
    <w:rsid w:val="00C745BF"/>
    <w:rsid w:val="00C745C3"/>
    <w:rsid w:val="00C746C9"/>
    <w:rsid w:val="00C74FBC"/>
    <w:rsid w:val="00C75952"/>
    <w:rsid w:val="00C800FE"/>
    <w:rsid w:val="00C805BC"/>
    <w:rsid w:val="00C81F69"/>
    <w:rsid w:val="00C84DF7"/>
    <w:rsid w:val="00C86451"/>
    <w:rsid w:val="00C87BF6"/>
    <w:rsid w:val="00C93F56"/>
    <w:rsid w:val="00C95E83"/>
    <w:rsid w:val="00C96EC2"/>
    <w:rsid w:val="00C97712"/>
    <w:rsid w:val="00CA0636"/>
    <w:rsid w:val="00CA21E8"/>
    <w:rsid w:val="00CA3109"/>
    <w:rsid w:val="00CA60B4"/>
    <w:rsid w:val="00CA6FA0"/>
    <w:rsid w:val="00CA7472"/>
    <w:rsid w:val="00CB075D"/>
    <w:rsid w:val="00CB0D3B"/>
    <w:rsid w:val="00CB2911"/>
    <w:rsid w:val="00CB3570"/>
    <w:rsid w:val="00CB71A4"/>
    <w:rsid w:val="00CC3511"/>
    <w:rsid w:val="00CC4E3B"/>
    <w:rsid w:val="00CD0AB3"/>
    <w:rsid w:val="00CD7454"/>
    <w:rsid w:val="00CE01C0"/>
    <w:rsid w:val="00CE497F"/>
    <w:rsid w:val="00CE4A8F"/>
    <w:rsid w:val="00CE4B5A"/>
    <w:rsid w:val="00CE4D7C"/>
    <w:rsid w:val="00CE6550"/>
    <w:rsid w:val="00CF5BB0"/>
    <w:rsid w:val="00D01E98"/>
    <w:rsid w:val="00D04E81"/>
    <w:rsid w:val="00D121B6"/>
    <w:rsid w:val="00D1389C"/>
    <w:rsid w:val="00D164DD"/>
    <w:rsid w:val="00D2031B"/>
    <w:rsid w:val="00D25388"/>
    <w:rsid w:val="00D25FE2"/>
    <w:rsid w:val="00D26929"/>
    <w:rsid w:val="00D27576"/>
    <w:rsid w:val="00D30977"/>
    <w:rsid w:val="00D317BB"/>
    <w:rsid w:val="00D33328"/>
    <w:rsid w:val="00D352CB"/>
    <w:rsid w:val="00D43252"/>
    <w:rsid w:val="00D45D0A"/>
    <w:rsid w:val="00D46B40"/>
    <w:rsid w:val="00D55857"/>
    <w:rsid w:val="00D60CDC"/>
    <w:rsid w:val="00D6389B"/>
    <w:rsid w:val="00D64462"/>
    <w:rsid w:val="00D66BBC"/>
    <w:rsid w:val="00D71B47"/>
    <w:rsid w:val="00D72DE1"/>
    <w:rsid w:val="00D83B84"/>
    <w:rsid w:val="00D85458"/>
    <w:rsid w:val="00D9064D"/>
    <w:rsid w:val="00D96269"/>
    <w:rsid w:val="00D978C6"/>
    <w:rsid w:val="00D97FD0"/>
    <w:rsid w:val="00DA5A0F"/>
    <w:rsid w:val="00DA67AD"/>
    <w:rsid w:val="00DB06D2"/>
    <w:rsid w:val="00DB2042"/>
    <w:rsid w:val="00DB2A63"/>
    <w:rsid w:val="00DB4C2A"/>
    <w:rsid w:val="00DB5D0F"/>
    <w:rsid w:val="00DC59B0"/>
    <w:rsid w:val="00DC6021"/>
    <w:rsid w:val="00DE3411"/>
    <w:rsid w:val="00DF0592"/>
    <w:rsid w:val="00DF12F7"/>
    <w:rsid w:val="00DF1747"/>
    <w:rsid w:val="00DF3292"/>
    <w:rsid w:val="00DF44B5"/>
    <w:rsid w:val="00DF6806"/>
    <w:rsid w:val="00E02C81"/>
    <w:rsid w:val="00E059FC"/>
    <w:rsid w:val="00E05E4E"/>
    <w:rsid w:val="00E0797D"/>
    <w:rsid w:val="00E07B4D"/>
    <w:rsid w:val="00E12376"/>
    <w:rsid w:val="00E130AB"/>
    <w:rsid w:val="00E131BB"/>
    <w:rsid w:val="00E144BF"/>
    <w:rsid w:val="00E14F86"/>
    <w:rsid w:val="00E15501"/>
    <w:rsid w:val="00E15DC9"/>
    <w:rsid w:val="00E27CED"/>
    <w:rsid w:val="00E330C1"/>
    <w:rsid w:val="00E3617C"/>
    <w:rsid w:val="00E363D6"/>
    <w:rsid w:val="00E41CFE"/>
    <w:rsid w:val="00E43F71"/>
    <w:rsid w:val="00E46597"/>
    <w:rsid w:val="00E53AC3"/>
    <w:rsid w:val="00E57591"/>
    <w:rsid w:val="00E7260F"/>
    <w:rsid w:val="00E773CD"/>
    <w:rsid w:val="00E842CE"/>
    <w:rsid w:val="00E847C3"/>
    <w:rsid w:val="00E87921"/>
    <w:rsid w:val="00E913FD"/>
    <w:rsid w:val="00E92905"/>
    <w:rsid w:val="00E96630"/>
    <w:rsid w:val="00E96675"/>
    <w:rsid w:val="00EA264E"/>
    <w:rsid w:val="00EB247C"/>
    <w:rsid w:val="00EB504F"/>
    <w:rsid w:val="00EB6BAC"/>
    <w:rsid w:val="00EC2F56"/>
    <w:rsid w:val="00EC54BA"/>
    <w:rsid w:val="00EC67F7"/>
    <w:rsid w:val="00ED095F"/>
    <w:rsid w:val="00ED5D98"/>
    <w:rsid w:val="00ED7A2A"/>
    <w:rsid w:val="00EE6953"/>
    <w:rsid w:val="00EF0C63"/>
    <w:rsid w:val="00EF1D7F"/>
    <w:rsid w:val="00F03020"/>
    <w:rsid w:val="00F06D3F"/>
    <w:rsid w:val="00F07544"/>
    <w:rsid w:val="00F07C40"/>
    <w:rsid w:val="00F07C8A"/>
    <w:rsid w:val="00F1366A"/>
    <w:rsid w:val="00F144BE"/>
    <w:rsid w:val="00F168BE"/>
    <w:rsid w:val="00F20E92"/>
    <w:rsid w:val="00F2154F"/>
    <w:rsid w:val="00F3378C"/>
    <w:rsid w:val="00F34786"/>
    <w:rsid w:val="00F36BD3"/>
    <w:rsid w:val="00F41C95"/>
    <w:rsid w:val="00F44197"/>
    <w:rsid w:val="00F52154"/>
    <w:rsid w:val="00F53EDA"/>
    <w:rsid w:val="00F60219"/>
    <w:rsid w:val="00F621C9"/>
    <w:rsid w:val="00F62ECC"/>
    <w:rsid w:val="00F63665"/>
    <w:rsid w:val="00F6542F"/>
    <w:rsid w:val="00F65E0E"/>
    <w:rsid w:val="00F7199D"/>
    <w:rsid w:val="00F71CD7"/>
    <w:rsid w:val="00F73CA8"/>
    <w:rsid w:val="00F7753D"/>
    <w:rsid w:val="00F8005A"/>
    <w:rsid w:val="00F81B73"/>
    <w:rsid w:val="00F82A21"/>
    <w:rsid w:val="00F85F34"/>
    <w:rsid w:val="00F9011D"/>
    <w:rsid w:val="00FA06F7"/>
    <w:rsid w:val="00FA1595"/>
    <w:rsid w:val="00FA1BD2"/>
    <w:rsid w:val="00FA4246"/>
    <w:rsid w:val="00FB0F05"/>
    <w:rsid w:val="00FB171A"/>
    <w:rsid w:val="00FB4B23"/>
    <w:rsid w:val="00FB58C7"/>
    <w:rsid w:val="00FB782A"/>
    <w:rsid w:val="00FC1918"/>
    <w:rsid w:val="00FC68B7"/>
    <w:rsid w:val="00FD0E31"/>
    <w:rsid w:val="00FD4EFE"/>
    <w:rsid w:val="00FD5ECB"/>
    <w:rsid w:val="00FD7BF6"/>
    <w:rsid w:val="00FE0BD6"/>
    <w:rsid w:val="00FE1700"/>
    <w:rsid w:val="00FE460C"/>
    <w:rsid w:val="00FE78C4"/>
    <w:rsid w:val="00FF2020"/>
    <w:rsid w:val="00FF4CB8"/>
    <w:rsid w:val="00FF4F1B"/>
    <w:rsid w:val="00FF57B6"/>
    <w:rsid w:val="00FF7BE5"/>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snapToGrid w:val="0"/>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Paragraphedeliste1">
    <w:name w:val="Paragraphe de liste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paragraph" w:customStyle="1" w:styleId="Default">
    <w:name w:val="Default"/>
    <w:rsid w:val="00E05E4E"/>
    <w:pPr>
      <w:autoSpaceDE w:val="0"/>
      <w:autoSpaceDN w:val="0"/>
      <w:adjustRightInd w:val="0"/>
    </w:pPr>
    <w:rPr>
      <w:rFonts w:ascii="Arial" w:hAnsi="Arial" w:cs="Arial"/>
      <w:color w:val="000000"/>
      <w:sz w:val="24"/>
      <w:szCs w:val="24"/>
    </w:rPr>
  </w:style>
  <w:style w:type="character" w:customStyle="1" w:styleId="HeaderChar">
    <w:name w:val="Header Char"/>
    <w:aliases w:val="6_G Char"/>
    <w:link w:val="Header"/>
    <w:locked/>
    <w:rsid w:val="00FA4246"/>
    <w:rPr>
      <w:b/>
      <w:snapToGrid w:val="0"/>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snapToGrid w:val="0"/>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Paragraphedeliste1">
    <w:name w:val="Paragraphe de liste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paragraph" w:customStyle="1" w:styleId="Default">
    <w:name w:val="Default"/>
    <w:rsid w:val="00E05E4E"/>
    <w:pPr>
      <w:autoSpaceDE w:val="0"/>
      <w:autoSpaceDN w:val="0"/>
      <w:adjustRightInd w:val="0"/>
    </w:pPr>
    <w:rPr>
      <w:rFonts w:ascii="Arial" w:hAnsi="Arial" w:cs="Arial"/>
      <w:color w:val="000000"/>
      <w:sz w:val="24"/>
      <w:szCs w:val="24"/>
    </w:rPr>
  </w:style>
  <w:style w:type="character" w:customStyle="1" w:styleId="HeaderChar">
    <w:name w:val="Header Char"/>
    <w:aliases w:val="6_G Char"/>
    <w:link w:val="Header"/>
    <w:locked/>
    <w:rsid w:val="00FA4246"/>
    <w:rPr>
      <w:b/>
      <w:snapToGrid w:val="0"/>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8696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Template>
  <TotalTime>0</TotalTime>
  <Pages>3</Pages>
  <Words>1207</Words>
  <Characters>6883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CSD</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Caillot</cp:lastModifiedBy>
  <cp:revision>3</cp:revision>
  <cp:lastPrinted>2015-01-22T13:19:00Z</cp:lastPrinted>
  <dcterms:created xsi:type="dcterms:W3CDTF">2015-01-22T13:37:00Z</dcterms:created>
  <dcterms:modified xsi:type="dcterms:W3CDTF">2015-01-22T13:37:00Z</dcterms:modified>
</cp:coreProperties>
</file>