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4" w:rsidRPr="009E2071" w:rsidRDefault="007C7034" w:rsidP="007C7034">
      <w:pPr>
        <w:spacing w:before="120"/>
        <w:rPr>
          <w:b/>
          <w:sz w:val="28"/>
          <w:szCs w:val="28"/>
        </w:rPr>
      </w:pPr>
      <w:r w:rsidRPr="009E2071">
        <w:rPr>
          <w:b/>
          <w:sz w:val="28"/>
          <w:szCs w:val="28"/>
        </w:rPr>
        <w:t>Economic Commission for Europe</w:t>
      </w:r>
    </w:p>
    <w:p w:rsidR="007C7034" w:rsidRPr="009E2071" w:rsidRDefault="007C7034" w:rsidP="007C7034">
      <w:pPr>
        <w:spacing w:before="120"/>
        <w:rPr>
          <w:sz w:val="28"/>
          <w:szCs w:val="28"/>
        </w:rPr>
      </w:pPr>
      <w:r w:rsidRPr="009E2071">
        <w:rPr>
          <w:sz w:val="28"/>
          <w:szCs w:val="28"/>
        </w:rPr>
        <w:t>Inland Transport Committee</w:t>
      </w:r>
    </w:p>
    <w:p w:rsidR="007C7034" w:rsidRPr="009E2071" w:rsidRDefault="007C7034" w:rsidP="007C7034">
      <w:pPr>
        <w:spacing w:before="120"/>
        <w:rPr>
          <w:b/>
          <w:sz w:val="24"/>
          <w:szCs w:val="24"/>
        </w:rPr>
      </w:pPr>
      <w:r w:rsidRPr="009E2071">
        <w:rPr>
          <w:b/>
          <w:sz w:val="24"/>
          <w:szCs w:val="24"/>
        </w:rPr>
        <w:t>Working Party on the Transport of Dangerous Goods</w:t>
      </w:r>
    </w:p>
    <w:p w:rsidR="007C7034" w:rsidRPr="009E2071" w:rsidRDefault="007C7034" w:rsidP="007C7034">
      <w:pPr>
        <w:spacing w:before="120"/>
        <w:rPr>
          <w:b/>
        </w:rPr>
      </w:pPr>
      <w:r w:rsidRPr="009E2071">
        <w:rPr>
          <w:b/>
        </w:rPr>
        <w:t>Joint Meeting of the RID Committee of Experts and the</w:t>
      </w:r>
      <w:r w:rsidRPr="009E2071">
        <w:rPr>
          <w:b/>
        </w:rPr>
        <w:br/>
        <w:t>Working Party on the Transport of Dangerous Goods</w:t>
      </w:r>
      <w:r w:rsidR="00B9212E">
        <w:rPr>
          <w:b/>
        </w:rPr>
        <w:tab/>
      </w:r>
      <w:r w:rsidR="00B9212E">
        <w:rPr>
          <w:b/>
        </w:rPr>
        <w:tab/>
      </w:r>
      <w:r w:rsidR="00B9212E">
        <w:rPr>
          <w:b/>
        </w:rPr>
        <w:tab/>
      </w:r>
      <w:r w:rsidR="00B9212E">
        <w:rPr>
          <w:b/>
        </w:rPr>
        <w:tab/>
      </w:r>
      <w:r w:rsidR="001112A1">
        <w:rPr>
          <w:b/>
        </w:rPr>
        <w:t>2</w:t>
      </w:r>
      <w:r w:rsidR="00BC218B">
        <w:rPr>
          <w:b/>
        </w:rPr>
        <w:t>3</w:t>
      </w:r>
      <w:r w:rsidR="00296DE6">
        <w:rPr>
          <w:b/>
        </w:rPr>
        <w:t xml:space="preserve"> </w:t>
      </w:r>
      <w:r w:rsidR="001112A1">
        <w:rPr>
          <w:b/>
        </w:rPr>
        <w:t>September</w:t>
      </w:r>
      <w:r w:rsidR="00296DE6">
        <w:rPr>
          <w:b/>
        </w:rPr>
        <w:t xml:space="preserve"> 2015</w:t>
      </w:r>
    </w:p>
    <w:p w:rsidR="00293CF2" w:rsidRDefault="00293CF2" w:rsidP="00293CF2">
      <w:r w:rsidRPr="00560572">
        <w:t>Geneva, 1</w:t>
      </w:r>
      <w:r>
        <w:t>5</w:t>
      </w:r>
      <w:r w:rsidRPr="00560572">
        <w:t>–</w:t>
      </w:r>
      <w:r>
        <w:t>25</w:t>
      </w:r>
      <w:r w:rsidRPr="00560572">
        <w:t xml:space="preserve"> September </w:t>
      </w:r>
      <w:r>
        <w:t>2015</w:t>
      </w:r>
      <w:r w:rsidRPr="00560572">
        <w:br/>
      </w:r>
      <w:r>
        <w:t>I</w:t>
      </w:r>
      <w:r>
        <w:t>tem 6</w:t>
      </w:r>
      <w:r>
        <w:t xml:space="preserve"> of the provisional agenda</w:t>
      </w:r>
    </w:p>
    <w:p w:rsidR="007C7034" w:rsidRPr="009E2071" w:rsidRDefault="00293CF2" w:rsidP="00293CF2">
      <w:r>
        <w:rPr>
          <w:rStyle w:val="Normal"/>
          <w:b/>
        </w:rPr>
        <w:t>Tanks</w:t>
      </w:r>
    </w:p>
    <w:p w:rsidR="000D2A5F" w:rsidRPr="009E2071" w:rsidRDefault="000D2A5F" w:rsidP="0070702F">
      <w:pPr>
        <w:rPr>
          <w:b/>
        </w:rPr>
      </w:pPr>
    </w:p>
    <w:p w:rsidR="00D412AC" w:rsidRPr="003D6CE9" w:rsidRDefault="000D2A5F" w:rsidP="00F7747C">
      <w:pPr>
        <w:pStyle w:val="HChG"/>
      </w:pPr>
      <w:r>
        <w:rPr>
          <w:lang w:val="en-GB"/>
        </w:rPr>
        <w:tab/>
      </w:r>
      <w:r>
        <w:rPr>
          <w:lang w:val="en-GB"/>
        </w:rPr>
        <w:tab/>
      </w:r>
      <w:r w:rsidR="00D412AC" w:rsidRPr="003D6CE9">
        <w:t xml:space="preserve">Report of the </w:t>
      </w:r>
      <w:r w:rsidR="00D412AC">
        <w:t>Working Group on Tanks</w:t>
      </w:r>
    </w:p>
    <w:p w:rsidR="00D412AC" w:rsidRPr="001B23A3" w:rsidRDefault="00D412AC" w:rsidP="00AD5645">
      <w:pPr>
        <w:pStyle w:val="H56G"/>
        <w:jc w:val="both"/>
      </w:pPr>
      <w:r w:rsidRPr="003D6CE9">
        <w:tab/>
      </w:r>
      <w:r w:rsidRPr="003D6CE9">
        <w:tab/>
      </w:r>
      <w:r w:rsidRPr="001B23A3">
        <w:t>1.</w:t>
      </w:r>
      <w:r w:rsidRPr="001B23A3">
        <w:tab/>
        <w:t>The Wo</w:t>
      </w:r>
      <w:r w:rsidR="00FD7515">
        <w:t xml:space="preserve">rking Group on Tanks met from </w:t>
      </w:r>
      <w:r w:rsidR="00194746">
        <w:t>2</w:t>
      </w:r>
      <w:r w:rsidR="001112A1">
        <w:t>1</w:t>
      </w:r>
      <w:r w:rsidR="00194746">
        <w:t xml:space="preserve"> to 2</w:t>
      </w:r>
      <w:r w:rsidR="001112A1">
        <w:t>3</w:t>
      </w:r>
      <w:r w:rsidR="00194746">
        <w:t xml:space="preserve"> </w:t>
      </w:r>
      <w:r w:rsidR="001112A1">
        <w:t>September</w:t>
      </w:r>
      <w:r w:rsidR="00194746">
        <w:t xml:space="preserve"> 2015</w:t>
      </w:r>
      <w:r w:rsidR="00FD7515">
        <w:t xml:space="preserve"> in </w:t>
      </w:r>
      <w:r w:rsidR="001112A1">
        <w:t>Geneva</w:t>
      </w:r>
      <w:r w:rsidRPr="001B23A3">
        <w:t xml:space="preserve"> on the basis of </w:t>
      </w:r>
      <w:r w:rsidR="00AD5645">
        <w:t xml:space="preserve">the </w:t>
      </w:r>
      <w:r w:rsidRPr="001B23A3">
        <w:t>mandate from the RID/ADR/ADN Joint Meeting, under the chairmanship of Mr. Arne Bale (</w:t>
      </w:r>
      <w:smartTag w:uri="urn:schemas-microsoft-com:office:smarttags" w:element="country-region">
        <w:smartTag w:uri="urn:schemas-microsoft-com:office:smarttags" w:element="place">
          <w:r w:rsidRPr="001B23A3">
            <w:t>United Kingdom</w:t>
          </w:r>
        </w:smartTag>
      </w:smartTag>
      <w:r w:rsidR="00AD5645">
        <w:t>)</w:t>
      </w:r>
      <w:r w:rsidRPr="001B23A3">
        <w:t xml:space="preserve"> Mr. </w:t>
      </w:r>
      <w:r w:rsidR="001112A1">
        <w:t>Kees de Putter</w:t>
      </w:r>
      <w:r w:rsidRPr="001B23A3">
        <w:t xml:space="preserve"> (</w:t>
      </w:r>
      <w:r w:rsidR="001112A1">
        <w:t>the Netherlands</w:t>
      </w:r>
      <w:r w:rsidRPr="001B23A3">
        <w:t>)</w:t>
      </w:r>
      <w:r>
        <w:t xml:space="preserve"> as secretary</w:t>
      </w:r>
      <w:r w:rsidRPr="001B23A3">
        <w:t>. The relevant documents were submitted to the plenary session and transferred to the Working Group for consideration.</w:t>
      </w:r>
    </w:p>
    <w:p w:rsidR="00D412AC" w:rsidRPr="00866018" w:rsidRDefault="00D412AC" w:rsidP="00AD5645">
      <w:pPr>
        <w:pStyle w:val="SingleTxtG"/>
      </w:pPr>
      <w:r w:rsidRPr="00866018">
        <w:t>2.</w:t>
      </w:r>
      <w:r w:rsidRPr="00866018">
        <w:tab/>
        <w:t xml:space="preserve">The Working Group on Tanks, consisting </w:t>
      </w:r>
      <w:r w:rsidRPr="00314B1E">
        <w:t xml:space="preserve">of </w:t>
      </w:r>
      <w:r w:rsidR="003A0F24" w:rsidRPr="00314B1E">
        <w:t>2</w:t>
      </w:r>
      <w:r w:rsidR="00AD5645">
        <w:t>4</w:t>
      </w:r>
      <w:r w:rsidR="003A0F24">
        <w:t xml:space="preserve"> experts from </w:t>
      </w:r>
      <w:r w:rsidR="003A0F24" w:rsidRPr="00AD5645">
        <w:t>1</w:t>
      </w:r>
      <w:r w:rsidR="00AD5645" w:rsidRPr="00AD5645">
        <w:t>2</w:t>
      </w:r>
      <w:r w:rsidR="00BC037E">
        <w:t xml:space="preserve"> countries and </w:t>
      </w:r>
      <w:proofErr w:type="gramStart"/>
      <w:r w:rsidR="003A0F24" w:rsidRPr="00AD5645">
        <w:t>5</w:t>
      </w:r>
      <w:r w:rsidR="00BC037E">
        <w:t xml:space="preserve"> </w:t>
      </w:r>
      <w:r>
        <w:t xml:space="preserve"> non</w:t>
      </w:r>
      <w:proofErr w:type="gramEnd"/>
      <w:r>
        <w:t>-governmental organizations</w:t>
      </w:r>
      <w:r w:rsidRPr="00866018">
        <w:t>, dealt with the following official</w:t>
      </w:r>
      <w:r w:rsidR="00BC037E">
        <w:t xml:space="preserve"> and informal documents </w:t>
      </w:r>
      <w:r w:rsidRPr="00866018">
        <w:t>:</w:t>
      </w:r>
    </w:p>
    <w:p w:rsidR="00BC218B" w:rsidRDefault="00D412AC" w:rsidP="00AD5645">
      <w:pPr>
        <w:pStyle w:val="SingleTxtG"/>
        <w:tabs>
          <w:tab w:val="left" w:pos="2300"/>
        </w:tabs>
        <w:spacing w:after="0"/>
        <w:ind w:left="2829" w:hanging="1695"/>
        <w:jc w:val="left"/>
        <w:rPr>
          <w:lang w:val="fr-FR"/>
        </w:rPr>
      </w:pPr>
      <w:r w:rsidRPr="001112A1">
        <w:rPr>
          <w:i/>
          <w:lang w:val="fr-FR"/>
        </w:rPr>
        <w:t>Documents</w:t>
      </w:r>
      <w:r w:rsidR="00BC037E" w:rsidRPr="001112A1">
        <w:rPr>
          <w:lang w:val="fr-FR"/>
        </w:rPr>
        <w:t>:</w:t>
      </w:r>
      <w:r w:rsidR="00BC037E" w:rsidRPr="001112A1">
        <w:rPr>
          <w:lang w:val="fr-FR"/>
        </w:rPr>
        <w:tab/>
      </w:r>
      <w:r w:rsidR="00BC037E" w:rsidRPr="001112A1">
        <w:rPr>
          <w:lang w:val="fr-FR"/>
        </w:rPr>
        <w:tab/>
      </w:r>
      <w:r w:rsidR="00BC218B" w:rsidRPr="001112A1">
        <w:rPr>
          <w:lang w:val="fr-FR"/>
        </w:rPr>
        <w:t>ECE/TRANS/WP.15/AC.1/2015/</w:t>
      </w:r>
      <w:r w:rsidR="00E65A3A">
        <w:rPr>
          <w:lang w:val="fr-FR"/>
        </w:rPr>
        <w:t>15 (UK)</w:t>
      </w:r>
      <w:r w:rsidR="00BC218B">
        <w:rPr>
          <w:lang w:val="fr-FR"/>
        </w:rPr>
        <w:t xml:space="preserve"> </w:t>
      </w:r>
      <w:r w:rsidR="00BC218B" w:rsidRPr="001112A1">
        <w:rPr>
          <w:lang w:val="fr-FR"/>
        </w:rPr>
        <w:t xml:space="preserve"> ECE/TRANS/WP.15/AC.1/2015/2</w:t>
      </w:r>
      <w:r w:rsidR="00BC218B">
        <w:rPr>
          <w:lang w:val="fr-FR"/>
        </w:rPr>
        <w:t>3/Add1</w:t>
      </w:r>
      <w:r w:rsidR="00BC218B" w:rsidRPr="001112A1">
        <w:rPr>
          <w:lang w:val="fr-FR"/>
        </w:rPr>
        <w:t xml:space="preserve"> (</w:t>
      </w:r>
      <w:proofErr w:type="spellStart"/>
      <w:r w:rsidR="00BC218B">
        <w:rPr>
          <w:lang w:val="fr-FR"/>
        </w:rPr>
        <w:t>Secretariat</w:t>
      </w:r>
      <w:proofErr w:type="spellEnd"/>
      <w:r w:rsidR="00BC218B" w:rsidRPr="001112A1">
        <w:rPr>
          <w:lang w:val="fr-FR"/>
        </w:rPr>
        <w:t>)</w:t>
      </w:r>
    </w:p>
    <w:p w:rsidR="00BC037E" w:rsidRPr="001112A1" w:rsidRDefault="00BC037E" w:rsidP="00BC218B">
      <w:pPr>
        <w:pStyle w:val="SingleTxtG"/>
        <w:spacing w:after="0"/>
        <w:ind w:left="2829" w:hanging="1695"/>
        <w:jc w:val="left"/>
        <w:rPr>
          <w:lang w:val="fr-FR"/>
        </w:rPr>
      </w:pPr>
      <w:r w:rsidRPr="001112A1">
        <w:rPr>
          <w:lang w:val="fr-FR"/>
        </w:rPr>
        <w:tab/>
        <w:t>ECE/TRANS/WP.15/AC.1/201</w:t>
      </w:r>
      <w:r w:rsidR="001112A1" w:rsidRPr="001112A1">
        <w:rPr>
          <w:lang w:val="fr-FR"/>
        </w:rPr>
        <w:t>5</w:t>
      </w:r>
      <w:r w:rsidRPr="001112A1">
        <w:rPr>
          <w:lang w:val="fr-FR"/>
        </w:rPr>
        <w:t>/</w:t>
      </w:r>
      <w:r w:rsidR="001112A1" w:rsidRPr="001112A1">
        <w:rPr>
          <w:lang w:val="fr-FR"/>
        </w:rPr>
        <w:t>27</w:t>
      </w:r>
      <w:r w:rsidRPr="001112A1">
        <w:rPr>
          <w:lang w:val="fr-FR"/>
        </w:rPr>
        <w:t xml:space="preserve"> (U</w:t>
      </w:r>
      <w:r w:rsidR="001112A1" w:rsidRPr="001112A1">
        <w:rPr>
          <w:lang w:val="fr-FR"/>
        </w:rPr>
        <w:t>IC</w:t>
      </w:r>
      <w:r w:rsidRPr="001112A1">
        <w:rPr>
          <w:lang w:val="fr-FR"/>
        </w:rPr>
        <w:t>)</w:t>
      </w:r>
    </w:p>
    <w:p w:rsidR="00E65A3A" w:rsidRPr="00E65A3A" w:rsidRDefault="00296DE6" w:rsidP="00D412AC">
      <w:pPr>
        <w:pStyle w:val="SingleTxtG"/>
        <w:tabs>
          <w:tab w:val="left" w:pos="2300"/>
        </w:tabs>
        <w:spacing w:after="0"/>
        <w:ind w:left="2829" w:hanging="1695"/>
        <w:jc w:val="left"/>
        <w:rPr>
          <w:lang w:val="fr-FR"/>
        </w:rPr>
      </w:pPr>
      <w:r w:rsidRPr="001112A1">
        <w:rPr>
          <w:lang w:val="fr-FR"/>
        </w:rPr>
        <w:tab/>
      </w:r>
      <w:r w:rsidRPr="001112A1">
        <w:rPr>
          <w:lang w:val="fr-FR"/>
        </w:rPr>
        <w:tab/>
      </w:r>
      <w:r w:rsidR="00E65A3A" w:rsidRPr="00E65A3A">
        <w:t>ECE/TRANS/WP.15/AC.1/2015/30 (OTIF)</w:t>
      </w:r>
    </w:p>
    <w:p w:rsidR="00FD7515" w:rsidRPr="009037A5" w:rsidRDefault="00E65A3A" w:rsidP="00D412AC">
      <w:pPr>
        <w:pStyle w:val="SingleTxtG"/>
        <w:tabs>
          <w:tab w:val="left" w:pos="2300"/>
        </w:tabs>
        <w:spacing w:after="0"/>
        <w:ind w:left="2829" w:hanging="1695"/>
        <w:jc w:val="left"/>
      </w:pPr>
      <w:r>
        <w:tab/>
      </w:r>
      <w:r>
        <w:tab/>
      </w:r>
      <w:r w:rsidR="00296DE6">
        <w:t>ECE/TRANS/WP.15/AC.1/2015/</w:t>
      </w:r>
      <w:r w:rsidR="001112A1">
        <w:t>31</w:t>
      </w:r>
      <w:r w:rsidR="00296DE6">
        <w:t xml:space="preserve"> (</w:t>
      </w:r>
      <w:r w:rsidR="001112A1">
        <w:t>Latvia</w:t>
      </w:r>
      <w:r w:rsidR="00FD7515" w:rsidRPr="009037A5">
        <w:t>)</w:t>
      </w:r>
    </w:p>
    <w:p w:rsidR="00355B89" w:rsidRPr="009037A5" w:rsidRDefault="00296DE6" w:rsidP="00D412AC">
      <w:pPr>
        <w:pStyle w:val="SingleTxtG"/>
        <w:tabs>
          <w:tab w:val="left" w:pos="2300"/>
        </w:tabs>
        <w:spacing w:after="0"/>
        <w:ind w:left="2829" w:hanging="1695"/>
        <w:jc w:val="left"/>
      </w:pPr>
      <w:r>
        <w:tab/>
      </w:r>
      <w:r>
        <w:tab/>
        <w:t>ECE/TRANS/WP.15/AC.1/2015/</w:t>
      </w:r>
      <w:r w:rsidR="001112A1">
        <w:t>39</w:t>
      </w:r>
      <w:r w:rsidR="00355B89" w:rsidRPr="009037A5">
        <w:t xml:space="preserve"> (</w:t>
      </w:r>
      <w:r w:rsidR="001112A1">
        <w:t>Norway</w:t>
      </w:r>
      <w:r w:rsidR="00FD7515" w:rsidRPr="009037A5">
        <w:t>)</w:t>
      </w:r>
    </w:p>
    <w:p w:rsidR="00BC037E" w:rsidRDefault="00296DE6" w:rsidP="00D412AC">
      <w:pPr>
        <w:pStyle w:val="SingleTxtG"/>
        <w:tabs>
          <w:tab w:val="left" w:pos="2300"/>
        </w:tabs>
        <w:spacing w:after="0"/>
        <w:ind w:left="2829" w:hanging="1695"/>
        <w:jc w:val="left"/>
      </w:pPr>
      <w:r>
        <w:tab/>
      </w:r>
      <w:r>
        <w:tab/>
        <w:t>ECE/TRANS/WP.15/AC.1/2015/</w:t>
      </w:r>
      <w:r w:rsidR="001112A1">
        <w:t>51</w:t>
      </w:r>
      <w:r w:rsidR="00BC037E" w:rsidRPr="009037A5">
        <w:t xml:space="preserve"> (</w:t>
      </w:r>
      <w:r>
        <w:t>Netherlands</w:t>
      </w:r>
      <w:r w:rsidR="00BC037E" w:rsidRPr="009037A5">
        <w:t>)</w:t>
      </w:r>
    </w:p>
    <w:p w:rsidR="00296DE6" w:rsidRDefault="00296DE6" w:rsidP="00D412AC">
      <w:pPr>
        <w:pStyle w:val="SingleTxtG"/>
        <w:tabs>
          <w:tab w:val="left" w:pos="2300"/>
        </w:tabs>
        <w:spacing w:after="0"/>
        <w:ind w:left="2829" w:hanging="1695"/>
        <w:jc w:val="left"/>
      </w:pPr>
      <w:r>
        <w:tab/>
      </w:r>
      <w:r>
        <w:tab/>
        <w:t>ECE/TRANS/WP.15/AC.1/2015/</w:t>
      </w:r>
      <w:r w:rsidR="001112A1">
        <w:t>54</w:t>
      </w:r>
      <w:r>
        <w:t xml:space="preserve"> (</w:t>
      </w:r>
      <w:r w:rsidR="001112A1">
        <w:t>Netherlands</w:t>
      </w:r>
      <w:r>
        <w:t>)</w:t>
      </w:r>
    </w:p>
    <w:p w:rsidR="00296DE6" w:rsidRPr="004F1BF2" w:rsidRDefault="00296DE6" w:rsidP="007B6640">
      <w:pPr>
        <w:pStyle w:val="SingleTxtG"/>
        <w:tabs>
          <w:tab w:val="left" w:pos="2300"/>
        </w:tabs>
        <w:spacing w:after="0"/>
        <w:ind w:left="2829" w:hanging="1695"/>
        <w:jc w:val="left"/>
        <w:rPr>
          <w:lang w:val="fr-FR"/>
        </w:rPr>
      </w:pPr>
      <w:r>
        <w:tab/>
      </w:r>
      <w:r>
        <w:tab/>
      </w:r>
    </w:p>
    <w:p w:rsidR="00BC037E" w:rsidRPr="004F1BF2" w:rsidRDefault="00FD7515" w:rsidP="00D412AC">
      <w:pPr>
        <w:pStyle w:val="SingleTxtG"/>
        <w:tabs>
          <w:tab w:val="left" w:pos="2300"/>
        </w:tabs>
        <w:spacing w:after="0"/>
        <w:ind w:left="2829" w:hanging="1695"/>
        <w:jc w:val="left"/>
        <w:rPr>
          <w:lang w:val="fr-FR"/>
        </w:rPr>
      </w:pPr>
      <w:r w:rsidRPr="004F1BF2">
        <w:rPr>
          <w:lang w:val="fr-FR"/>
        </w:rPr>
        <w:tab/>
      </w:r>
      <w:r w:rsidRPr="004F1BF2">
        <w:rPr>
          <w:lang w:val="fr-FR"/>
        </w:rPr>
        <w:tab/>
      </w:r>
    </w:p>
    <w:p w:rsidR="00D412AC" w:rsidRPr="007B6640" w:rsidRDefault="00D412AC" w:rsidP="00AD5645">
      <w:pPr>
        <w:pStyle w:val="SingleTxtG"/>
        <w:tabs>
          <w:tab w:val="left" w:pos="3100"/>
        </w:tabs>
        <w:spacing w:after="0"/>
        <w:rPr>
          <w:lang w:val="de-DE"/>
        </w:rPr>
      </w:pPr>
      <w:r w:rsidRPr="007B6640">
        <w:rPr>
          <w:i/>
          <w:lang w:val="de-DE"/>
        </w:rPr>
        <w:t xml:space="preserve">Informal </w:t>
      </w:r>
      <w:proofErr w:type="spellStart"/>
      <w:r w:rsidRPr="007B6640">
        <w:rPr>
          <w:i/>
          <w:lang w:val="de-DE"/>
        </w:rPr>
        <w:t>documents</w:t>
      </w:r>
      <w:proofErr w:type="spellEnd"/>
      <w:r w:rsidRPr="007B6640">
        <w:rPr>
          <w:lang w:val="de-DE"/>
        </w:rPr>
        <w:t>:</w:t>
      </w:r>
      <w:r w:rsidR="00AD5645">
        <w:rPr>
          <w:lang w:val="de-DE"/>
        </w:rPr>
        <w:t xml:space="preserve"> </w:t>
      </w:r>
      <w:r w:rsidRPr="007B6640">
        <w:rPr>
          <w:lang w:val="de-DE"/>
        </w:rPr>
        <w:t>INF.</w:t>
      </w:r>
      <w:r w:rsidR="00FD7515" w:rsidRPr="007B6640">
        <w:rPr>
          <w:lang w:val="de-DE"/>
        </w:rPr>
        <w:t>4</w:t>
      </w:r>
      <w:r w:rsidR="004F1BF2" w:rsidRPr="007B6640">
        <w:rPr>
          <w:lang w:val="de-DE"/>
        </w:rPr>
        <w:t xml:space="preserve"> </w:t>
      </w:r>
      <w:r w:rsidR="00FD7515" w:rsidRPr="007B6640">
        <w:rPr>
          <w:lang w:val="de-DE"/>
        </w:rPr>
        <w:t>(</w:t>
      </w:r>
      <w:r w:rsidR="004F1BF2" w:rsidRPr="007B6640">
        <w:rPr>
          <w:lang w:val="de-DE"/>
        </w:rPr>
        <w:t>CEN</w:t>
      </w:r>
      <w:r w:rsidRPr="007B6640">
        <w:rPr>
          <w:lang w:val="de-DE"/>
        </w:rPr>
        <w:t>)</w:t>
      </w:r>
    </w:p>
    <w:p w:rsidR="00296DE6" w:rsidRPr="007B6640" w:rsidRDefault="00D412AC" w:rsidP="004F1BF2">
      <w:pPr>
        <w:pStyle w:val="SingleTxtG"/>
        <w:spacing w:after="0"/>
        <w:ind w:left="2835" w:hanging="1701"/>
        <w:rPr>
          <w:lang w:val="nl-NL"/>
        </w:rPr>
      </w:pPr>
      <w:r w:rsidRPr="007B6640">
        <w:rPr>
          <w:lang w:val="de-DE"/>
        </w:rPr>
        <w:tab/>
      </w:r>
      <w:r w:rsidR="00296DE6" w:rsidRPr="007B6640">
        <w:rPr>
          <w:lang w:val="nl-NL"/>
        </w:rPr>
        <w:t xml:space="preserve">INF. </w:t>
      </w:r>
      <w:r w:rsidR="007B6640" w:rsidRPr="007B6640">
        <w:rPr>
          <w:lang w:val="nl-NL"/>
        </w:rPr>
        <w:t>10 (UK)</w:t>
      </w:r>
    </w:p>
    <w:p w:rsidR="00296DE6" w:rsidRPr="007B6640" w:rsidRDefault="00296DE6" w:rsidP="00296DE6">
      <w:pPr>
        <w:pStyle w:val="SingleTxtG"/>
        <w:spacing w:after="0"/>
        <w:ind w:left="2835"/>
        <w:rPr>
          <w:lang w:val="nl-NL"/>
        </w:rPr>
      </w:pPr>
      <w:r w:rsidRPr="007B6640">
        <w:rPr>
          <w:lang w:val="nl-NL"/>
        </w:rPr>
        <w:t xml:space="preserve">INF. </w:t>
      </w:r>
      <w:r w:rsidR="007B6640" w:rsidRPr="007B6640">
        <w:rPr>
          <w:lang w:val="nl-NL"/>
        </w:rPr>
        <w:t xml:space="preserve">17 </w:t>
      </w:r>
      <w:r w:rsidRPr="007B6640">
        <w:rPr>
          <w:lang w:val="nl-NL"/>
        </w:rPr>
        <w:t>(</w:t>
      </w:r>
      <w:r w:rsidR="007B6640" w:rsidRPr="007B6640">
        <w:rPr>
          <w:lang w:val="nl-NL"/>
        </w:rPr>
        <w:t>D</w:t>
      </w:r>
      <w:r w:rsidRPr="007B6640">
        <w:rPr>
          <w:lang w:val="nl-NL"/>
        </w:rPr>
        <w:t>)</w:t>
      </w:r>
    </w:p>
    <w:p w:rsidR="00296DE6" w:rsidRPr="007B6640" w:rsidRDefault="00296DE6" w:rsidP="00296DE6">
      <w:pPr>
        <w:pStyle w:val="SingleTxtG"/>
        <w:spacing w:after="0"/>
        <w:ind w:left="2835"/>
        <w:rPr>
          <w:lang w:val="nl-NL"/>
        </w:rPr>
      </w:pPr>
      <w:r w:rsidRPr="007B6640">
        <w:rPr>
          <w:lang w:val="nl-NL"/>
        </w:rPr>
        <w:t xml:space="preserve">INF. </w:t>
      </w:r>
      <w:r w:rsidR="007B6640" w:rsidRPr="007B6640">
        <w:rPr>
          <w:lang w:val="nl-NL"/>
        </w:rPr>
        <w:t xml:space="preserve">22 </w:t>
      </w:r>
      <w:r w:rsidRPr="007B6640">
        <w:rPr>
          <w:lang w:val="nl-NL"/>
        </w:rPr>
        <w:t>(</w:t>
      </w:r>
      <w:r w:rsidR="007B6640" w:rsidRPr="007B6640">
        <w:rPr>
          <w:lang w:val="nl-NL"/>
        </w:rPr>
        <w:t>CH</w:t>
      </w:r>
      <w:r w:rsidRPr="007B6640">
        <w:rPr>
          <w:lang w:val="nl-NL"/>
        </w:rPr>
        <w:t>)</w:t>
      </w:r>
    </w:p>
    <w:p w:rsidR="00296DE6" w:rsidRPr="007B6640" w:rsidRDefault="00296DE6" w:rsidP="00296DE6">
      <w:pPr>
        <w:pStyle w:val="SingleTxtG"/>
        <w:spacing w:after="0"/>
        <w:ind w:left="2835"/>
        <w:rPr>
          <w:lang w:val="de-DE"/>
        </w:rPr>
      </w:pPr>
      <w:r w:rsidRPr="007B6640">
        <w:rPr>
          <w:lang w:val="de-DE"/>
        </w:rPr>
        <w:t xml:space="preserve">INF. </w:t>
      </w:r>
      <w:r w:rsidR="007B6640">
        <w:rPr>
          <w:lang w:val="de-DE"/>
        </w:rPr>
        <w:t xml:space="preserve">23 </w:t>
      </w:r>
      <w:r w:rsidRPr="007B6640">
        <w:rPr>
          <w:lang w:val="de-DE"/>
        </w:rPr>
        <w:t>(</w:t>
      </w:r>
      <w:r w:rsidR="007B6640">
        <w:rPr>
          <w:lang w:val="de-DE"/>
        </w:rPr>
        <w:t>F</w:t>
      </w:r>
      <w:r w:rsidRPr="007B6640">
        <w:rPr>
          <w:lang w:val="de-DE"/>
        </w:rPr>
        <w:t>)</w:t>
      </w:r>
    </w:p>
    <w:p w:rsidR="00D412AC" w:rsidRPr="007B6640" w:rsidRDefault="00BC037E" w:rsidP="00AD5645">
      <w:pPr>
        <w:pStyle w:val="SingleTxtG"/>
        <w:spacing w:after="0"/>
        <w:ind w:left="2835"/>
        <w:rPr>
          <w:lang w:val="de-DE"/>
        </w:rPr>
      </w:pPr>
      <w:r w:rsidRPr="007B6640">
        <w:rPr>
          <w:lang w:val="de-DE"/>
        </w:rPr>
        <w:t>INF.</w:t>
      </w:r>
      <w:r w:rsidR="00D412AC" w:rsidRPr="007B6640">
        <w:rPr>
          <w:lang w:val="de-DE"/>
        </w:rPr>
        <w:t xml:space="preserve"> </w:t>
      </w:r>
      <w:r w:rsidR="007B6640">
        <w:rPr>
          <w:lang w:val="de-DE"/>
        </w:rPr>
        <w:t xml:space="preserve">24 </w:t>
      </w:r>
      <w:r w:rsidR="00D412AC" w:rsidRPr="007B6640">
        <w:rPr>
          <w:lang w:val="de-DE"/>
        </w:rPr>
        <w:t>(</w:t>
      </w:r>
      <w:r w:rsidR="00AD5645">
        <w:rPr>
          <w:lang w:val="de-DE"/>
        </w:rPr>
        <w:t>CEN</w:t>
      </w:r>
      <w:r w:rsidR="00D412AC" w:rsidRPr="007B6640">
        <w:rPr>
          <w:lang w:val="de-DE"/>
        </w:rPr>
        <w:t>)</w:t>
      </w:r>
    </w:p>
    <w:p w:rsidR="00D412AC" w:rsidRPr="007B6640" w:rsidRDefault="00BC037E" w:rsidP="00296DE6">
      <w:pPr>
        <w:pStyle w:val="SingleTxtG"/>
        <w:spacing w:after="0"/>
        <w:ind w:left="2835" w:hanging="1701"/>
        <w:rPr>
          <w:lang w:val="de-DE"/>
        </w:rPr>
      </w:pPr>
      <w:r w:rsidRPr="007B6640">
        <w:rPr>
          <w:lang w:val="de-DE"/>
        </w:rPr>
        <w:tab/>
      </w:r>
      <w:r w:rsidR="00296DE6" w:rsidRPr="007B6640">
        <w:rPr>
          <w:lang w:val="de-DE"/>
        </w:rPr>
        <w:t xml:space="preserve">INF. </w:t>
      </w:r>
      <w:r w:rsidR="0004043C">
        <w:rPr>
          <w:lang w:val="de-DE"/>
        </w:rPr>
        <w:t>28 (B)</w:t>
      </w:r>
    </w:p>
    <w:p w:rsidR="00D412AC" w:rsidRPr="007B6640" w:rsidRDefault="00296DE6" w:rsidP="00D412AC">
      <w:pPr>
        <w:pStyle w:val="SingleTxtG"/>
        <w:spacing w:after="0"/>
        <w:rPr>
          <w:lang w:val="de-DE"/>
        </w:rPr>
      </w:pPr>
      <w:r w:rsidRPr="007B6640">
        <w:rPr>
          <w:lang w:val="de-DE"/>
        </w:rPr>
        <w:tab/>
      </w:r>
      <w:r w:rsidRPr="007B6640">
        <w:rPr>
          <w:lang w:val="de-DE"/>
        </w:rPr>
        <w:tab/>
      </w:r>
      <w:r w:rsidRPr="007B6640">
        <w:rPr>
          <w:lang w:val="de-DE"/>
        </w:rPr>
        <w:tab/>
        <w:t>INF.</w:t>
      </w:r>
      <w:r w:rsidR="00D412AC" w:rsidRPr="007B6640">
        <w:rPr>
          <w:lang w:val="de-DE"/>
        </w:rPr>
        <w:t xml:space="preserve"> </w:t>
      </w:r>
      <w:r w:rsidR="0004043C">
        <w:rPr>
          <w:lang w:val="de-DE"/>
        </w:rPr>
        <w:t>29 (UK)</w:t>
      </w:r>
    </w:p>
    <w:p w:rsidR="00D412AC" w:rsidRPr="007B6640" w:rsidRDefault="00FD7515" w:rsidP="00D412AC">
      <w:pPr>
        <w:pStyle w:val="SingleTxtG"/>
        <w:spacing w:after="0"/>
        <w:rPr>
          <w:lang w:val="de-DE"/>
        </w:rPr>
      </w:pPr>
      <w:r w:rsidRPr="007B6640">
        <w:rPr>
          <w:lang w:val="de-DE"/>
        </w:rPr>
        <w:tab/>
      </w:r>
      <w:r w:rsidRPr="007B6640">
        <w:rPr>
          <w:lang w:val="de-DE"/>
        </w:rPr>
        <w:tab/>
      </w:r>
      <w:r w:rsidRPr="007B6640">
        <w:rPr>
          <w:lang w:val="de-DE"/>
        </w:rPr>
        <w:tab/>
      </w:r>
    </w:p>
    <w:p w:rsidR="00560336" w:rsidRDefault="00560336" w:rsidP="00560336">
      <w:pPr>
        <w:ind w:left="1134"/>
        <w:rPr>
          <w:b/>
          <w:sz w:val="24"/>
          <w:szCs w:val="24"/>
        </w:rPr>
      </w:pPr>
      <w:r w:rsidRPr="001804FB">
        <w:rPr>
          <w:b/>
          <w:sz w:val="24"/>
          <w:szCs w:val="24"/>
        </w:rPr>
        <w:t xml:space="preserve">Item </w:t>
      </w:r>
      <w:r>
        <w:rPr>
          <w:b/>
          <w:sz w:val="24"/>
          <w:szCs w:val="24"/>
        </w:rPr>
        <w:t>1</w:t>
      </w:r>
      <w:r w:rsidRPr="001804FB">
        <w:rPr>
          <w:b/>
          <w:sz w:val="24"/>
          <w:szCs w:val="24"/>
        </w:rPr>
        <w:t>: ECE/TRANS/WP.15/AC.1/2015/</w:t>
      </w:r>
      <w:r>
        <w:rPr>
          <w:b/>
          <w:sz w:val="24"/>
          <w:szCs w:val="24"/>
        </w:rPr>
        <w:t>15</w:t>
      </w:r>
      <w:r w:rsidRPr="001804FB">
        <w:rPr>
          <w:b/>
          <w:sz w:val="24"/>
          <w:szCs w:val="24"/>
        </w:rPr>
        <w:t xml:space="preserve"> (U</w:t>
      </w:r>
      <w:r>
        <w:rPr>
          <w:b/>
          <w:sz w:val="24"/>
          <w:szCs w:val="24"/>
        </w:rPr>
        <w:t>K</w:t>
      </w:r>
      <w:r w:rsidRPr="001804FB">
        <w:rPr>
          <w:b/>
          <w:sz w:val="24"/>
          <w:szCs w:val="24"/>
        </w:rPr>
        <w:t xml:space="preserve">) – </w:t>
      </w:r>
      <w:r>
        <w:rPr>
          <w:b/>
          <w:sz w:val="24"/>
          <w:szCs w:val="24"/>
        </w:rPr>
        <w:t>Tanks and standards – EN12972:2014 – Tanks or transport of dangerous goods – Testing, inspection and marking of metallic tanks + INF 36 (</w:t>
      </w:r>
      <w:proofErr w:type="gramStart"/>
      <w:r>
        <w:rPr>
          <w:b/>
          <w:sz w:val="24"/>
          <w:szCs w:val="24"/>
        </w:rPr>
        <w:t>march</w:t>
      </w:r>
      <w:proofErr w:type="gramEnd"/>
      <w:r>
        <w:rPr>
          <w:b/>
          <w:sz w:val="24"/>
          <w:szCs w:val="24"/>
        </w:rPr>
        <w:t xml:space="preserve"> 2015 session).</w:t>
      </w:r>
    </w:p>
    <w:p w:rsidR="00560336" w:rsidRDefault="00560336" w:rsidP="00560336">
      <w:pPr>
        <w:ind w:left="1134"/>
        <w:rPr>
          <w:b/>
          <w:sz w:val="24"/>
          <w:szCs w:val="24"/>
        </w:rPr>
      </w:pPr>
    </w:p>
    <w:p w:rsidR="00560336" w:rsidRDefault="00BD47D8" w:rsidP="0052209D">
      <w:pPr>
        <w:ind w:left="1134"/>
      </w:pPr>
      <w:r>
        <w:t>3.</w:t>
      </w:r>
      <w:r>
        <w:tab/>
      </w:r>
      <w:r w:rsidR="00560336" w:rsidRPr="00560336">
        <w:t xml:space="preserve">It was recalled that for </w:t>
      </w:r>
      <w:r w:rsidR="0052209D">
        <w:t xml:space="preserve">the </w:t>
      </w:r>
      <w:r w:rsidR="00560336" w:rsidRPr="00560336">
        <w:t xml:space="preserve">next session </w:t>
      </w:r>
      <w:r w:rsidR="0052209D">
        <w:t>of</w:t>
      </w:r>
      <w:r w:rsidR="00560336" w:rsidRPr="00560336">
        <w:t xml:space="preserve"> the Joint Meeting a CEN consultant would be </w:t>
      </w:r>
      <w:r w:rsidR="0052209D">
        <w:t>in attendance</w:t>
      </w:r>
      <w:r w:rsidR="00560336" w:rsidRPr="00560336">
        <w:t xml:space="preserve"> and that this document should be </w:t>
      </w:r>
      <w:r w:rsidR="0052209D">
        <w:t xml:space="preserve">considered </w:t>
      </w:r>
      <w:r w:rsidR="00560336" w:rsidRPr="00560336">
        <w:t xml:space="preserve">in the spring 2016 Joint Meeting by the Standards Working Group. </w:t>
      </w:r>
      <w:r w:rsidR="00AD5645">
        <w:t>It was noted that the remarks in these documents were under discussion by the appropriate CEN working group.</w:t>
      </w:r>
      <w:r w:rsidR="00560336" w:rsidRPr="00560336">
        <w:t xml:space="preserve">  </w:t>
      </w:r>
    </w:p>
    <w:p w:rsidR="00560336" w:rsidRDefault="00560336" w:rsidP="00560336">
      <w:pPr>
        <w:ind w:left="1134"/>
      </w:pPr>
    </w:p>
    <w:p w:rsidR="00560336" w:rsidRDefault="00560336" w:rsidP="00560336">
      <w:pPr>
        <w:ind w:left="1134"/>
        <w:rPr>
          <w:b/>
          <w:sz w:val="24"/>
          <w:szCs w:val="24"/>
        </w:rPr>
      </w:pPr>
      <w:r w:rsidRPr="00560336">
        <w:rPr>
          <w:b/>
          <w:sz w:val="24"/>
          <w:szCs w:val="24"/>
        </w:rPr>
        <w:lastRenderedPageBreak/>
        <w:t>Item 2: ECE/TRANS/WP.15/AC.1/2015/23/Add1.  (Secretariat) – Report of the Ad Hoc Working Group on the Harmonization of RID/ADR/ADN with the United Nations Recommendations on the Transport of Dangerous Goods</w:t>
      </w:r>
    </w:p>
    <w:p w:rsidR="0052209D" w:rsidRPr="00560336" w:rsidRDefault="0052209D" w:rsidP="00560336">
      <w:pPr>
        <w:ind w:left="1134"/>
        <w:rPr>
          <w:b/>
          <w:sz w:val="24"/>
          <w:szCs w:val="24"/>
          <w:vertAlign w:val="superscript"/>
        </w:rPr>
      </w:pPr>
    </w:p>
    <w:p w:rsidR="00560336" w:rsidRPr="00560336" w:rsidRDefault="00BD47D8" w:rsidP="00057BCD">
      <w:pPr>
        <w:ind w:left="1134"/>
      </w:pPr>
      <w:r>
        <w:t>4.</w:t>
      </w:r>
      <w:r>
        <w:tab/>
      </w:r>
      <w:r w:rsidR="00560336" w:rsidRPr="00560336">
        <w:t xml:space="preserve">The Working Group was requested to check the tank codes and special provisions allocated to 4 new entries in </w:t>
      </w:r>
      <w:r w:rsidR="0052209D">
        <w:t>T</w:t>
      </w:r>
      <w:r w:rsidR="00560336" w:rsidRPr="00560336">
        <w:t xml:space="preserve">able A of chapter 3.2. </w:t>
      </w:r>
      <w:r w:rsidR="00560336" w:rsidRPr="00560336">
        <w:br/>
        <w:t xml:space="preserve">For the new </w:t>
      </w:r>
      <w:proofErr w:type="gramStart"/>
      <w:r w:rsidR="00560336" w:rsidRPr="00560336">
        <w:t>entries  UN</w:t>
      </w:r>
      <w:proofErr w:type="gramEnd"/>
      <w:r w:rsidR="00560336" w:rsidRPr="00560336">
        <w:t xml:space="preserve"> 3531, UN 3532, UN 3533 and UN 3534 the tank codes and special provision TU 30, concerning the degree of filling, were confirmed to be correct. However in comparison to the portable tank special provisions it was felt that a</w:t>
      </w:r>
      <w:r w:rsidR="0052209D">
        <w:t xml:space="preserve">n equivalent </w:t>
      </w:r>
      <w:r w:rsidR="00560336" w:rsidRPr="00560336">
        <w:t>to TP 6 was missing as a special provision.</w:t>
      </w:r>
      <w:r w:rsidR="00057BCD">
        <w:t xml:space="preserve"> TE 11 was felt to be suitable and put in square brackets to check for the next session.</w:t>
      </w:r>
    </w:p>
    <w:p w:rsidR="00560336" w:rsidRPr="00560336" w:rsidRDefault="00560336" w:rsidP="00560336">
      <w:pPr>
        <w:ind w:left="1134"/>
      </w:pPr>
    </w:p>
    <w:p w:rsidR="00560336" w:rsidRPr="00560336" w:rsidRDefault="00560336" w:rsidP="00560336">
      <w:pPr>
        <w:ind w:left="1134"/>
        <w:rPr>
          <w:b/>
        </w:rPr>
      </w:pPr>
      <w:r w:rsidRPr="00560336">
        <w:rPr>
          <w:b/>
        </w:rPr>
        <w:t>Proposal</w:t>
      </w:r>
      <w:r>
        <w:rPr>
          <w:b/>
        </w:rPr>
        <w:t xml:space="preserve"> 1</w:t>
      </w:r>
      <w:r w:rsidRPr="00560336">
        <w:rPr>
          <w:b/>
        </w:rPr>
        <w:t>:</w:t>
      </w:r>
    </w:p>
    <w:p w:rsidR="00560336" w:rsidRPr="00560336" w:rsidRDefault="00560336" w:rsidP="0052209D">
      <w:pPr>
        <w:ind w:left="1134"/>
      </w:pPr>
      <w:r w:rsidRPr="00560336">
        <w:t xml:space="preserve">Add special provision TE11 in </w:t>
      </w:r>
      <w:r w:rsidR="00057BCD">
        <w:t xml:space="preserve">square brackets in </w:t>
      </w:r>
      <w:r w:rsidRPr="00560336">
        <w:t xml:space="preserve">column 13 of </w:t>
      </w:r>
      <w:r w:rsidR="0052209D">
        <w:t>T</w:t>
      </w:r>
      <w:r w:rsidRPr="00560336">
        <w:t>able A of chapter 3.2 for the entries UN 3531, UN 3532, UN 3533 and UN 3534.</w:t>
      </w:r>
      <w:r w:rsidR="00057BCD">
        <w:t xml:space="preserve"> </w:t>
      </w:r>
    </w:p>
    <w:p w:rsidR="00560336" w:rsidRPr="00560336" w:rsidRDefault="00560336" w:rsidP="00560336">
      <w:pPr>
        <w:ind w:left="1134"/>
      </w:pPr>
    </w:p>
    <w:p w:rsidR="00560336" w:rsidRPr="00560336" w:rsidRDefault="00BD47D8" w:rsidP="009F7765">
      <w:pPr>
        <w:ind w:left="1134"/>
      </w:pPr>
      <w:r>
        <w:t>5.</w:t>
      </w:r>
      <w:r>
        <w:tab/>
      </w:r>
      <w:r w:rsidR="00560336" w:rsidRPr="00560336">
        <w:t>As a consequential amendment because a (+) was placed after the tank code, the new entries should be added to 4.3.4.1.3 (b).</w:t>
      </w:r>
    </w:p>
    <w:p w:rsidR="00560336" w:rsidRPr="00560336" w:rsidRDefault="00560336" w:rsidP="00560336">
      <w:pPr>
        <w:ind w:left="1134"/>
      </w:pPr>
    </w:p>
    <w:p w:rsidR="00560336" w:rsidRPr="00560336" w:rsidRDefault="00560336" w:rsidP="009F7765">
      <w:pPr>
        <w:ind w:left="1134"/>
      </w:pPr>
      <w:r w:rsidRPr="00560336">
        <w:rPr>
          <w:b/>
        </w:rPr>
        <w:t xml:space="preserve">Proposal </w:t>
      </w:r>
      <w:r>
        <w:rPr>
          <w:b/>
        </w:rPr>
        <w:t>2</w:t>
      </w:r>
      <w:proofErr w:type="gramStart"/>
      <w:r w:rsidRPr="00560336">
        <w:t>:</w:t>
      </w:r>
      <w:proofErr w:type="gramEnd"/>
      <w:r w:rsidRPr="00560336">
        <w:br/>
        <w:t>Amend 4.3.4.1.3 (b) to read: (new wording in bold print)</w:t>
      </w:r>
    </w:p>
    <w:p w:rsidR="00560336" w:rsidRPr="00560336" w:rsidRDefault="00560336" w:rsidP="00560336">
      <w:pPr>
        <w:ind w:left="1134"/>
      </w:pPr>
    </w:p>
    <w:p w:rsidR="00560336" w:rsidRPr="00560336" w:rsidRDefault="00560336" w:rsidP="00560336">
      <w:pPr>
        <w:keepNext/>
        <w:keepLines/>
        <w:tabs>
          <w:tab w:val="left" w:pos="5498"/>
        </w:tabs>
        <w:suppressAutoHyphens w:val="0"/>
        <w:spacing w:line="240" w:lineRule="auto"/>
        <w:ind w:left="1985" w:hanging="567"/>
        <w:jc w:val="both"/>
        <w:rPr>
          <w:i/>
        </w:rPr>
      </w:pPr>
      <w:r w:rsidRPr="00560336">
        <w:rPr>
          <w:i/>
        </w:rPr>
        <w:t>(b)</w:t>
      </w:r>
      <w:r w:rsidRPr="00560336">
        <w:rPr>
          <w:i/>
        </w:rPr>
        <w:tab/>
        <w:t xml:space="preserve">Class 4.1: </w:t>
      </w:r>
    </w:p>
    <w:p w:rsidR="00560336" w:rsidRPr="00560336" w:rsidRDefault="00560336" w:rsidP="00560336">
      <w:pPr>
        <w:keepNext/>
        <w:keepLines/>
        <w:tabs>
          <w:tab w:val="left" w:pos="5498"/>
        </w:tabs>
        <w:suppressAutoHyphens w:val="0"/>
        <w:spacing w:before="120" w:line="240" w:lineRule="auto"/>
        <w:ind w:left="1985" w:hanging="567"/>
        <w:jc w:val="both"/>
        <w:rPr>
          <w:i/>
        </w:rPr>
      </w:pPr>
      <w:r w:rsidRPr="00560336">
        <w:rPr>
          <w:i/>
        </w:rPr>
        <w:tab/>
        <w:t>UN No. 2448 sulphur, molten: code LGBV;</w:t>
      </w:r>
    </w:p>
    <w:p w:rsidR="00560336" w:rsidRPr="00560336" w:rsidRDefault="00560336" w:rsidP="00560336">
      <w:pPr>
        <w:ind w:left="1985"/>
        <w:rPr>
          <w:b/>
          <w:i/>
        </w:rPr>
      </w:pPr>
      <w:r w:rsidRPr="00560336">
        <w:rPr>
          <w:b/>
          <w:i/>
        </w:rPr>
        <w:t xml:space="preserve">UN No. 3531 polymerizing substance, solid, stabilized, </w:t>
      </w:r>
      <w:proofErr w:type="spellStart"/>
      <w:r w:rsidRPr="00560336">
        <w:rPr>
          <w:b/>
          <w:i/>
        </w:rPr>
        <w:t>n.o.s</w:t>
      </w:r>
      <w:proofErr w:type="spellEnd"/>
      <w:r w:rsidRPr="00560336">
        <w:rPr>
          <w:b/>
          <w:i/>
        </w:rPr>
        <w:t>, UN No. 3533 polymerizing substance, solid, stabilized,</w:t>
      </w:r>
      <w:r w:rsidR="00057BCD">
        <w:rPr>
          <w:b/>
          <w:i/>
        </w:rPr>
        <w:t xml:space="preserve"> temperature controlled, </w:t>
      </w:r>
      <w:proofErr w:type="spellStart"/>
      <w:r w:rsidR="00057BCD">
        <w:rPr>
          <w:b/>
          <w:i/>
        </w:rPr>
        <w:t>n.o.s</w:t>
      </w:r>
      <w:proofErr w:type="spellEnd"/>
      <w:r w:rsidR="00057BCD">
        <w:rPr>
          <w:b/>
          <w:i/>
        </w:rPr>
        <w:t>.</w:t>
      </w:r>
      <w:r w:rsidRPr="00560336">
        <w:rPr>
          <w:b/>
          <w:i/>
        </w:rPr>
        <w:t>: code SGAN;</w:t>
      </w:r>
    </w:p>
    <w:p w:rsidR="00560336" w:rsidRPr="00560336" w:rsidRDefault="00560336" w:rsidP="00057BCD">
      <w:pPr>
        <w:ind w:left="1985"/>
        <w:rPr>
          <w:b/>
          <w:i/>
        </w:rPr>
      </w:pPr>
      <w:r w:rsidRPr="00560336">
        <w:rPr>
          <w:b/>
          <w:i/>
        </w:rPr>
        <w:t xml:space="preserve">UN No. 3532 polymerizing substance, liquid, stabilized, </w:t>
      </w:r>
      <w:proofErr w:type="spellStart"/>
      <w:r w:rsidRPr="00560336">
        <w:rPr>
          <w:b/>
          <w:i/>
        </w:rPr>
        <w:t>n.o.s</w:t>
      </w:r>
      <w:proofErr w:type="spellEnd"/>
      <w:r w:rsidRPr="00560336">
        <w:rPr>
          <w:b/>
          <w:i/>
        </w:rPr>
        <w:t xml:space="preserve">, UN No. 3534 polymerizing substance, </w:t>
      </w:r>
      <w:r w:rsidR="00057BCD">
        <w:rPr>
          <w:b/>
          <w:i/>
        </w:rPr>
        <w:t>liquid</w:t>
      </w:r>
      <w:r w:rsidRPr="00560336">
        <w:rPr>
          <w:b/>
          <w:i/>
        </w:rPr>
        <w:t>, stabilized,</w:t>
      </w:r>
      <w:r w:rsidR="00057BCD">
        <w:rPr>
          <w:b/>
          <w:i/>
        </w:rPr>
        <w:t xml:space="preserve"> temperature controlled, </w:t>
      </w:r>
      <w:proofErr w:type="spellStart"/>
      <w:r w:rsidR="00057BCD">
        <w:rPr>
          <w:b/>
          <w:i/>
        </w:rPr>
        <w:t>n.o.s</w:t>
      </w:r>
      <w:proofErr w:type="spellEnd"/>
      <w:r w:rsidR="00057BCD">
        <w:rPr>
          <w:b/>
          <w:i/>
        </w:rPr>
        <w:t>.</w:t>
      </w:r>
      <w:r w:rsidRPr="00560336">
        <w:rPr>
          <w:b/>
          <w:i/>
        </w:rPr>
        <w:t xml:space="preserve">: </w:t>
      </w:r>
      <w:proofErr w:type="gramStart"/>
      <w:r w:rsidRPr="00560336">
        <w:rPr>
          <w:b/>
          <w:i/>
        </w:rPr>
        <w:t>code  L4BN</w:t>
      </w:r>
      <w:proofErr w:type="gramEnd"/>
      <w:r w:rsidRPr="00560336">
        <w:rPr>
          <w:b/>
          <w:i/>
        </w:rPr>
        <w:t>.</w:t>
      </w:r>
    </w:p>
    <w:p w:rsidR="00560336" w:rsidRPr="00560336" w:rsidRDefault="00560336" w:rsidP="00305A8D">
      <w:pPr>
        <w:ind w:left="1134" w:right="1133"/>
        <w:jc w:val="both"/>
        <w:rPr>
          <w:b/>
        </w:rPr>
      </w:pPr>
    </w:p>
    <w:p w:rsidR="00560336" w:rsidRDefault="00560336" w:rsidP="00305A8D">
      <w:pPr>
        <w:ind w:left="1134" w:right="1133"/>
        <w:jc w:val="both"/>
        <w:rPr>
          <w:b/>
          <w:sz w:val="24"/>
          <w:szCs w:val="24"/>
        </w:rPr>
      </w:pPr>
    </w:p>
    <w:p w:rsidR="0004043C" w:rsidRPr="00BC218B" w:rsidRDefault="00D412AC" w:rsidP="00305A8D">
      <w:pPr>
        <w:ind w:left="1134" w:right="1133"/>
        <w:jc w:val="both"/>
        <w:rPr>
          <w:b/>
          <w:sz w:val="24"/>
          <w:szCs w:val="24"/>
        </w:rPr>
      </w:pPr>
      <w:proofErr w:type="gramStart"/>
      <w:r w:rsidRPr="00BC218B">
        <w:rPr>
          <w:b/>
          <w:sz w:val="24"/>
          <w:szCs w:val="24"/>
        </w:rPr>
        <w:t>I</w:t>
      </w:r>
      <w:r w:rsidR="00BC037E" w:rsidRPr="00BC218B">
        <w:rPr>
          <w:b/>
          <w:sz w:val="24"/>
          <w:szCs w:val="24"/>
        </w:rPr>
        <w:t xml:space="preserve">tem </w:t>
      </w:r>
      <w:r w:rsidR="00BB39A7">
        <w:rPr>
          <w:b/>
          <w:sz w:val="24"/>
          <w:szCs w:val="24"/>
        </w:rPr>
        <w:t>3</w:t>
      </w:r>
      <w:r w:rsidR="00BC037E" w:rsidRPr="00BC218B">
        <w:rPr>
          <w:b/>
          <w:sz w:val="24"/>
          <w:szCs w:val="24"/>
        </w:rPr>
        <w:t xml:space="preserve">: </w:t>
      </w:r>
      <w:r w:rsidR="00FD7515" w:rsidRPr="00BC218B">
        <w:rPr>
          <w:b/>
          <w:sz w:val="24"/>
          <w:szCs w:val="24"/>
        </w:rPr>
        <w:t>ECE/TRANS/WP.15/AC.1/201</w:t>
      </w:r>
      <w:r w:rsidR="0060098F" w:rsidRPr="00BC218B">
        <w:rPr>
          <w:b/>
          <w:sz w:val="24"/>
          <w:szCs w:val="24"/>
        </w:rPr>
        <w:t>5</w:t>
      </w:r>
      <w:r w:rsidR="00FD7515" w:rsidRPr="00BC218B">
        <w:rPr>
          <w:b/>
          <w:sz w:val="24"/>
          <w:szCs w:val="24"/>
        </w:rPr>
        <w:t>/</w:t>
      </w:r>
      <w:r w:rsidR="0060098F" w:rsidRPr="00BC218B">
        <w:rPr>
          <w:b/>
          <w:sz w:val="24"/>
          <w:szCs w:val="24"/>
        </w:rPr>
        <w:t>27</w:t>
      </w:r>
      <w:r w:rsidR="00FD7515" w:rsidRPr="00BC218B">
        <w:rPr>
          <w:b/>
          <w:sz w:val="24"/>
          <w:szCs w:val="24"/>
        </w:rPr>
        <w:t xml:space="preserve"> (U</w:t>
      </w:r>
      <w:r w:rsidR="0060098F" w:rsidRPr="00BC218B">
        <w:rPr>
          <w:b/>
          <w:sz w:val="24"/>
          <w:szCs w:val="24"/>
        </w:rPr>
        <w:t>IC</w:t>
      </w:r>
      <w:r w:rsidR="00FD7515" w:rsidRPr="00BC218B">
        <w:rPr>
          <w:b/>
          <w:sz w:val="24"/>
          <w:szCs w:val="24"/>
        </w:rPr>
        <w:t xml:space="preserve">) – </w:t>
      </w:r>
      <w:r w:rsidR="0060098F" w:rsidRPr="00BC218B">
        <w:rPr>
          <w:b/>
          <w:sz w:val="24"/>
          <w:szCs w:val="24"/>
        </w:rPr>
        <w:t>Carriage of tanks, battery-wagons / battery-vehicles and MEGC following the expiry of deadlines for periodic and intermediate inspections</w:t>
      </w:r>
      <w:r w:rsidR="0004043C" w:rsidRPr="00BC218B">
        <w:rPr>
          <w:b/>
          <w:sz w:val="24"/>
          <w:szCs w:val="24"/>
        </w:rPr>
        <w:t>.</w:t>
      </w:r>
      <w:proofErr w:type="gramEnd"/>
    </w:p>
    <w:p w:rsidR="0004043C" w:rsidRDefault="0004043C" w:rsidP="00305A8D">
      <w:pPr>
        <w:ind w:left="1134" w:right="1133"/>
        <w:jc w:val="both"/>
        <w:rPr>
          <w:b/>
          <w:sz w:val="24"/>
        </w:rPr>
      </w:pPr>
    </w:p>
    <w:p w:rsidR="00314B1E" w:rsidRPr="00BC218B" w:rsidRDefault="00BD47D8" w:rsidP="00057BCD">
      <w:pPr>
        <w:ind w:left="1134" w:right="1133"/>
        <w:jc w:val="both"/>
      </w:pPr>
      <w:r>
        <w:t>6.</w:t>
      </w:r>
      <w:r>
        <w:tab/>
      </w:r>
      <w:r w:rsidR="00314B1E" w:rsidRPr="00BC218B">
        <w:t xml:space="preserve">This topic was already discussed at the </w:t>
      </w:r>
      <w:r w:rsidR="001804FB" w:rsidRPr="00BC218B">
        <w:t>M</w:t>
      </w:r>
      <w:r w:rsidR="00314B1E" w:rsidRPr="00BC218B">
        <w:t xml:space="preserve">arch 2015 </w:t>
      </w:r>
      <w:r w:rsidR="00057BCD">
        <w:t xml:space="preserve">session of the </w:t>
      </w:r>
      <w:r w:rsidR="00314B1E" w:rsidRPr="00BC218B">
        <w:t xml:space="preserve">Working Group. The feeling expressed </w:t>
      </w:r>
      <w:r w:rsidR="005F092E" w:rsidRPr="00BC218B">
        <w:t xml:space="preserve">then was </w:t>
      </w:r>
      <w:r w:rsidR="00314B1E" w:rsidRPr="00BC218B">
        <w:t>that RID/ADR journeys are typical</w:t>
      </w:r>
      <w:r w:rsidR="00057BCD">
        <w:t>ly</w:t>
      </w:r>
      <w:r w:rsidR="00314B1E" w:rsidRPr="00BC218B">
        <w:t xml:space="preserve"> shorter than maritime journeys for port</w:t>
      </w:r>
      <w:r w:rsidR="005F092E" w:rsidRPr="00BC218B">
        <w:t>ab</w:t>
      </w:r>
      <w:r w:rsidR="00314B1E" w:rsidRPr="00BC218B">
        <w:t xml:space="preserve">le </w:t>
      </w:r>
      <w:proofErr w:type="gramStart"/>
      <w:r w:rsidR="00314B1E" w:rsidRPr="00BC218B">
        <w:t>tanks ,</w:t>
      </w:r>
      <w:proofErr w:type="gramEnd"/>
      <w:r w:rsidR="00314B1E" w:rsidRPr="00BC218B">
        <w:t xml:space="preserve"> and extending the period between  inspections would move the problem a bit further in time. Although some experts in the group were in favour, most </w:t>
      </w:r>
      <w:proofErr w:type="gramStart"/>
      <w:r w:rsidR="00314B1E" w:rsidRPr="00BC218B">
        <w:t>experts  did</w:t>
      </w:r>
      <w:proofErr w:type="gramEnd"/>
      <w:r w:rsidR="00314B1E" w:rsidRPr="00BC218B">
        <w:t xml:space="preserve"> not support the proposal</w:t>
      </w:r>
      <w:r w:rsidR="005F092E" w:rsidRPr="00BC218B">
        <w:t xml:space="preserve"> as it stood</w:t>
      </w:r>
      <w:r w:rsidR="00314B1E" w:rsidRPr="00BC218B">
        <w:t xml:space="preserve">. UIC was invited </w:t>
      </w:r>
      <w:r w:rsidR="00AA1F83" w:rsidRPr="00BC218B">
        <w:t xml:space="preserve">to take </w:t>
      </w:r>
      <w:r w:rsidR="005F092E" w:rsidRPr="00BC218B">
        <w:t xml:space="preserve">account </w:t>
      </w:r>
      <w:r w:rsidR="00AA1F83" w:rsidRPr="00BC218B">
        <w:t xml:space="preserve">of the </w:t>
      </w:r>
      <w:r w:rsidR="00314B1E" w:rsidRPr="00BC218B">
        <w:t>discussions</w:t>
      </w:r>
      <w:r w:rsidR="001804FB" w:rsidRPr="00BC218B">
        <w:t>,</w:t>
      </w:r>
      <w:r w:rsidR="005F092E" w:rsidRPr="00BC218B">
        <w:t xml:space="preserve"> investigate procedures in other regulations and come with ad</w:t>
      </w:r>
      <w:r w:rsidR="00AA1F83" w:rsidRPr="00BC218B">
        <w:t>ditional arguments</w:t>
      </w:r>
      <w:r w:rsidR="005F092E" w:rsidRPr="00BC218B">
        <w:t xml:space="preserve"> in favo</w:t>
      </w:r>
      <w:r w:rsidR="001804FB" w:rsidRPr="00BC218B">
        <w:t>u</w:t>
      </w:r>
      <w:r w:rsidR="005F092E" w:rsidRPr="00BC218B">
        <w:t>r</w:t>
      </w:r>
      <w:r w:rsidR="00AA1F83" w:rsidRPr="00BC218B">
        <w:t>.</w:t>
      </w:r>
    </w:p>
    <w:p w:rsidR="00BC218B" w:rsidRDefault="001804FB" w:rsidP="00BC218B">
      <w:pPr>
        <w:tabs>
          <w:tab w:val="left" w:pos="2850"/>
        </w:tabs>
        <w:ind w:left="1134" w:right="1133"/>
        <w:jc w:val="both"/>
      </w:pPr>
      <w:r w:rsidRPr="00BC218B">
        <w:tab/>
      </w:r>
    </w:p>
    <w:p w:rsidR="00AA1F83" w:rsidRPr="00BC218B" w:rsidRDefault="00BD47D8" w:rsidP="00BD47D8">
      <w:pPr>
        <w:tabs>
          <w:tab w:val="left" w:pos="1710"/>
        </w:tabs>
        <w:ind w:left="1134" w:right="1133"/>
        <w:jc w:val="both"/>
      </w:pPr>
      <w:r>
        <w:t>7.</w:t>
      </w:r>
      <w:r>
        <w:tab/>
      </w:r>
      <w:r w:rsidR="00AA1F83" w:rsidRPr="00BC218B">
        <w:t xml:space="preserve">The </w:t>
      </w:r>
      <w:r w:rsidR="006815F0">
        <w:t>W</w:t>
      </w:r>
      <w:r w:rsidR="00AA1F83" w:rsidRPr="00BC218B">
        <w:t xml:space="preserve">orking </w:t>
      </w:r>
      <w:r w:rsidR="006815F0">
        <w:t>G</w:t>
      </w:r>
      <w:r w:rsidR="00AA1F83" w:rsidRPr="00BC218B">
        <w:t xml:space="preserve">roup discussed the new document which contained two main </w:t>
      </w:r>
      <w:r w:rsidR="00560336">
        <w:t>proposals</w:t>
      </w:r>
      <w:r w:rsidR="00AA1F83" w:rsidRPr="00BC218B">
        <w:t>, one concerning the possibility to carry the tank to its destination if</w:t>
      </w:r>
      <w:r w:rsidR="006815F0">
        <w:t>,</w:t>
      </w:r>
      <w:r w:rsidR="00AA1F83" w:rsidRPr="00BC218B">
        <w:t xml:space="preserve"> after filling</w:t>
      </w:r>
      <w:r w:rsidR="006815F0">
        <w:t>,</w:t>
      </w:r>
      <w:r w:rsidR="00AA1F83" w:rsidRPr="00BC218B">
        <w:t xml:space="preserve"> the </w:t>
      </w:r>
      <w:r w:rsidR="006815F0">
        <w:t xml:space="preserve">expiry </w:t>
      </w:r>
      <w:r w:rsidR="00AA1F83" w:rsidRPr="00BC218B">
        <w:t>date of the inspection</w:t>
      </w:r>
      <w:r w:rsidR="006815F0">
        <w:t xml:space="preserve"> had passed</w:t>
      </w:r>
      <w:r w:rsidR="00057BCD">
        <w:t>. T</w:t>
      </w:r>
      <w:r w:rsidR="00AA1F83" w:rsidRPr="00BC218B">
        <w:t xml:space="preserve">he other </w:t>
      </w:r>
      <w:r w:rsidR="00057BCD">
        <w:t xml:space="preserve">proposal concerned </w:t>
      </w:r>
      <w:r w:rsidR="00AA1F83" w:rsidRPr="00BC218B">
        <w:t xml:space="preserve">the possibility </w:t>
      </w:r>
      <w:r w:rsidR="00057BCD">
        <w:t>of</w:t>
      </w:r>
      <w:r w:rsidR="00AA1F83" w:rsidRPr="00BC218B">
        <w:t xml:space="preserve"> return</w:t>
      </w:r>
      <w:r w:rsidR="00057BCD">
        <w:t>ing</w:t>
      </w:r>
      <w:r w:rsidR="00AA1F83" w:rsidRPr="00BC218B">
        <w:t xml:space="preserve"> a tank with a load after the expiry date for </w:t>
      </w:r>
      <w:r w:rsidR="00057BCD">
        <w:t xml:space="preserve">proper disposal or </w:t>
      </w:r>
      <w:r w:rsidR="00AA1F83" w:rsidRPr="00BC218B">
        <w:t>recycling of the contents.</w:t>
      </w:r>
    </w:p>
    <w:p w:rsidR="00AA1F83" w:rsidRPr="00BC218B" w:rsidRDefault="00AA1F83" w:rsidP="00305A8D">
      <w:pPr>
        <w:ind w:left="1134" w:right="1133"/>
        <w:jc w:val="both"/>
      </w:pPr>
    </w:p>
    <w:p w:rsidR="005D4609" w:rsidRPr="00BC218B" w:rsidRDefault="00BD47D8" w:rsidP="0021125F">
      <w:pPr>
        <w:ind w:left="1134" w:right="1133"/>
        <w:jc w:val="both"/>
      </w:pPr>
      <w:r>
        <w:t>8.</w:t>
      </w:r>
      <w:r>
        <w:tab/>
      </w:r>
      <w:r w:rsidR="00AA1F83" w:rsidRPr="00BC218B">
        <w:t xml:space="preserve">On the first </w:t>
      </w:r>
      <w:r w:rsidR="00560336">
        <w:t>proposal</w:t>
      </w:r>
      <w:r w:rsidR="00AA1F83" w:rsidRPr="00BC218B">
        <w:t xml:space="preserve"> it was s</w:t>
      </w:r>
      <w:r w:rsidR="00FD7671" w:rsidRPr="00BC218B">
        <w:t>t</w:t>
      </w:r>
      <w:r w:rsidR="00AA1F83" w:rsidRPr="00BC218B">
        <w:t>ated that it was not primarily a technical issue</w:t>
      </w:r>
      <w:r w:rsidR="00FD7671" w:rsidRPr="00BC218B">
        <w:t xml:space="preserve">. </w:t>
      </w:r>
      <w:r w:rsidR="006815F0">
        <w:t xml:space="preserve">It was pointed out that for a limited period there </w:t>
      </w:r>
      <w:r w:rsidR="0021125F">
        <w:t xml:space="preserve">are </w:t>
      </w:r>
      <w:r w:rsidR="006815F0">
        <w:t xml:space="preserve">no </w:t>
      </w:r>
      <w:r w:rsidR="0021125F">
        <w:t xml:space="preserve">immediate </w:t>
      </w:r>
      <w:r w:rsidR="006815F0">
        <w:t xml:space="preserve">concerns for </w:t>
      </w:r>
      <w:r w:rsidR="0021125F">
        <w:t xml:space="preserve">the </w:t>
      </w:r>
      <w:r w:rsidR="006815F0">
        <w:t>safety of the t</w:t>
      </w:r>
      <w:r w:rsidR="008871C4" w:rsidRPr="00BC218B">
        <w:t xml:space="preserve">anks </w:t>
      </w:r>
      <w:r w:rsidR="0021125F">
        <w:t xml:space="preserve">once the </w:t>
      </w:r>
      <w:r w:rsidR="008871C4" w:rsidRPr="00BC218B">
        <w:t xml:space="preserve">inspection dates are exceeded. Besides </w:t>
      </w:r>
      <w:r w:rsidR="00AA2178" w:rsidRPr="00BC218B">
        <w:t xml:space="preserve">that carriage after the expiry date is </w:t>
      </w:r>
      <w:r w:rsidR="00AA2178" w:rsidRPr="00BC218B">
        <w:lastRenderedPageBreak/>
        <w:t xml:space="preserve">allowed </w:t>
      </w:r>
      <w:r w:rsidR="0021125F">
        <w:t xml:space="preserve">for IBCs </w:t>
      </w:r>
      <w:r w:rsidR="008871C4" w:rsidRPr="00BC218B">
        <w:t xml:space="preserve">in </w:t>
      </w:r>
      <w:r w:rsidR="00560336">
        <w:t xml:space="preserve">Chapter </w:t>
      </w:r>
      <w:r w:rsidR="008871C4" w:rsidRPr="00BC218B">
        <w:t xml:space="preserve">6.5 and </w:t>
      </w:r>
      <w:r w:rsidR="0021125F">
        <w:t xml:space="preserve">portable tanks in Chapter </w:t>
      </w:r>
      <w:r w:rsidR="008871C4" w:rsidRPr="00BC218B">
        <w:t xml:space="preserve">6.7, </w:t>
      </w:r>
      <w:r w:rsidR="0021125F">
        <w:t xml:space="preserve">and in </w:t>
      </w:r>
      <w:r w:rsidR="00560336">
        <w:t xml:space="preserve">Chapter </w:t>
      </w:r>
      <w:r w:rsidR="00FD7671" w:rsidRPr="00BC218B">
        <w:t>6.8 there is a pr</w:t>
      </w:r>
      <w:r w:rsidR="0021125F">
        <w:t xml:space="preserve">ovision </w:t>
      </w:r>
      <w:r w:rsidR="00FD7671" w:rsidRPr="00BC218B">
        <w:t xml:space="preserve">for the intermediate inspections </w:t>
      </w:r>
      <w:r w:rsidR="0021125F">
        <w:t xml:space="preserve">to be </w:t>
      </w:r>
      <w:r w:rsidR="00FD7671" w:rsidRPr="00BC218B">
        <w:t xml:space="preserve">performed up to 3 months later. </w:t>
      </w:r>
      <w:r w:rsidR="00AA1F83" w:rsidRPr="00BC218B">
        <w:t xml:space="preserve"> </w:t>
      </w:r>
    </w:p>
    <w:p w:rsidR="00BD47D8" w:rsidRDefault="00BD47D8" w:rsidP="0055201A">
      <w:pPr>
        <w:ind w:left="1134" w:right="1133"/>
        <w:jc w:val="both"/>
      </w:pPr>
    </w:p>
    <w:p w:rsidR="00AA1F83" w:rsidRPr="00BC218B" w:rsidRDefault="00BD47D8" w:rsidP="0055201A">
      <w:pPr>
        <w:ind w:left="1134" w:right="1133"/>
        <w:jc w:val="both"/>
      </w:pPr>
      <w:r>
        <w:t>9.</w:t>
      </w:r>
      <w:r>
        <w:tab/>
      </w:r>
      <w:r w:rsidR="005D4609" w:rsidRPr="00BC218B">
        <w:t xml:space="preserve">During </w:t>
      </w:r>
      <w:r w:rsidR="005F092E" w:rsidRPr="00BC218B">
        <w:t xml:space="preserve">discussion various </w:t>
      </w:r>
      <w:r w:rsidR="005D4609" w:rsidRPr="00BC218B">
        <w:t xml:space="preserve">views </w:t>
      </w:r>
      <w:r w:rsidR="005F092E" w:rsidRPr="00BC218B">
        <w:t>were exchanged.</w:t>
      </w:r>
      <w:r w:rsidR="00AA1F83" w:rsidRPr="00BC218B">
        <w:t xml:space="preserve"> </w:t>
      </w:r>
      <w:r w:rsidR="005F092E" w:rsidRPr="00BC218B">
        <w:t xml:space="preserve">Some experts expressed the confusion </w:t>
      </w:r>
      <w:r w:rsidR="008871C4" w:rsidRPr="00BC218B">
        <w:t xml:space="preserve">that </w:t>
      </w:r>
      <w:r w:rsidR="005F092E" w:rsidRPr="00BC218B">
        <w:t xml:space="preserve">the different procedures between 6.7 and 6.8 </w:t>
      </w:r>
      <w:r w:rsidR="0021125F">
        <w:t>might</w:t>
      </w:r>
      <w:r w:rsidR="005F092E" w:rsidRPr="00BC218B">
        <w:t xml:space="preserve"> give for users and control authorities specially if it concerns tank containers</w:t>
      </w:r>
      <w:r w:rsidR="006D002D" w:rsidRPr="00BC218B">
        <w:t xml:space="preserve">/portable tanks </w:t>
      </w:r>
      <w:r w:rsidR="005F092E" w:rsidRPr="00BC218B">
        <w:t>with dual marking</w:t>
      </w:r>
      <w:r w:rsidR="006D002D" w:rsidRPr="00BC218B">
        <w:t xml:space="preserve"> and </w:t>
      </w:r>
      <w:proofErr w:type="gramStart"/>
      <w:r w:rsidR="006D002D" w:rsidRPr="00BC218B">
        <w:t xml:space="preserve">the </w:t>
      </w:r>
      <w:r w:rsidR="005F092E" w:rsidRPr="00BC218B">
        <w:t xml:space="preserve"> longer</w:t>
      </w:r>
      <w:proofErr w:type="gramEnd"/>
      <w:r w:rsidR="005F092E" w:rsidRPr="00BC218B">
        <w:t xml:space="preserve"> journeys </w:t>
      </w:r>
      <w:r w:rsidR="006D002D" w:rsidRPr="00BC218B">
        <w:t xml:space="preserve">and delays </w:t>
      </w:r>
      <w:r w:rsidR="005F092E" w:rsidRPr="00BC218B">
        <w:t xml:space="preserve">expected on the Asian-Europe rail connection. It was also said that tank containers </w:t>
      </w:r>
      <w:r w:rsidR="0055201A">
        <w:t xml:space="preserve">might be </w:t>
      </w:r>
      <w:r w:rsidR="005F092E" w:rsidRPr="00BC218B">
        <w:t xml:space="preserve">filled from production </w:t>
      </w:r>
      <w:r w:rsidR="0055201A">
        <w:t xml:space="preserve">for intermediate stock </w:t>
      </w:r>
      <w:r w:rsidR="005F092E" w:rsidRPr="00BC218B">
        <w:t xml:space="preserve">not knowing what the final destination would be </w:t>
      </w:r>
      <w:proofErr w:type="gramStart"/>
      <w:r w:rsidR="005F092E" w:rsidRPr="00BC218B">
        <w:t>nor</w:t>
      </w:r>
      <w:proofErr w:type="gramEnd"/>
      <w:r w:rsidR="005F092E" w:rsidRPr="00BC218B">
        <w:t xml:space="preserve"> the exact date of dispa</w:t>
      </w:r>
      <w:r w:rsidR="005D4609" w:rsidRPr="00BC218B">
        <w:t>t</w:t>
      </w:r>
      <w:r w:rsidR="005F092E" w:rsidRPr="00BC218B">
        <w:t>ch.</w:t>
      </w:r>
    </w:p>
    <w:p w:rsidR="00BD47D8" w:rsidRDefault="00BD47D8" w:rsidP="0055201A">
      <w:pPr>
        <w:ind w:left="1134" w:right="1133"/>
        <w:jc w:val="both"/>
      </w:pPr>
    </w:p>
    <w:p w:rsidR="005D4609" w:rsidRPr="00BC218B" w:rsidRDefault="00BD47D8" w:rsidP="0055201A">
      <w:pPr>
        <w:ind w:left="1134" w:right="1133"/>
        <w:jc w:val="both"/>
      </w:pPr>
      <w:r>
        <w:t>10.</w:t>
      </w:r>
      <w:r>
        <w:tab/>
      </w:r>
      <w:r w:rsidR="005D4609" w:rsidRPr="00BC218B">
        <w:t>I</w:t>
      </w:r>
      <w:r w:rsidR="0055201A">
        <w:t>t was felt that i</w:t>
      </w:r>
      <w:r w:rsidR="005D4609" w:rsidRPr="00BC218B">
        <w:t xml:space="preserve">f </w:t>
      </w:r>
      <w:r w:rsidR="0055201A">
        <w:t xml:space="preserve">a proposal were to be </w:t>
      </w:r>
      <w:r w:rsidR="005D4609" w:rsidRPr="00BC218B">
        <w:t>adopt</w:t>
      </w:r>
      <w:r w:rsidR="0055201A">
        <w:t>ed</w:t>
      </w:r>
      <w:r w:rsidR="005D4609" w:rsidRPr="00BC218B">
        <w:t xml:space="preserve"> it should be </w:t>
      </w:r>
      <w:proofErr w:type="spellStart"/>
      <w:r w:rsidR="005D4609" w:rsidRPr="00BC218B">
        <w:t>mode</w:t>
      </w:r>
      <w:proofErr w:type="spellEnd"/>
      <w:r w:rsidR="005D4609" w:rsidRPr="00BC218B">
        <w:t xml:space="preserve"> specific</w:t>
      </w:r>
      <w:r w:rsidR="0055201A">
        <w:t xml:space="preserve">, for rail transport </w:t>
      </w:r>
      <w:proofErr w:type="gramStart"/>
      <w:r w:rsidR="0055201A">
        <w:t>one  month</w:t>
      </w:r>
      <w:proofErr w:type="gramEnd"/>
      <w:r w:rsidR="0055201A">
        <w:t xml:space="preserve"> was discussed</w:t>
      </w:r>
      <w:r w:rsidR="005D4609" w:rsidRPr="00BC218B">
        <w:t xml:space="preserve">. It was also remarked that when a proposal in this direction was </w:t>
      </w:r>
      <w:r w:rsidR="0055201A">
        <w:t xml:space="preserve">considered </w:t>
      </w:r>
      <w:r w:rsidR="005D4609" w:rsidRPr="00BC218B">
        <w:t>the wording of 6.8.</w:t>
      </w:r>
      <w:r w:rsidR="00560336">
        <w:t xml:space="preserve">2.4.3 </w:t>
      </w:r>
      <w:r w:rsidR="005D4609" w:rsidRPr="00BC218B">
        <w:t xml:space="preserve">on the variation in intermediate inspection </w:t>
      </w:r>
      <w:r w:rsidR="006D002D" w:rsidRPr="00BC218B">
        <w:t xml:space="preserve">period </w:t>
      </w:r>
      <w:r w:rsidR="005D4609" w:rsidRPr="00BC218B">
        <w:t xml:space="preserve">should be </w:t>
      </w:r>
      <w:r w:rsidR="0055201A">
        <w:t>taken into account</w:t>
      </w:r>
      <w:r w:rsidR="005D4609" w:rsidRPr="00BC218B">
        <w:t>.</w:t>
      </w:r>
    </w:p>
    <w:p w:rsidR="008A5647" w:rsidRDefault="008A5647" w:rsidP="008A5647">
      <w:pPr>
        <w:ind w:left="1134" w:right="1133"/>
        <w:jc w:val="both"/>
      </w:pPr>
    </w:p>
    <w:p w:rsidR="006D002D" w:rsidRDefault="00BD47D8" w:rsidP="008A5647">
      <w:pPr>
        <w:ind w:left="1134" w:right="1133"/>
        <w:jc w:val="both"/>
      </w:pPr>
      <w:r>
        <w:t>1</w:t>
      </w:r>
      <w:r w:rsidR="008A5647">
        <w:t>1</w:t>
      </w:r>
      <w:r>
        <w:t>.</w:t>
      </w:r>
      <w:r>
        <w:tab/>
      </w:r>
      <w:r w:rsidR="005D4609" w:rsidRPr="00BC218B">
        <w:t xml:space="preserve">Although there was no real support for </w:t>
      </w:r>
      <w:r w:rsidR="009461B9">
        <w:t>an open ended approach</w:t>
      </w:r>
      <w:r w:rsidR="005D4609" w:rsidRPr="00BC218B">
        <w:t xml:space="preserve"> </w:t>
      </w:r>
      <w:r w:rsidR="0011441F">
        <w:t>(</w:t>
      </w:r>
      <w:r w:rsidR="005D4609" w:rsidRPr="00BC218B">
        <w:t>with no time limit</w:t>
      </w:r>
      <w:r w:rsidR="0011441F">
        <w:t>)</w:t>
      </w:r>
      <w:r w:rsidR="005D4609" w:rsidRPr="00BC218B">
        <w:t xml:space="preserve"> a tour de table </w:t>
      </w:r>
      <w:r w:rsidR="006D002D" w:rsidRPr="00BC218B">
        <w:t xml:space="preserve">resulted in </w:t>
      </w:r>
      <w:r w:rsidR="005D4609" w:rsidRPr="00BC218B">
        <w:t>15 experts voting in favour</w:t>
      </w:r>
      <w:r w:rsidR="008871C4" w:rsidRPr="00BC218B">
        <w:t xml:space="preserve"> of the principle</w:t>
      </w:r>
      <w:r w:rsidR="005D4609" w:rsidRPr="00BC218B">
        <w:t xml:space="preserve">, 2 </w:t>
      </w:r>
      <w:r w:rsidR="006D002D" w:rsidRPr="00BC218B">
        <w:t>a</w:t>
      </w:r>
      <w:r w:rsidR="005D4609" w:rsidRPr="00BC218B">
        <w:t>bstentions and 2 against.</w:t>
      </w:r>
      <w:r w:rsidR="008A5647">
        <w:t xml:space="preserve"> The UIC is invited to come back with a revised proposal.</w:t>
      </w:r>
    </w:p>
    <w:p w:rsidR="008A5647" w:rsidRPr="00BC218B" w:rsidRDefault="008A5647" w:rsidP="008A5647">
      <w:pPr>
        <w:ind w:left="1134" w:right="1133"/>
        <w:jc w:val="both"/>
      </w:pPr>
    </w:p>
    <w:p w:rsidR="008A5647" w:rsidRDefault="008A5647" w:rsidP="00D45141">
      <w:pPr>
        <w:ind w:left="1134" w:right="1133"/>
        <w:jc w:val="both"/>
      </w:pPr>
      <w:r>
        <w:t>12.</w:t>
      </w:r>
      <w:r>
        <w:tab/>
      </w:r>
      <w:r w:rsidRPr="00BC218B">
        <w:t xml:space="preserve">Concerning the second aspect, the return of a filled tank for </w:t>
      </w:r>
      <w:r>
        <w:t xml:space="preserve">proper disposal or </w:t>
      </w:r>
      <w:r w:rsidRPr="00BC218B">
        <w:t xml:space="preserve">recycling of the contents after the </w:t>
      </w:r>
      <w:r>
        <w:t xml:space="preserve">expiry </w:t>
      </w:r>
      <w:r w:rsidRPr="00BC218B">
        <w:t>date of the inspection was recognized as an issue</w:t>
      </w:r>
      <w:r>
        <w:t xml:space="preserve">. However the working group felt that </w:t>
      </w:r>
      <w:r w:rsidR="00D45141">
        <w:t xml:space="preserve">the </w:t>
      </w:r>
      <w:r>
        <w:t>U</w:t>
      </w:r>
      <w:r w:rsidRPr="00BC218B">
        <w:t xml:space="preserve">IC </w:t>
      </w:r>
      <w:r>
        <w:t xml:space="preserve">should </w:t>
      </w:r>
      <w:r w:rsidRPr="00BC218B">
        <w:t xml:space="preserve">present a proper argumentation </w:t>
      </w:r>
      <w:r w:rsidR="00D45141">
        <w:t>for the matter to be considered further</w:t>
      </w:r>
      <w:r w:rsidRPr="00BC218B">
        <w:t>.</w:t>
      </w:r>
    </w:p>
    <w:p w:rsidR="006D002D" w:rsidRPr="00BC218B" w:rsidRDefault="006D002D" w:rsidP="00305A8D">
      <w:pPr>
        <w:ind w:left="1134" w:right="1133"/>
        <w:jc w:val="both"/>
      </w:pPr>
    </w:p>
    <w:p w:rsidR="001804FB" w:rsidRPr="00BC218B" w:rsidRDefault="00D45141" w:rsidP="009F7765">
      <w:pPr>
        <w:ind w:left="1134" w:right="1133"/>
        <w:jc w:val="both"/>
      </w:pPr>
      <w:r>
        <w:t>13.</w:t>
      </w:r>
      <w:r>
        <w:tab/>
      </w:r>
      <w:r w:rsidR="009B4ED6" w:rsidRPr="00BC218B">
        <w:t xml:space="preserve">On the final topic related to the modifications </w:t>
      </w:r>
      <w:r w:rsidR="008871C4" w:rsidRPr="00BC218B">
        <w:t xml:space="preserve">of </w:t>
      </w:r>
      <w:r w:rsidR="001804FB" w:rsidRPr="00BC218B">
        <w:t>6.7.2.19.6, 6.7.3.15.6 and 6.7.4.14.6</w:t>
      </w:r>
      <w:r w:rsidR="009B4ED6" w:rsidRPr="00BC218B">
        <w:t xml:space="preserve"> by adding the wording </w:t>
      </w:r>
      <w:r w:rsidR="009B4ED6" w:rsidRPr="00BC218B">
        <w:rPr>
          <w:i/>
        </w:rPr>
        <w:t>“</w:t>
      </w:r>
      <w:r w:rsidR="001804FB" w:rsidRPr="00BC218B">
        <w:rPr>
          <w:i/>
        </w:rPr>
        <w:t>and offered for carriage and accepted for carriage by the carrier”</w:t>
      </w:r>
      <w:r w:rsidR="001804FB" w:rsidRPr="00BC218B">
        <w:t xml:space="preserve"> </w:t>
      </w:r>
      <w:r w:rsidR="0011441F">
        <w:t xml:space="preserve">no particular views were expressed </w:t>
      </w:r>
      <w:r w:rsidR="009461B9">
        <w:t>recogniz</w:t>
      </w:r>
      <w:r w:rsidR="0011441F">
        <w:t xml:space="preserve">ing that this was </w:t>
      </w:r>
      <w:r w:rsidR="009461B9">
        <w:t>a</w:t>
      </w:r>
      <w:r w:rsidR="0011441F">
        <w:t xml:space="preserve"> </w:t>
      </w:r>
      <w:r w:rsidR="009461B9">
        <w:t>matter</w:t>
      </w:r>
      <w:r w:rsidR="0011441F">
        <w:t xml:space="preserve"> for the UN</w:t>
      </w:r>
      <w:r w:rsidR="009461B9">
        <w:t>.</w:t>
      </w:r>
    </w:p>
    <w:p w:rsidR="008A5647" w:rsidRPr="00BC218B" w:rsidRDefault="009B4ED6" w:rsidP="008A5647">
      <w:pPr>
        <w:ind w:left="1134" w:right="1133"/>
        <w:jc w:val="both"/>
      </w:pPr>
      <w:r w:rsidRPr="00BC218B">
        <w:t xml:space="preserve"> </w:t>
      </w:r>
      <w:r w:rsidR="00BB39A7">
        <w:t xml:space="preserve"> </w:t>
      </w:r>
      <w:r w:rsidR="006D002D">
        <w:rPr>
          <w:b/>
          <w:sz w:val="24"/>
        </w:rPr>
        <w:t xml:space="preserve">   </w:t>
      </w:r>
      <w:r w:rsidR="005D4609">
        <w:rPr>
          <w:b/>
          <w:sz w:val="24"/>
        </w:rPr>
        <w:t xml:space="preserve">  </w:t>
      </w:r>
    </w:p>
    <w:p w:rsidR="00BB39A7" w:rsidRPr="00566008" w:rsidRDefault="0060098F" w:rsidP="00BB39A7">
      <w:pPr>
        <w:pStyle w:val="HChG"/>
        <w:rPr>
          <w:sz w:val="24"/>
          <w:szCs w:val="24"/>
          <w:lang w:val="en-GB"/>
        </w:rPr>
      </w:pPr>
      <w:r w:rsidRPr="0060098F">
        <w:rPr>
          <w:lang w:val="en-GB"/>
        </w:rPr>
        <w:tab/>
      </w:r>
      <w:r w:rsidRPr="0060098F">
        <w:rPr>
          <w:lang w:val="en-GB"/>
        </w:rPr>
        <w:tab/>
      </w:r>
      <w:r w:rsidR="00BB39A7" w:rsidRPr="00566008">
        <w:rPr>
          <w:sz w:val="24"/>
          <w:szCs w:val="24"/>
        </w:rPr>
        <w:t xml:space="preserve">Item </w:t>
      </w:r>
      <w:r w:rsidR="00BB39A7" w:rsidRPr="00BB39A7">
        <w:rPr>
          <w:sz w:val="24"/>
          <w:szCs w:val="24"/>
          <w:lang w:val="en-GB"/>
        </w:rPr>
        <w:t>4</w:t>
      </w:r>
      <w:r w:rsidR="00BB39A7" w:rsidRPr="00566008">
        <w:rPr>
          <w:sz w:val="24"/>
          <w:szCs w:val="24"/>
        </w:rPr>
        <w:t>: ECE/TRANS/WP.15/AC.1/2015/30 (OTIF) – Transitional provisions</w:t>
      </w:r>
      <w:r w:rsidR="00BB39A7" w:rsidRPr="00566008">
        <w:rPr>
          <w:sz w:val="24"/>
          <w:szCs w:val="24"/>
          <w:lang w:val="en-GB"/>
        </w:rPr>
        <w:t>.</w:t>
      </w:r>
    </w:p>
    <w:p w:rsidR="0011441F" w:rsidRDefault="00D45141" w:rsidP="0011441F">
      <w:pPr>
        <w:ind w:left="1134"/>
      </w:pPr>
      <w:r>
        <w:t>14.</w:t>
      </w:r>
      <w:r>
        <w:tab/>
      </w:r>
      <w:r w:rsidR="0011441F">
        <w:t xml:space="preserve">The working group endorsed the transitional measures for tanks proposed by the secretariat. </w:t>
      </w:r>
    </w:p>
    <w:p w:rsidR="00BB39A7" w:rsidRPr="0093309A" w:rsidRDefault="00BB39A7" w:rsidP="0011441F">
      <w:pPr>
        <w:ind w:left="1134"/>
        <w:rPr>
          <w:b/>
          <w:sz w:val="24"/>
          <w:szCs w:val="24"/>
          <w:lang w:val="x-none"/>
        </w:rPr>
      </w:pPr>
      <w:r>
        <w:br/>
      </w:r>
    </w:p>
    <w:p w:rsidR="00BB39A7" w:rsidRDefault="00BB39A7" w:rsidP="00BB39A7">
      <w:pPr>
        <w:ind w:left="1134" w:right="1133"/>
        <w:jc w:val="both"/>
        <w:rPr>
          <w:b/>
          <w:sz w:val="24"/>
          <w:szCs w:val="24"/>
          <w:lang w:val="en-US"/>
        </w:rPr>
      </w:pPr>
      <w:r w:rsidRPr="007A69D5">
        <w:rPr>
          <w:b/>
          <w:sz w:val="24"/>
          <w:szCs w:val="24"/>
        </w:rPr>
        <w:t xml:space="preserve">Item </w:t>
      </w:r>
      <w:r>
        <w:rPr>
          <w:b/>
          <w:sz w:val="24"/>
          <w:szCs w:val="24"/>
        </w:rPr>
        <w:t>5</w:t>
      </w:r>
      <w:r w:rsidRPr="007A69D5">
        <w:rPr>
          <w:b/>
          <w:sz w:val="24"/>
          <w:szCs w:val="24"/>
        </w:rPr>
        <w:t>: ECE/TRANS/WP.15/AC.1/201</w:t>
      </w:r>
      <w:r w:rsidRPr="007A69D5">
        <w:rPr>
          <w:b/>
          <w:sz w:val="24"/>
          <w:szCs w:val="24"/>
          <w:lang w:val="en-US"/>
        </w:rPr>
        <w:t>5</w:t>
      </w:r>
      <w:r w:rsidRPr="007A69D5">
        <w:rPr>
          <w:b/>
          <w:sz w:val="24"/>
          <w:szCs w:val="24"/>
        </w:rPr>
        <w:t xml:space="preserve">/31 (Latvia) – </w:t>
      </w:r>
      <w:r w:rsidRPr="0011441F">
        <w:rPr>
          <w:b/>
          <w:sz w:val="24"/>
          <w:szCs w:val="24"/>
          <w:lang w:val="en-US"/>
        </w:rPr>
        <w:t>Proposal</w:t>
      </w:r>
      <w:r w:rsidRPr="0011441F">
        <w:rPr>
          <w:sz w:val="24"/>
          <w:szCs w:val="24"/>
          <w:lang w:val="en-US"/>
        </w:rPr>
        <w:t xml:space="preserve"> </w:t>
      </w:r>
      <w:r w:rsidRPr="0011441F">
        <w:rPr>
          <w:b/>
          <w:sz w:val="24"/>
          <w:szCs w:val="24"/>
          <w:lang w:val="en-US"/>
        </w:rPr>
        <w:t xml:space="preserve">for amendments </w:t>
      </w:r>
      <w:proofErr w:type="gramStart"/>
      <w:r w:rsidRPr="0011441F">
        <w:rPr>
          <w:b/>
          <w:sz w:val="24"/>
          <w:szCs w:val="24"/>
          <w:lang w:val="en-US"/>
        </w:rPr>
        <w:t>to  special</w:t>
      </w:r>
      <w:proofErr w:type="gramEnd"/>
      <w:r w:rsidRPr="0011441F">
        <w:rPr>
          <w:b/>
          <w:sz w:val="24"/>
          <w:szCs w:val="24"/>
          <w:lang w:val="en-US"/>
        </w:rPr>
        <w:t xml:space="preserve"> provisions TU21 of chapter 4.3 of RID/ADR</w:t>
      </w:r>
      <w:r w:rsidRPr="007A69D5">
        <w:rPr>
          <w:b/>
          <w:sz w:val="24"/>
          <w:szCs w:val="24"/>
          <w:lang w:val="en-US"/>
        </w:rPr>
        <w:t>.</w:t>
      </w:r>
    </w:p>
    <w:p w:rsidR="00BB39A7" w:rsidRDefault="00BB39A7" w:rsidP="00BB39A7">
      <w:pPr>
        <w:ind w:left="1134" w:right="1133"/>
        <w:jc w:val="both"/>
        <w:rPr>
          <w:b/>
          <w:sz w:val="24"/>
          <w:szCs w:val="24"/>
          <w:lang w:val="en-US"/>
        </w:rPr>
      </w:pPr>
    </w:p>
    <w:p w:rsidR="00BB39A7" w:rsidRPr="00C6325B" w:rsidRDefault="00D45141" w:rsidP="00D45141">
      <w:pPr>
        <w:ind w:left="1134" w:right="1133"/>
        <w:jc w:val="both"/>
        <w:rPr>
          <w:lang w:val="en-US"/>
        </w:rPr>
      </w:pPr>
      <w:r>
        <w:rPr>
          <w:lang w:val="en-US"/>
        </w:rPr>
        <w:t>15.</w:t>
      </w:r>
      <w:r>
        <w:rPr>
          <w:lang w:val="en-US"/>
        </w:rPr>
        <w:tab/>
      </w:r>
      <w:r w:rsidR="00BB39A7" w:rsidRPr="00C6325B">
        <w:rPr>
          <w:lang w:val="en-US"/>
        </w:rPr>
        <w:t xml:space="preserve">The document by Latvia was welcomed by the working group and contained a proposal for a clarification and elaboration of the outcome of the discussion on TU 21 </w:t>
      </w:r>
      <w:r>
        <w:rPr>
          <w:lang w:val="en-US"/>
        </w:rPr>
        <w:t>at</w:t>
      </w:r>
      <w:r w:rsidR="00BB39A7" w:rsidRPr="00C6325B">
        <w:rPr>
          <w:lang w:val="en-US"/>
        </w:rPr>
        <w:t xml:space="preserve"> the March 2015 session. </w:t>
      </w:r>
      <w:r>
        <w:rPr>
          <w:lang w:val="en-US"/>
        </w:rPr>
        <w:t>O</w:t>
      </w:r>
      <w:r w:rsidR="00BB39A7" w:rsidRPr="00C6325B">
        <w:rPr>
          <w:lang w:val="en-US"/>
        </w:rPr>
        <w:t xml:space="preserve">ption 2 </w:t>
      </w:r>
      <w:r>
        <w:rPr>
          <w:lang w:val="en-US"/>
        </w:rPr>
        <w:t>of the proposal was</w:t>
      </w:r>
      <w:r w:rsidR="0011441F">
        <w:rPr>
          <w:lang w:val="en-US"/>
        </w:rPr>
        <w:t xml:space="preserve"> </w:t>
      </w:r>
      <w:r w:rsidR="0011441F" w:rsidRPr="00C6325B">
        <w:rPr>
          <w:lang w:val="en-US"/>
        </w:rPr>
        <w:t>preferred</w:t>
      </w:r>
      <w:r w:rsidR="00BB39A7" w:rsidRPr="00C6325B">
        <w:rPr>
          <w:lang w:val="en-US"/>
        </w:rPr>
        <w:t>.</w:t>
      </w:r>
    </w:p>
    <w:p w:rsidR="00D45141" w:rsidRDefault="00D45141" w:rsidP="00D45141">
      <w:pPr>
        <w:ind w:left="1134" w:right="1133"/>
        <w:jc w:val="both"/>
        <w:rPr>
          <w:lang w:val="en-US"/>
        </w:rPr>
      </w:pPr>
    </w:p>
    <w:p w:rsidR="00BB39A7" w:rsidRPr="00C6325B" w:rsidRDefault="00D45141" w:rsidP="00D45141">
      <w:pPr>
        <w:ind w:left="1134" w:right="1133"/>
        <w:jc w:val="both"/>
        <w:rPr>
          <w:lang w:val="en-US"/>
        </w:rPr>
      </w:pPr>
      <w:r>
        <w:rPr>
          <w:lang w:val="en-US"/>
        </w:rPr>
        <w:t>16.</w:t>
      </w:r>
      <w:r>
        <w:rPr>
          <w:lang w:val="en-US"/>
        </w:rPr>
        <w:tab/>
      </w:r>
      <w:r w:rsidR="00BB39A7" w:rsidRPr="00C6325B">
        <w:rPr>
          <w:lang w:val="en-US"/>
        </w:rPr>
        <w:t xml:space="preserve">Several questions were raised and discussed. </w:t>
      </w:r>
      <w:r>
        <w:rPr>
          <w:lang w:val="en-US"/>
        </w:rPr>
        <w:t xml:space="preserve">A </w:t>
      </w:r>
      <w:r w:rsidR="00BB39A7" w:rsidRPr="00C6325B">
        <w:rPr>
          <w:lang w:val="en-US"/>
        </w:rPr>
        <w:t xml:space="preserve">particular question </w:t>
      </w:r>
      <w:r>
        <w:rPr>
          <w:lang w:val="en-US"/>
        </w:rPr>
        <w:t xml:space="preserve">concerned if </w:t>
      </w:r>
      <w:r w:rsidR="00BB39A7" w:rsidRPr="00C6325B">
        <w:rPr>
          <w:lang w:val="en-US"/>
        </w:rPr>
        <w:t xml:space="preserve">the filling degree </w:t>
      </w:r>
      <w:r>
        <w:rPr>
          <w:lang w:val="en-US"/>
        </w:rPr>
        <w:t>included the water</w:t>
      </w:r>
      <w:r w:rsidR="00BB39A7" w:rsidRPr="00C6325B">
        <w:rPr>
          <w:lang w:val="en-US"/>
        </w:rPr>
        <w:t xml:space="preserve">. Contact with the industry expert </w:t>
      </w:r>
      <w:r>
        <w:rPr>
          <w:lang w:val="en-US"/>
        </w:rPr>
        <w:t xml:space="preserve">who gave a presentation at the last meeting revealed that </w:t>
      </w:r>
      <w:r w:rsidR="00BB39A7" w:rsidRPr="00C6325B">
        <w:rPr>
          <w:lang w:val="en-US"/>
        </w:rPr>
        <w:t>the fillings degree included the water.</w:t>
      </w:r>
    </w:p>
    <w:p w:rsidR="00D45141" w:rsidRDefault="00D45141" w:rsidP="00BB39A7">
      <w:pPr>
        <w:ind w:left="1134" w:right="1133"/>
        <w:jc w:val="both"/>
        <w:rPr>
          <w:lang w:val="en-US"/>
        </w:rPr>
      </w:pPr>
    </w:p>
    <w:p w:rsidR="00BB39A7" w:rsidRPr="00D45141" w:rsidRDefault="00D45141" w:rsidP="00D45141">
      <w:pPr>
        <w:ind w:left="1134" w:right="1133"/>
        <w:jc w:val="both"/>
        <w:rPr>
          <w:lang w:val="en-US"/>
        </w:rPr>
      </w:pPr>
      <w:r>
        <w:rPr>
          <w:lang w:val="en-US"/>
        </w:rPr>
        <w:t>17.</w:t>
      </w:r>
      <w:r>
        <w:rPr>
          <w:lang w:val="en-US"/>
        </w:rPr>
        <w:tab/>
      </w:r>
      <w:r w:rsidR="00BB39A7" w:rsidRPr="00D45141">
        <w:rPr>
          <w:lang w:val="en-US"/>
        </w:rPr>
        <w:t xml:space="preserve">The proposal was further improved and simplified. As a consequence it </w:t>
      </w:r>
      <w:r>
        <w:rPr>
          <w:lang w:val="en-US"/>
        </w:rPr>
        <w:t xml:space="preserve">was </w:t>
      </w:r>
      <w:proofErr w:type="gramStart"/>
      <w:r>
        <w:rPr>
          <w:lang w:val="en-US"/>
        </w:rPr>
        <w:t xml:space="preserve">decided </w:t>
      </w:r>
      <w:r w:rsidR="00BB39A7" w:rsidRPr="00D45141">
        <w:rPr>
          <w:lang w:val="en-US"/>
        </w:rPr>
        <w:t xml:space="preserve"> also</w:t>
      </w:r>
      <w:proofErr w:type="gramEnd"/>
      <w:r w:rsidR="00BB39A7" w:rsidRPr="00D45141">
        <w:rPr>
          <w:lang w:val="en-US"/>
        </w:rPr>
        <w:t xml:space="preserve"> to amend the wording of TU </w:t>
      </w:r>
      <w:r w:rsidR="0011441F" w:rsidRPr="00D45141">
        <w:rPr>
          <w:lang w:val="en-US"/>
        </w:rPr>
        <w:t>1</w:t>
      </w:r>
      <w:r w:rsidR="00BB39A7" w:rsidRPr="00D45141">
        <w:rPr>
          <w:lang w:val="en-US"/>
        </w:rPr>
        <w:t>6 that was already adopted during the March session.</w:t>
      </w:r>
    </w:p>
    <w:p w:rsidR="00BB39A7" w:rsidRDefault="00BB39A7" w:rsidP="00BB39A7">
      <w:pPr>
        <w:ind w:left="1134" w:right="1133"/>
        <w:jc w:val="both"/>
        <w:rPr>
          <w:b/>
          <w:i/>
          <w:sz w:val="24"/>
          <w:szCs w:val="24"/>
          <w:lang w:val="en-US"/>
        </w:rPr>
      </w:pPr>
    </w:p>
    <w:p w:rsidR="00BB39A7" w:rsidRPr="00BB39A7" w:rsidRDefault="00BB39A7" w:rsidP="00BB39A7">
      <w:pPr>
        <w:ind w:left="1134" w:right="1133"/>
        <w:jc w:val="both"/>
        <w:rPr>
          <w:b/>
          <w:lang w:val="en-US"/>
        </w:rPr>
      </w:pPr>
      <w:r w:rsidRPr="00BB39A7">
        <w:rPr>
          <w:b/>
          <w:lang w:val="en-US"/>
        </w:rPr>
        <w:t>Proposal</w:t>
      </w:r>
      <w:r>
        <w:rPr>
          <w:b/>
          <w:lang w:val="en-US"/>
        </w:rPr>
        <w:t xml:space="preserve"> 3</w:t>
      </w:r>
      <w:r w:rsidR="00D45141">
        <w:rPr>
          <w:b/>
          <w:lang w:val="en-US"/>
        </w:rPr>
        <w:t>:</w:t>
      </w:r>
    </w:p>
    <w:p w:rsidR="00BB39A7" w:rsidRPr="00296BB9" w:rsidRDefault="00D45141" w:rsidP="00BB39A7">
      <w:pPr>
        <w:ind w:left="1134" w:right="1133"/>
        <w:jc w:val="both"/>
        <w:rPr>
          <w:bCs/>
          <w:iCs/>
          <w:lang w:val="en-US"/>
        </w:rPr>
      </w:pPr>
      <w:r w:rsidRPr="00296BB9">
        <w:rPr>
          <w:bCs/>
          <w:iCs/>
          <w:lang w:val="en-US"/>
        </w:rPr>
        <w:t>Replace the existing TU21</w:t>
      </w:r>
      <w:r w:rsidR="00296BB9">
        <w:rPr>
          <w:bCs/>
          <w:iCs/>
          <w:lang w:val="en-US"/>
        </w:rPr>
        <w:t xml:space="preserve"> </w:t>
      </w:r>
      <w:r w:rsidR="00296BB9" w:rsidRPr="00296BB9">
        <w:rPr>
          <w:bCs/>
          <w:iCs/>
          <w:lang w:val="en-US"/>
        </w:rPr>
        <w:t>in 4.3.</w:t>
      </w:r>
      <w:r w:rsidR="00296BB9">
        <w:rPr>
          <w:bCs/>
          <w:iCs/>
          <w:lang w:val="en-US"/>
        </w:rPr>
        <w:t>5 with the following:</w:t>
      </w:r>
    </w:p>
    <w:p w:rsidR="00BB39A7" w:rsidRPr="00C6325B" w:rsidRDefault="00BB39A7" w:rsidP="00BB39A7">
      <w:pPr>
        <w:spacing w:after="120"/>
        <w:ind w:left="2259" w:right="1134" w:hanging="1125"/>
        <w:jc w:val="both"/>
        <w:rPr>
          <w:i/>
        </w:rPr>
      </w:pPr>
      <w:r w:rsidRPr="00C6325B">
        <w:rPr>
          <w:b/>
          <w:i/>
        </w:rPr>
        <w:lastRenderedPageBreak/>
        <w:t>TU21</w:t>
      </w:r>
      <w:r w:rsidRPr="00C6325B">
        <w:rPr>
          <w:i/>
        </w:rPr>
        <w:tab/>
      </w:r>
      <w:r w:rsidRPr="00C6325B">
        <w:rPr>
          <w:i/>
        </w:rPr>
        <w:tab/>
        <w:t>The substance shall be covered with a protective agent by one of the following measures:</w:t>
      </w:r>
    </w:p>
    <w:p w:rsidR="00BB39A7" w:rsidRPr="00C6325B" w:rsidRDefault="00BB39A7" w:rsidP="00296BB9">
      <w:pPr>
        <w:spacing w:after="120"/>
        <w:ind w:left="2835" w:right="1134" w:hanging="567"/>
        <w:jc w:val="both"/>
        <w:rPr>
          <w:i/>
        </w:rPr>
      </w:pPr>
      <w:r w:rsidRPr="00C6325B">
        <w:rPr>
          <w:i/>
        </w:rPr>
        <w:t>(а)</w:t>
      </w:r>
      <w:r w:rsidRPr="00C6325B">
        <w:rPr>
          <w:i/>
        </w:rPr>
        <w:tab/>
      </w:r>
      <w:proofErr w:type="gramStart"/>
      <w:r w:rsidRPr="00C6325B">
        <w:rPr>
          <w:i/>
        </w:rPr>
        <w:t>water</w:t>
      </w:r>
      <w:proofErr w:type="gramEnd"/>
      <w:r w:rsidRPr="00C6325B">
        <w:rPr>
          <w:i/>
        </w:rPr>
        <w:t xml:space="preserve"> to a depth of not less than 12 cm at the time of filling. The degree of filling of the substance and the water at a temperature of 60 °C shall not exceed 98%; or</w:t>
      </w:r>
    </w:p>
    <w:p w:rsidR="00BB39A7" w:rsidRPr="00C6325B" w:rsidRDefault="00BB39A7" w:rsidP="00BB39A7">
      <w:pPr>
        <w:spacing w:after="120"/>
        <w:ind w:left="2835" w:right="1134" w:hanging="567"/>
        <w:jc w:val="both"/>
        <w:rPr>
          <w:i/>
        </w:rPr>
      </w:pPr>
      <w:r w:rsidRPr="00C6325B">
        <w:rPr>
          <w:i/>
        </w:rPr>
        <w:t>(b)</w:t>
      </w:r>
      <w:r w:rsidRPr="00C6325B">
        <w:rPr>
          <w:i/>
        </w:rPr>
        <w:tab/>
      </w:r>
      <w:proofErr w:type="gramStart"/>
      <w:r w:rsidRPr="00C6325B">
        <w:rPr>
          <w:i/>
        </w:rPr>
        <w:t>nitrogen</w:t>
      </w:r>
      <w:proofErr w:type="gramEnd"/>
      <w:r w:rsidRPr="00C6325B">
        <w:rPr>
          <w:i/>
        </w:rPr>
        <w:t>, in which case the degree of filling at a temperature of 60 °C  shall not exceed 96%; or</w:t>
      </w:r>
    </w:p>
    <w:p w:rsidR="00BB39A7" w:rsidRPr="00C6325B" w:rsidRDefault="00BB39A7" w:rsidP="00296BB9">
      <w:pPr>
        <w:spacing w:after="120"/>
        <w:ind w:left="2835" w:right="1134" w:hanging="567"/>
        <w:jc w:val="both"/>
        <w:rPr>
          <w:i/>
          <w:strike/>
        </w:rPr>
      </w:pPr>
      <w:r w:rsidRPr="00C6325B">
        <w:rPr>
          <w:i/>
        </w:rPr>
        <w:t>(c)</w:t>
      </w:r>
      <w:r w:rsidRPr="00C6325B">
        <w:rPr>
          <w:i/>
        </w:rPr>
        <w:tab/>
      </w:r>
      <w:proofErr w:type="gramStart"/>
      <w:r w:rsidRPr="00C6325B">
        <w:rPr>
          <w:i/>
        </w:rPr>
        <w:t>a</w:t>
      </w:r>
      <w:proofErr w:type="gramEnd"/>
      <w:r w:rsidRPr="00C6325B">
        <w:rPr>
          <w:i/>
        </w:rPr>
        <w:t xml:space="preserve"> combination of water and nitrogen, in which case the substance shall be covered with a water layer and the remaining space filled with nitrogen. The degree of filling of the substance and the water at a temperature of 60 °C shall not exceed 98%. </w:t>
      </w:r>
    </w:p>
    <w:p w:rsidR="00BB39A7" w:rsidRPr="00C6325B" w:rsidRDefault="00BB39A7" w:rsidP="00BB39A7">
      <w:pPr>
        <w:spacing w:after="120"/>
        <w:ind w:left="2268" w:right="1134"/>
        <w:jc w:val="both"/>
        <w:rPr>
          <w:i/>
        </w:rPr>
      </w:pPr>
      <w:r w:rsidRPr="00C6325B">
        <w:rPr>
          <w:i/>
        </w:rPr>
        <w:t xml:space="preserve">When water is used as a protective agent according to (a) or (c) and </w:t>
      </w:r>
      <w:proofErr w:type="gramStart"/>
      <w:r w:rsidRPr="00C6325B">
        <w:rPr>
          <w:i/>
        </w:rPr>
        <w:t>low  ambient</w:t>
      </w:r>
      <w:proofErr w:type="gramEnd"/>
      <w:r w:rsidRPr="00C6325B">
        <w:rPr>
          <w:i/>
        </w:rPr>
        <w:t xml:space="preserve"> temperatures are to be expected during the journey, sufficient anti-freeze agent shall be added to prevent freezing of the water. The anti-freeze agent shall be free from corrosive action and not liable to react with the substance.</w:t>
      </w:r>
    </w:p>
    <w:p w:rsidR="00BB39A7" w:rsidRPr="00C6325B" w:rsidRDefault="00BB39A7" w:rsidP="00BB39A7">
      <w:pPr>
        <w:spacing w:after="120"/>
        <w:ind w:left="2268" w:right="1134"/>
        <w:jc w:val="both"/>
        <w:rPr>
          <w:b/>
          <w:i/>
          <w:sz w:val="24"/>
          <w:szCs w:val="24"/>
          <w:lang w:val="en-US"/>
        </w:rPr>
      </w:pPr>
      <w:r w:rsidRPr="00C6325B">
        <w:rPr>
          <w:i/>
        </w:rPr>
        <w:t xml:space="preserve">When nitrogen is used as a protective agent according to (b) or (c), the remaining space shall be filled with nitrogen in such a way that, even after cooling, the pressure at no time falls below atmospheric pressure. The tank shall be closed in such a way that no leakage of gas occurs.  </w:t>
      </w:r>
      <w:r w:rsidRPr="00C6325B">
        <w:rPr>
          <w:b/>
          <w:i/>
          <w:sz w:val="24"/>
          <w:szCs w:val="24"/>
          <w:lang w:val="en-US"/>
        </w:rPr>
        <w:t xml:space="preserve"> </w:t>
      </w:r>
    </w:p>
    <w:p w:rsidR="00BB39A7" w:rsidRPr="00BB39A7" w:rsidRDefault="00BB39A7" w:rsidP="00BB39A7">
      <w:pPr>
        <w:ind w:left="1134" w:right="1133"/>
        <w:jc w:val="both"/>
        <w:rPr>
          <w:b/>
          <w:lang w:val="en-US"/>
        </w:rPr>
      </w:pPr>
      <w:r w:rsidRPr="00BB39A7">
        <w:rPr>
          <w:b/>
          <w:lang w:val="en-US"/>
        </w:rPr>
        <w:t xml:space="preserve">Proposal </w:t>
      </w:r>
      <w:r>
        <w:rPr>
          <w:b/>
          <w:lang w:val="en-US"/>
        </w:rPr>
        <w:t>4</w:t>
      </w:r>
    </w:p>
    <w:p w:rsidR="00BB39A7" w:rsidRPr="00296BB9" w:rsidRDefault="00296BB9" w:rsidP="00BB39A7">
      <w:pPr>
        <w:ind w:left="1134" w:right="1133"/>
        <w:jc w:val="both"/>
        <w:rPr>
          <w:bCs/>
          <w:lang w:val="en-US"/>
        </w:rPr>
      </w:pPr>
      <w:r>
        <w:rPr>
          <w:bCs/>
          <w:lang w:val="en-US"/>
        </w:rPr>
        <w:t>Modify TU 16 to read as follows:</w:t>
      </w:r>
    </w:p>
    <w:p w:rsidR="00296BB9" w:rsidRDefault="00296BB9" w:rsidP="00BB39A7">
      <w:pPr>
        <w:ind w:left="1134" w:right="1133"/>
        <w:jc w:val="both"/>
        <w:rPr>
          <w:b/>
          <w:sz w:val="24"/>
          <w:szCs w:val="24"/>
          <w:lang w:val="en-US"/>
        </w:rPr>
      </w:pPr>
    </w:p>
    <w:p w:rsidR="00BB39A7" w:rsidRPr="00C6325B" w:rsidRDefault="00BB39A7" w:rsidP="00BB39A7">
      <w:pPr>
        <w:tabs>
          <w:tab w:val="left" w:pos="5498"/>
        </w:tabs>
        <w:suppressAutoHyphens w:val="0"/>
        <w:spacing w:after="200" w:line="276" w:lineRule="auto"/>
        <w:ind w:left="1843" w:hanging="709"/>
        <w:rPr>
          <w:i/>
          <w:lang w:eastAsia="zh-CN"/>
        </w:rPr>
      </w:pPr>
      <w:r w:rsidRPr="00296BB9">
        <w:rPr>
          <w:b/>
          <w:bCs/>
          <w:i/>
          <w:lang w:eastAsia="zh-CN"/>
        </w:rPr>
        <w:t>TU16</w:t>
      </w:r>
      <w:r w:rsidRPr="00C6325B">
        <w:rPr>
          <w:i/>
          <w:lang w:eastAsia="zh-CN"/>
        </w:rPr>
        <w:tab/>
        <w:t>Uncleaned empty tanks, shall, when handed over for carriage, either:</w:t>
      </w:r>
    </w:p>
    <w:p w:rsidR="00BB39A7" w:rsidRPr="00C6325B" w:rsidRDefault="00BB39A7" w:rsidP="00296BB9">
      <w:pPr>
        <w:tabs>
          <w:tab w:val="left" w:pos="2250"/>
          <w:tab w:val="left" w:pos="5498"/>
        </w:tabs>
        <w:suppressAutoHyphens w:val="0"/>
        <w:spacing w:after="200" w:line="276" w:lineRule="auto"/>
        <w:ind w:left="1843" w:hanging="709"/>
        <w:rPr>
          <w:i/>
          <w:lang w:eastAsia="zh-CN"/>
        </w:rPr>
      </w:pPr>
      <w:r w:rsidRPr="00C6325B">
        <w:rPr>
          <w:i/>
          <w:lang w:eastAsia="zh-CN"/>
        </w:rPr>
        <w:tab/>
        <w:t>-</w:t>
      </w:r>
      <w:r w:rsidRPr="00C6325B">
        <w:rPr>
          <w:i/>
          <w:lang w:eastAsia="zh-CN"/>
        </w:rPr>
        <w:tab/>
        <w:t>be filled with nitrogen (with or without water); or</w:t>
      </w:r>
    </w:p>
    <w:p w:rsidR="00BB39A7" w:rsidRPr="00C6325B" w:rsidRDefault="00BB39A7" w:rsidP="00BB39A7">
      <w:pPr>
        <w:tabs>
          <w:tab w:val="left" w:pos="2268"/>
          <w:tab w:val="left" w:pos="2552"/>
          <w:tab w:val="left" w:pos="5498"/>
        </w:tabs>
        <w:suppressAutoHyphens w:val="0"/>
        <w:spacing w:after="200" w:line="276" w:lineRule="auto"/>
        <w:ind w:left="1843" w:hanging="709"/>
        <w:rPr>
          <w:i/>
          <w:lang w:eastAsia="zh-CN"/>
        </w:rPr>
      </w:pPr>
      <w:r w:rsidRPr="00C6325B">
        <w:rPr>
          <w:i/>
          <w:lang w:eastAsia="zh-CN"/>
        </w:rPr>
        <w:tab/>
      </w:r>
      <w:r w:rsidRPr="00C6325B">
        <w:rPr>
          <w:i/>
          <w:lang w:eastAsia="zh-CN"/>
        </w:rPr>
        <w:noBreakHyphen/>
      </w:r>
      <w:r w:rsidRPr="00C6325B">
        <w:rPr>
          <w:i/>
          <w:lang w:eastAsia="zh-CN"/>
        </w:rPr>
        <w:tab/>
        <w:t xml:space="preserve">be filled with water to not less than 96% and not more than 98% of their capacity; when low  ambient temperatures are to be expected during the journey, sufficient </w:t>
      </w:r>
      <w:r w:rsidRPr="00C6325B">
        <w:rPr>
          <w:i/>
        </w:rPr>
        <w:t xml:space="preserve">anti-freeze </w:t>
      </w:r>
      <w:r w:rsidRPr="00C6325B">
        <w:rPr>
          <w:i/>
          <w:lang w:eastAsia="zh-CN"/>
        </w:rPr>
        <w:t xml:space="preserve"> agent shall be added to prevent freezing of the </w:t>
      </w:r>
      <w:r>
        <w:rPr>
          <w:i/>
          <w:lang w:eastAsia="zh-CN"/>
        </w:rPr>
        <w:t>water. T</w:t>
      </w:r>
      <w:r w:rsidRPr="00C6325B">
        <w:rPr>
          <w:i/>
          <w:lang w:eastAsia="zh-CN"/>
        </w:rPr>
        <w:t>he anti</w:t>
      </w:r>
      <w:r w:rsidRPr="00C6325B">
        <w:rPr>
          <w:i/>
          <w:lang w:eastAsia="zh-CN"/>
        </w:rPr>
        <w:noBreakHyphen/>
        <w:t>freeze agent shall be free from corrosive action and not liable to react with the substance.</w:t>
      </w:r>
    </w:p>
    <w:p w:rsidR="0060098F" w:rsidRDefault="00BB39A7" w:rsidP="0060098F">
      <w:pPr>
        <w:pStyle w:val="H1G"/>
        <w:jc w:val="both"/>
        <w:rPr>
          <w:lang w:val="es-ES"/>
        </w:rPr>
      </w:pPr>
      <w:r>
        <w:rPr>
          <w:lang w:val="nl-NL"/>
        </w:rPr>
        <w:tab/>
      </w:r>
      <w:r>
        <w:rPr>
          <w:lang w:val="nl-NL"/>
        </w:rPr>
        <w:tab/>
      </w:r>
      <w:r w:rsidR="0060098F" w:rsidRPr="00866018">
        <w:t xml:space="preserve">Item </w:t>
      </w:r>
      <w:r w:rsidRPr="00BB39A7">
        <w:rPr>
          <w:lang w:val="en-GB"/>
        </w:rPr>
        <w:t>6</w:t>
      </w:r>
      <w:r w:rsidR="0060098F" w:rsidRPr="00866018">
        <w:t>: ECE/TRANS/WP.15/AC.1/2</w:t>
      </w:r>
      <w:r w:rsidR="0060098F">
        <w:t>01</w:t>
      </w:r>
      <w:r w:rsidR="0060098F" w:rsidRPr="004D729D">
        <w:rPr>
          <w:lang w:val="en-US"/>
        </w:rPr>
        <w:t>5</w:t>
      </w:r>
      <w:r w:rsidR="0060098F">
        <w:t>/</w:t>
      </w:r>
      <w:r w:rsidR="0060098F" w:rsidRPr="0060098F">
        <w:rPr>
          <w:lang w:val="en-GB"/>
        </w:rPr>
        <w:t>3</w:t>
      </w:r>
      <w:r>
        <w:rPr>
          <w:lang w:val="en-GB"/>
        </w:rPr>
        <w:t>9</w:t>
      </w:r>
      <w:r w:rsidR="0060098F">
        <w:t xml:space="preserve"> (</w:t>
      </w:r>
      <w:r w:rsidR="0060098F" w:rsidRPr="0060098F">
        <w:rPr>
          <w:lang w:val="en-GB"/>
        </w:rPr>
        <w:t>Norway</w:t>
      </w:r>
      <w:r w:rsidR="0060098F">
        <w:t>)</w:t>
      </w:r>
      <w:r w:rsidR="0060098F" w:rsidRPr="00866018">
        <w:t xml:space="preserve"> – </w:t>
      </w:r>
      <w:r w:rsidR="0060098F" w:rsidRPr="00C16C7A">
        <w:t xml:space="preserve">Carriage of </w:t>
      </w:r>
      <w:r w:rsidR="0060098F">
        <w:t xml:space="preserve">dangerous goods in MEGCs loaded on a vehicle equipped with a </w:t>
      </w:r>
      <w:r w:rsidR="00566008" w:rsidRPr="001C2695">
        <w:t>hydraulic</w:t>
      </w:r>
      <w:r w:rsidR="0060098F" w:rsidRPr="001C2695">
        <w:t xml:space="preserve"> hook</w:t>
      </w:r>
      <w:r w:rsidR="0060098F">
        <w:t xml:space="preserve"> </w:t>
      </w:r>
      <w:r w:rsidR="0060098F" w:rsidRPr="001C2695">
        <w:t>lift hoist</w:t>
      </w:r>
      <w:r w:rsidR="005E44C1">
        <w:rPr>
          <w:lang w:val="es-ES"/>
        </w:rPr>
        <w:t>.</w:t>
      </w:r>
    </w:p>
    <w:p w:rsidR="00525E5A" w:rsidRDefault="00525E5A" w:rsidP="004D23C6">
      <w:pPr>
        <w:ind w:left="1134"/>
        <w:rPr>
          <w:lang w:val="en-US"/>
        </w:rPr>
      </w:pPr>
    </w:p>
    <w:p w:rsidR="005E44C1" w:rsidRPr="004D23C6" w:rsidRDefault="00296BB9" w:rsidP="00296BB9">
      <w:pPr>
        <w:ind w:left="1134"/>
        <w:rPr>
          <w:lang w:val="en-US"/>
        </w:rPr>
      </w:pPr>
      <w:r>
        <w:rPr>
          <w:lang w:val="en-US"/>
        </w:rPr>
        <w:t>15.</w:t>
      </w:r>
      <w:r>
        <w:rPr>
          <w:lang w:val="en-US"/>
        </w:rPr>
        <w:tab/>
      </w:r>
      <w:r w:rsidR="005E44C1" w:rsidRPr="004D23C6">
        <w:rPr>
          <w:lang w:val="en-US"/>
        </w:rPr>
        <w:t>In the example of Norway the MEGC</w:t>
      </w:r>
      <w:r>
        <w:rPr>
          <w:lang w:val="en-US"/>
        </w:rPr>
        <w:t>s</w:t>
      </w:r>
      <w:r w:rsidR="005E44C1" w:rsidRPr="004D23C6">
        <w:rPr>
          <w:lang w:val="en-US"/>
        </w:rPr>
        <w:t xml:space="preserve"> </w:t>
      </w:r>
      <w:r>
        <w:rPr>
          <w:lang w:val="en-US"/>
        </w:rPr>
        <w:t xml:space="preserve">were </w:t>
      </w:r>
      <w:r w:rsidR="005E44C1" w:rsidRPr="004D23C6">
        <w:rPr>
          <w:lang w:val="en-US"/>
        </w:rPr>
        <w:t>secured to the vehicle by the hook arm lift on the motor</w:t>
      </w:r>
      <w:r w:rsidR="004D23C6">
        <w:rPr>
          <w:lang w:val="en-US"/>
        </w:rPr>
        <w:t xml:space="preserve"> </w:t>
      </w:r>
      <w:r w:rsidR="005E44C1" w:rsidRPr="004D23C6">
        <w:rPr>
          <w:lang w:val="en-US"/>
        </w:rPr>
        <w:t>vehicle</w:t>
      </w:r>
      <w:r w:rsidR="004D23C6" w:rsidRPr="004D23C6">
        <w:rPr>
          <w:lang w:val="en-US"/>
        </w:rPr>
        <w:t>.</w:t>
      </w:r>
      <w:r w:rsidR="005E44C1" w:rsidRPr="004D23C6">
        <w:rPr>
          <w:lang w:val="en-US"/>
        </w:rPr>
        <w:t xml:space="preserve"> </w:t>
      </w:r>
      <w:r w:rsidR="004D23C6">
        <w:rPr>
          <w:lang w:val="en-US"/>
        </w:rPr>
        <w:t xml:space="preserve">There have been several accidents in Norway using this type of hook lift system for </w:t>
      </w:r>
      <w:r w:rsidR="005E44C1" w:rsidRPr="004D23C6">
        <w:rPr>
          <w:lang w:val="en-US"/>
        </w:rPr>
        <w:t>non</w:t>
      </w:r>
      <w:r w:rsidR="004D23C6">
        <w:rPr>
          <w:lang w:val="en-US"/>
        </w:rPr>
        <w:t>-</w:t>
      </w:r>
      <w:r w:rsidR="005E44C1" w:rsidRPr="004D23C6">
        <w:rPr>
          <w:lang w:val="en-US"/>
        </w:rPr>
        <w:t xml:space="preserve"> dangerous</w:t>
      </w:r>
      <w:r w:rsidR="004D23C6">
        <w:rPr>
          <w:lang w:val="en-US"/>
        </w:rPr>
        <w:t xml:space="preserve"> goods</w:t>
      </w:r>
      <w:r w:rsidR="005E44C1" w:rsidRPr="004D23C6">
        <w:rPr>
          <w:lang w:val="en-US"/>
        </w:rPr>
        <w:t xml:space="preserve">. </w:t>
      </w:r>
    </w:p>
    <w:p w:rsidR="005E44C1" w:rsidRPr="004D23C6" w:rsidRDefault="005E44C1" w:rsidP="00AA2178">
      <w:pPr>
        <w:ind w:left="1134"/>
        <w:rPr>
          <w:lang w:val="en-US"/>
        </w:rPr>
      </w:pPr>
    </w:p>
    <w:p w:rsidR="009E6A33" w:rsidRPr="00296BB9" w:rsidRDefault="00296BB9" w:rsidP="00AA2178">
      <w:pPr>
        <w:ind w:left="1134"/>
        <w:rPr>
          <w:lang w:val="en-US"/>
        </w:rPr>
      </w:pPr>
      <w:r w:rsidRPr="00296BB9">
        <w:rPr>
          <w:lang w:val="en-US"/>
        </w:rPr>
        <w:t>16.</w:t>
      </w:r>
      <w:r w:rsidRPr="00296BB9">
        <w:rPr>
          <w:lang w:val="en-US"/>
        </w:rPr>
        <w:tab/>
      </w:r>
      <w:r w:rsidR="009E6A33" w:rsidRPr="00296BB9">
        <w:rPr>
          <w:lang w:val="en-US"/>
        </w:rPr>
        <w:t xml:space="preserve">Norway posed two </w:t>
      </w:r>
      <w:r w:rsidR="005E44C1" w:rsidRPr="00296BB9">
        <w:rPr>
          <w:lang w:val="en-US"/>
        </w:rPr>
        <w:t xml:space="preserve">questions </w:t>
      </w:r>
      <w:r w:rsidR="009E6A33" w:rsidRPr="00296BB9">
        <w:rPr>
          <w:lang w:val="en-US"/>
        </w:rPr>
        <w:t>in her document;</w:t>
      </w:r>
    </w:p>
    <w:p w:rsidR="009E6A33" w:rsidRPr="00DE2D48" w:rsidRDefault="009E6A33" w:rsidP="00AA2178">
      <w:pPr>
        <w:pStyle w:val="Bullet1G"/>
        <w:tabs>
          <w:tab w:val="num" w:pos="1418"/>
        </w:tabs>
        <w:ind w:left="1134" w:firstLine="0"/>
      </w:pPr>
      <w:r w:rsidRPr="00DE2D48">
        <w:t>Loading a MEGC on to a vehicle, does only the cargo securing in 7.5.7.1 apply, or does the fastening requirements in ADR 9.7.3 apply?</w:t>
      </w:r>
    </w:p>
    <w:p w:rsidR="009E6A33" w:rsidRDefault="009E6A33" w:rsidP="00AA2178">
      <w:pPr>
        <w:pStyle w:val="Bullet1G"/>
        <w:tabs>
          <w:tab w:val="num" w:pos="1418"/>
        </w:tabs>
        <w:ind w:left="1134" w:firstLine="0"/>
      </w:pPr>
      <w:r>
        <w:t xml:space="preserve"> </w:t>
      </w:r>
      <w:proofErr w:type="gramStart"/>
      <w:r w:rsidRPr="00DE2D48">
        <w:t>Does</w:t>
      </w:r>
      <w:proofErr w:type="gramEnd"/>
      <w:r w:rsidRPr="00DE2D48">
        <w:t xml:space="preserve"> the MEGCs (multi-element gas containers) have to meet the definition of a container?</w:t>
      </w:r>
      <w:r w:rsidR="005E44C1">
        <w:br/>
        <w:t xml:space="preserve"> </w:t>
      </w:r>
    </w:p>
    <w:p w:rsidR="00525E5A" w:rsidRDefault="00296BB9" w:rsidP="00525E5A">
      <w:pPr>
        <w:pStyle w:val="Bullet1G"/>
        <w:numPr>
          <w:ilvl w:val="0"/>
          <w:numId w:val="0"/>
        </w:numPr>
        <w:ind w:left="1000"/>
        <w:rPr>
          <w:lang w:val="en-US"/>
        </w:rPr>
      </w:pPr>
      <w:r>
        <w:rPr>
          <w:lang w:val="en-US"/>
        </w:rPr>
        <w:lastRenderedPageBreak/>
        <w:t>17.</w:t>
      </w:r>
      <w:r>
        <w:rPr>
          <w:lang w:val="en-US"/>
        </w:rPr>
        <w:tab/>
      </w:r>
      <w:r w:rsidR="00525E5A">
        <w:rPr>
          <w:lang w:val="en-US"/>
        </w:rPr>
        <w:t>Norway questioned why there are no fastening requirements in chapter 6.8 for MEGC</w:t>
      </w:r>
      <w:r>
        <w:rPr>
          <w:lang w:val="en-US"/>
        </w:rPr>
        <w:t>s</w:t>
      </w:r>
      <w:r w:rsidR="00525E5A">
        <w:rPr>
          <w:lang w:val="en-US"/>
        </w:rPr>
        <w:t xml:space="preserve"> when there are fastening requirements for UN MEGC</w:t>
      </w:r>
      <w:r>
        <w:rPr>
          <w:lang w:val="en-US"/>
        </w:rPr>
        <w:t>s</w:t>
      </w:r>
      <w:r w:rsidR="00525E5A">
        <w:rPr>
          <w:lang w:val="en-US"/>
        </w:rPr>
        <w:t xml:space="preserve"> in chapter 6.7, and fastening requirements for tank-containers in 6.8.2.1. </w:t>
      </w:r>
    </w:p>
    <w:p w:rsidR="00525E5A" w:rsidRDefault="00924B28" w:rsidP="00924B28">
      <w:pPr>
        <w:pStyle w:val="Bullet1G"/>
        <w:numPr>
          <w:ilvl w:val="0"/>
          <w:numId w:val="0"/>
        </w:numPr>
        <w:ind w:left="990"/>
        <w:rPr>
          <w:lang w:val="en-US"/>
        </w:rPr>
      </w:pPr>
      <w:r>
        <w:rPr>
          <w:lang w:val="en-US"/>
        </w:rPr>
        <w:t>18.</w:t>
      </w:r>
      <w:r>
        <w:rPr>
          <w:lang w:val="en-US"/>
        </w:rPr>
        <w:tab/>
      </w:r>
      <w:r w:rsidR="00525E5A">
        <w:rPr>
          <w:lang w:val="en-US"/>
        </w:rPr>
        <w:t xml:space="preserve">This issue can be divided </w:t>
      </w:r>
      <w:r>
        <w:rPr>
          <w:lang w:val="en-US"/>
        </w:rPr>
        <w:t>as follows</w:t>
      </w:r>
      <w:r w:rsidR="00525E5A">
        <w:rPr>
          <w:lang w:val="en-US"/>
        </w:rPr>
        <w:t xml:space="preserve">: </w:t>
      </w:r>
      <w:r>
        <w:rPr>
          <w:lang w:val="en-US"/>
        </w:rPr>
        <w:t xml:space="preserve">requirements for </w:t>
      </w:r>
      <w:r w:rsidR="00525E5A">
        <w:rPr>
          <w:lang w:val="en-US"/>
        </w:rPr>
        <w:t xml:space="preserve">fastenings of the elements within the MEGC (6.8.3.1.5), </w:t>
      </w:r>
      <w:r>
        <w:rPr>
          <w:lang w:val="en-US"/>
        </w:rPr>
        <w:t xml:space="preserve">requirements for </w:t>
      </w:r>
      <w:r w:rsidR="00525E5A">
        <w:rPr>
          <w:lang w:val="en-US"/>
        </w:rPr>
        <w:t xml:space="preserve">fastenings </w:t>
      </w:r>
      <w:r>
        <w:rPr>
          <w:lang w:val="en-US"/>
        </w:rPr>
        <w:t xml:space="preserve">for </w:t>
      </w:r>
      <w:r w:rsidR="00525E5A">
        <w:rPr>
          <w:lang w:val="en-US"/>
        </w:rPr>
        <w:t>the MEGCs</w:t>
      </w:r>
      <w:r>
        <w:rPr>
          <w:lang w:val="en-US"/>
        </w:rPr>
        <w:t xml:space="preserve"> (6.8)</w:t>
      </w:r>
      <w:r w:rsidR="00525E5A">
        <w:rPr>
          <w:lang w:val="en-US"/>
        </w:rPr>
        <w:t xml:space="preserve">, </w:t>
      </w:r>
      <w:r>
        <w:rPr>
          <w:lang w:val="en-US"/>
        </w:rPr>
        <w:t xml:space="preserve">requirements for fastenings on the vehicle (9.7.3) </w:t>
      </w:r>
      <w:r w:rsidR="00525E5A">
        <w:rPr>
          <w:lang w:val="en-US"/>
        </w:rPr>
        <w:t xml:space="preserve">and fixing the MEGCs </w:t>
      </w:r>
      <w:r>
        <w:rPr>
          <w:lang w:val="en-US"/>
        </w:rPr>
        <w:t xml:space="preserve">to </w:t>
      </w:r>
      <w:r w:rsidR="00525E5A">
        <w:rPr>
          <w:lang w:val="en-US"/>
        </w:rPr>
        <w:t xml:space="preserve">the vehicles (7.5.7.4). Some delegates proposed to amend 6.8.3.1.5 to also cover the MEGCs and their fastenings. </w:t>
      </w:r>
      <w:r w:rsidR="00B60F57">
        <w:rPr>
          <w:lang w:val="en-US"/>
        </w:rPr>
        <w:br/>
      </w:r>
      <w:proofErr w:type="gramStart"/>
      <w:r w:rsidR="00B60F57">
        <w:rPr>
          <w:lang w:val="en-US"/>
        </w:rPr>
        <w:t>Others that an amendment should be made to 6.8.2.1.2.</w:t>
      </w:r>
      <w:proofErr w:type="gramEnd"/>
    </w:p>
    <w:p w:rsidR="00525E5A" w:rsidRDefault="00B60F57" w:rsidP="00525E5A">
      <w:pPr>
        <w:pStyle w:val="Bullet1G"/>
        <w:numPr>
          <w:ilvl w:val="0"/>
          <w:numId w:val="0"/>
        </w:numPr>
        <w:ind w:left="990"/>
        <w:rPr>
          <w:lang w:val="en-US"/>
        </w:rPr>
      </w:pPr>
      <w:r>
        <w:rPr>
          <w:lang w:val="en-US"/>
        </w:rPr>
        <w:t>19.</w:t>
      </w:r>
      <w:r>
        <w:rPr>
          <w:lang w:val="en-US"/>
        </w:rPr>
        <w:tab/>
      </w:r>
      <w:r w:rsidR="00525E5A">
        <w:rPr>
          <w:lang w:val="en-US"/>
        </w:rPr>
        <w:t xml:space="preserve">Delegates had different interpretations of paragraph 9.7.3. Some felt that the first part is relevant for all 6.8 constructions, while the rest of the paragraph is relevant for tank-vehicles, battery-vehicles and vehicles carrying demountable tanks. Other delegations had interpreted only 6.8.2.1.16 to be relevant for tank-vehicles, battery-vehicles and vehicles carrying demountable </w:t>
      </w:r>
      <w:proofErr w:type="gramStart"/>
      <w:r w:rsidR="00525E5A">
        <w:rPr>
          <w:lang w:val="en-US"/>
        </w:rPr>
        <w:t>tanks .</w:t>
      </w:r>
      <w:proofErr w:type="gramEnd"/>
    </w:p>
    <w:p w:rsidR="00525E5A" w:rsidRDefault="00B60F57" w:rsidP="00B60F57">
      <w:pPr>
        <w:pStyle w:val="Bullet1G"/>
        <w:numPr>
          <w:ilvl w:val="0"/>
          <w:numId w:val="0"/>
        </w:numPr>
        <w:ind w:left="990"/>
        <w:rPr>
          <w:lang w:val="en-US"/>
        </w:rPr>
      </w:pPr>
      <w:r>
        <w:rPr>
          <w:lang w:val="en-US"/>
        </w:rPr>
        <w:t>20.</w:t>
      </w:r>
      <w:r>
        <w:rPr>
          <w:lang w:val="en-US"/>
        </w:rPr>
        <w:tab/>
      </w:r>
      <w:r w:rsidR="003D0AE6">
        <w:rPr>
          <w:lang w:val="en-US"/>
        </w:rPr>
        <w:t xml:space="preserve">The </w:t>
      </w:r>
      <w:r w:rsidR="00525E5A">
        <w:rPr>
          <w:lang w:val="en-US"/>
        </w:rPr>
        <w:t>UK had detecte</w:t>
      </w:r>
      <w:r w:rsidR="003D0AE6">
        <w:rPr>
          <w:lang w:val="en-US"/>
        </w:rPr>
        <w:t xml:space="preserve">d a mistake in the English text </w:t>
      </w:r>
      <w:r w:rsidR="00525E5A">
        <w:rPr>
          <w:lang w:val="en-US"/>
        </w:rPr>
        <w:t xml:space="preserve">and with these corrections, </w:t>
      </w:r>
      <w:r w:rsidR="003D0AE6">
        <w:rPr>
          <w:lang w:val="en-US"/>
        </w:rPr>
        <w:t xml:space="preserve">it helped interpretation. </w:t>
      </w:r>
      <w:r>
        <w:rPr>
          <w:lang w:val="en-US"/>
        </w:rPr>
        <w:t xml:space="preserve">However </w:t>
      </w:r>
      <w:r w:rsidR="003D0AE6">
        <w:rPr>
          <w:lang w:val="en-US"/>
        </w:rPr>
        <w:t>Norway w</w:t>
      </w:r>
      <w:r>
        <w:rPr>
          <w:lang w:val="en-US"/>
        </w:rPr>
        <w:t xml:space="preserve">ould consider whether </w:t>
      </w:r>
      <w:r w:rsidR="003D0AE6">
        <w:rPr>
          <w:lang w:val="en-US"/>
        </w:rPr>
        <w:t xml:space="preserve">the text could be further improved. </w:t>
      </w:r>
    </w:p>
    <w:p w:rsidR="002D7445" w:rsidRDefault="00B60F57" w:rsidP="002D7445">
      <w:pPr>
        <w:pStyle w:val="Bullet1G"/>
        <w:numPr>
          <w:ilvl w:val="0"/>
          <w:numId w:val="0"/>
        </w:numPr>
        <w:ind w:left="990"/>
        <w:rPr>
          <w:lang w:val="en-US"/>
        </w:rPr>
      </w:pPr>
      <w:r>
        <w:rPr>
          <w:lang w:val="en-US"/>
        </w:rPr>
        <w:t>21.</w:t>
      </w:r>
      <w:r>
        <w:rPr>
          <w:lang w:val="en-US"/>
        </w:rPr>
        <w:tab/>
      </w:r>
      <w:r w:rsidR="00525E5A">
        <w:rPr>
          <w:lang w:val="en-US"/>
        </w:rPr>
        <w:t xml:space="preserve">The working group agreed that a MEGC is not a </w:t>
      </w:r>
      <w:r w:rsidR="002D7445">
        <w:rPr>
          <w:lang w:val="en-US"/>
        </w:rPr>
        <w:t>“</w:t>
      </w:r>
      <w:r w:rsidR="00525E5A">
        <w:rPr>
          <w:lang w:val="en-US"/>
        </w:rPr>
        <w:t>container</w:t>
      </w:r>
      <w:r w:rsidR="002D7445">
        <w:rPr>
          <w:lang w:val="en-US"/>
        </w:rPr>
        <w:t>” as defined in 1.2.1.</w:t>
      </w:r>
      <w:r w:rsidR="00525E5A">
        <w:rPr>
          <w:lang w:val="en-US"/>
        </w:rPr>
        <w:t xml:space="preserve"> </w:t>
      </w:r>
    </w:p>
    <w:p w:rsidR="00525E5A" w:rsidRPr="0084766B" w:rsidRDefault="00B60F57" w:rsidP="002D7445">
      <w:pPr>
        <w:pStyle w:val="Bullet1G"/>
        <w:numPr>
          <w:ilvl w:val="0"/>
          <w:numId w:val="0"/>
        </w:numPr>
        <w:ind w:left="990"/>
        <w:rPr>
          <w:lang w:val="en-US"/>
        </w:rPr>
      </w:pPr>
      <w:r>
        <w:rPr>
          <w:lang w:val="en-US"/>
        </w:rPr>
        <w:t>22.</w:t>
      </w:r>
      <w:r>
        <w:rPr>
          <w:lang w:val="en-US"/>
        </w:rPr>
        <w:tab/>
      </w:r>
      <w:r w:rsidR="00525E5A">
        <w:rPr>
          <w:lang w:val="en-US"/>
        </w:rPr>
        <w:t xml:space="preserve">Norway </w:t>
      </w:r>
      <w:r w:rsidR="002D7445">
        <w:rPr>
          <w:lang w:val="en-US"/>
        </w:rPr>
        <w:t>volunteered with assistance from EIGA</w:t>
      </w:r>
      <w:r w:rsidR="00525E5A">
        <w:rPr>
          <w:lang w:val="en-US"/>
        </w:rPr>
        <w:t xml:space="preserve"> </w:t>
      </w:r>
      <w:r w:rsidR="002D7445">
        <w:rPr>
          <w:lang w:val="en-US"/>
        </w:rPr>
        <w:t xml:space="preserve">to </w:t>
      </w:r>
      <w:r w:rsidR="00525E5A">
        <w:rPr>
          <w:lang w:val="en-US"/>
        </w:rPr>
        <w:t xml:space="preserve">come back with a proposal to </w:t>
      </w:r>
      <w:r w:rsidR="002D7445">
        <w:rPr>
          <w:lang w:val="en-US"/>
        </w:rPr>
        <w:t>address these issues.</w:t>
      </w:r>
    </w:p>
    <w:p w:rsidR="009E6A33" w:rsidRDefault="009E6A33" w:rsidP="00AA2178">
      <w:pPr>
        <w:pStyle w:val="Heading3"/>
        <w:ind w:left="1134"/>
      </w:pPr>
    </w:p>
    <w:p w:rsidR="005F50DA" w:rsidRDefault="005F50DA" w:rsidP="00AA2178">
      <w:pPr>
        <w:pStyle w:val="Heading3"/>
        <w:ind w:left="1134"/>
        <w:rPr>
          <w:b/>
        </w:rPr>
      </w:pPr>
      <w:r w:rsidRPr="005F50DA">
        <w:rPr>
          <w:b/>
        </w:rPr>
        <w:t xml:space="preserve">Proposal </w:t>
      </w:r>
      <w:r w:rsidR="00BB39A7">
        <w:rPr>
          <w:b/>
        </w:rPr>
        <w:t>5</w:t>
      </w:r>
    </w:p>
    <w:p w:rsidR="00BB39A7" w:rsidRPr="00BB39A7" w:rsidRDefault="00BB39A7" w:rsidP="0095614F">
      <w:r>
        <w:tab/>
      </w:r>
      <w:r>
        <w:tab/>
        <w:t xml:space="preserve">Correct the </w:t>
      </w:r>
      <w:r w:rsidR="0095614F">
        <w:t xml:space="preserve">paragraphs referred to in </w:t>
      </w:r>
      <w:r>
        <w:t>9.7.3 to read (English version only)</w:t>
      </w:r>
    </w:p>
    <w:p w:rsidR="005F50DA" w:rsidRDefault="009E6A33" w:rsidP="00AA2178">
      <w:pPr>
        <w:pStyle w:val="Heading3"/>
        <w:ind w:left="1134"/>
        <w:rPr>
          <w:i/>
        </w:rPr>
      </w:pPr>
      <w:r w:rsidRPr="009E6A33">
        <w:rPr>
          <w:i/>
        </w:rPr>
        <w:t xml:space="preserve"> </w:t>
      </w:r>
    </w:p>
    <w:p w:rsidR="009E6A33" w:rsidRPr="009E6A33" w:rsidRDefault="009E6A33" w:rsidP="00AA2178">
      <w:pPr>
        <w:pStyle w:val="Heading3"/>
        <w:ind w:left="1134"/>
        <w:rPr>
          <w:b/>
          <w:i/>
        </w:rPr>
      </w:pPr>
      <w:r w:rsidRPr="009E6A33">
        <w:rPr>
          <w:b/>
          <w:i/>
        </w:rPr>
        <w:t>9.7.3</w:t>
      </w:r>
      <w:r w:rsidRPr="009E6A33">
        <w:rPr>
          <w:b/>
          <w:i/>
        </w:rPr>
        <w:tab/>
        <w:t>Fastenings</w:t>
      </w:r>
    </w:p>
    <w:p w:rsidR="009E6A33" w:rsidRPr="009E6A33" w:rsidRDefault="009E6A33" w:rsidP="00AA2178">
      <w:pPr>
        <w:tabs>
          <w:tab w:val="left" w:pos="-1227"/>
          <w:tab w:val="left" w:pos="-720"/>
          <w:tab w:val="left" w:pos="2160"/>
          <w:tab w:val="left" w:pos="22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line="240" w:lineRule="auto"/>
        <w:ind w:left="1134" w:hanging="1418"/>
        <w:jc w:val="both"/>
        <w:rPr>
          <w:i/>
        </w:rPr>
      </w:pPr>
      <w:r w:rsidRPr="009E6A33">
        <w:rPr>
          <w:i/>
        </w:rPr>
        <w:tab/>
      </w:r>
    </w:p>
    <w:p w:rsidR="009E6A33" w:rsidRPr="009E6A33" w:rsidRDefault="009E6A33" w:rsidP="004D23C6">
      <w:pPr>
        <w:tabs>
          <w:tab w:val="left" w:pos="-1227"/>
          <w:tab w:val="left" w:pos="-720"/>
          <w:tab w:val="left" w:pos="2160"/>
          <w:tab w:val="left" w:pos="22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line="240" w:lineRule="auto"/>
        <w:ind w:left="1418" w:hanging="1418"/>
        <w:jc w:val="both"/>
        <w:rPr>
          <w:i/>
        </w:rPr>
      </w:pPr>
      <w:r w:rsidRPr="009E6A33">
        <w:rPr>
          <w:i/>
        </w:rPr>
        <w:tab/>
        <w:t xml:space="preserve">Fastenings shall be designed to withstand static and dynamic stresses in normal conditions of carriage, and minimum stresses as defined in 6.8.2.1.2, 6.8.2.1.11 to </w:t>
      </w:r>
      <w:r w:rsidRPr="009E6A33">
        <w:rPr>
          <w:i/>
          <w:strike/>
        </w:rPr>
        <w:t>6.8.2.1.15</w:t>
      </w:r>
      <w:r w:rsidRPr="009E6A33">
        <w:rPr>
          <w:i/>
        </w:rPr>
        <w:t xml:space="preserve"> </w:t>
      </w:r>
      <w:r w:rsidR="00F06E17" w:rsidRPr="00F06E17">
        <w:rPr>
          <w:b/>
          <w:i/>
        </w:rPr>
        <w:t>6.8.2.1.1</w:t>
      </w:r>
      <w:r w:rsidR="004D23C6">
        <w:rPr>
          <w:b/>
          <w:i/>
        </w:rPr>
        <w:t>3</w:t>
      </w:r>
      <w:r w:rsidR="00C22E11">
        <w:rPr>
          <w:b/>
          <w:i/>
        </w:rPr>
        <w:t>, 6.8.2.1.15</w:t>
      </w:r>
      <w:r w:rsidR="00F06E17">
        <w:rPr>
          <w:i/>
        </w:rPr>
        <w:t xml:space="preserve"> </w:t>
      </w:r>
      <w:r w:rsidRPr="009E6A33">
        <w:rPr>
          <w:i/>
        </w:rPr>
        <w:t>and 6.8.2.1.16 in the case of tank-vehicles, battery-vehicles, and vehicles carrying demountable tanks.</w:t>
      </w:r>
    </w:p>
    <w:p w:rsidR="00A84033" w:rsidRPr="00B60F57" w:rsidRDefault="00460958" w:rsidP="00B60F57">
      <w:pPr>
        <w:pStyle w:val="HChG"/>
        <w:ind w:hanging="54"/>
        <w:rPr>
          <w:bCs/>
          <w:sz w:val="24"/>
          <w:szCs w:val="24"/>
        </w:rPr>
      </w:pPr>
      <w:r>
        <w:rPr>
          <w:sz w:val="24"/>
          <w:szCs w:val="24"/>
          <w:lang w:val="nl-NL"/>
        </w:rPr>
        <w:tab/>
      </w:r>
      <w:r w:rsidR="00A84033" w:rsidRPr="00B60F57">
        <w:rPr>
          <w:bCs/>
          <w:sz w:val="24"/>
          <w:szCs w:val="24"/>
        </w:rPr>
        <w:t xml:space="preserve">Item </w:t>
      </w:r>
      <w:r w:rsidR="00BB39A7" w:rsidRPr="00B60F57">
        <w:rPr>
          <w:bCs/>
          <w:sz w:val="24"/>
          <w:szCs w:val="24"/>
        </w:rPr>
        <w:t>7</w:t>
      </w:r>
      <w:r w:rsidR="00A84033" w:rsidRPr="00B60F57">
        <w:rPr>
          <w:bCs/>
          <w:sz w:val="24"/>
          <w:szCs w:val="24"/>
        </w:rPr>
        <w:t>: ECE/TRANS/WP.15/AC.1/201</w:t>
      </w:r>
      <w:r w:rsidR="00A84033" w:rsidRPr="00B60F57">
        <w:rPr>
          <w:bCs/>
          <w:sz w:val="24"/>
          <w:szCs w:val="24"/>
          <w:lang w:val="en-US"/>
        </w:rPr>
        <w:t>5</w:t>
      </w:r>
      <w:r w:rsidR="00A84033" w:rsidRPr="00B60F57">
        <w:rPr>
          <w:bCs/>
          <w:sz w:val="24"/>
          <w:szCs w:val="24"/>
        </w:rPr>
        <w:t xml:space="preserve">/51 (Netherlands) – </w:t>
      </w:r>
      <w:r w:rsidR="008A4001" w:rsidRPr="00B60F57">
        <w:rPr>
          <w:bCs/>
          <w:sz w:val="24"/>
          <w:szCs w:val="24"/>
        </w:rPr>
        <w:t>Shells with protective linings</w:t>
      </w:r>
      <w:r w:rsidR="001005CB" w:rsidRPr="00B60F57">
        <w:rPr>
          <w:bCs/>
          <w:sz w:val="24"/>
          <w:szCs w:val="24"/>
        </w:rPr>
        <w:t xml:space="preserve"> </w:t>
      </w:r>
      <w:r w:rsidR="0003741E" w:rsidRPr="00B60F57">
        <w:rPr>
          <w:bCs/>
          <w:sz w:val="24"/>
          <w:szCs w:val="24"/>
        </w:rPr>
        <w:t>+</w:t>
      </w:r>
      <w:r w:rsidR="001005CB" w:rsidRPr="00B60F57">
        <w:rPr>
          <w:bCs/>
          <w:sz w:val="24"/>
          <w:szCs w:val="24"/>
        </w:rPr>
        <w:t>INF 28 (Belgium)</w:t>
      </w:r>
    </w:p>
    <w:p w:rsidR="008A4001" w:rsidRDefault="008A4001" w:rsidP="00AA2178">
      <w:pPr>
        <w:ind w:left="1134" w:right="1133"/>
        <w:jc w:val="both"/>
        <w:rPr>
          <w:b/>
          <w:sz w:val="24"/>
          <w:szCs w:val="24"/>
        </w:rPr>
      </w:pPr>
    </w:p>
    <w:p w:rsidR="0003741E" w:rsidRDefault="00B60F57" w:rsidP="00BF5708">
      <w:pPr>
        <w:ind w:left="1134" w:right="1133"/>
        <w:jc w:val="both"/>
      </w:pPr>
      <w:r>
        <w:t>23.</w:t>
      </w:r>
      <w:r>
        <w:tab/>
      </w:r>
      <w:r w:rsidR="001005CB">
        <w:t xml:space="preserve">The representative of the Netherlands </w:t>
      </w:r>
      <w:r>
        <w:t xml:space="preserve">was of the view </w:t>
      </w:r>
      <w:r w:rsidR="001005CB">
        <w:t xml:space="preserve">that an incident as </w:t>
      </w:r>
      <w:r>
        <w:t>occurred</w:t>
      </w:r>
      <w:r w:rsidR="001005CB">
        <w:t xml:space="preserve"> in the summer of 2013, when a </w:t>
      </w:r>
      <w:r>
        <w:t xml:space="preserve">tank </w:t>
      </w:r>
      <w:r w:rsidR="001005CB">
        <w:t xml:space="preserve">loaded with hydrochloric acid developed a defect in the lining </w:t>
      </w:r>
      <w:r w:rsidR="00BF5708">
        <w:t xml:space="preserve">which resulted in </w:t>
      </w:r>
      <w:r w:rsidR="001005CB">
        <w:t xml:space="preserve">large areas of the </w:t>
      </w:r>
      <w:r w:rsidR="00BF5708">
        <w:t xml:space="preserve">aluminium alloy </w:t>
      </w:r>
      <w:r w:rsidR="001005CB">
        <w:t xml:space="preserve">shell </w:t>
      </w:r>
      <w:r w:rsidR="00BF5708">
        <w:t xml:space="preserve">dissolving </w:t>
      </w:r>
      <w:r w:rsidR="001005CB">
        <w:t xml:space="preserve">within hours </w:t>
      </w:r>
      <w:r w:rsidR="00BF5708">
        <w:t xml:space="preserve">leading to significant leakage, </w:t>
      </w:r>
      <w:r w:rsidR="001005CB">
        <w:t xml:space="preserve">is not acceptable. The proposal </w:t>
      </w:r>
      <w:r w:rsidR="00BF5708">
        <w:t xml:space="preserve">seeks to </w:t>
      </w:r>
      <w:r w:rsidR="001005CB">
        <w:t>align 4.3.1.5 and 6.8.2.1.9</w:t>
      </w:r>
      <w:r w:rsidR="00B55836">
        <w:t xml:space="preserve"> and in principle the combination of an </w:t>
      </w:r>
      <w:r w:rsidR="00C22E11">
        <w:t>aluminium</w:t>
      </w:r>
      <w:r w:rsidR="00B55836">
        <w:t xml:space="preserve"> alloy shell with lining and hydrochloric acid should not have used based on 4.3.1.5</w:t>
      </w:r>
      <w:r w:rsidR="00BF5708">
        <w:t xml:space="preserve">. </w:t>
      </w:r>
    </w:p>
    <w:p w:rsidR="001005CB" w:rsidRDefault="001005CB" w:rsidP="003039F1">
      <w:pPr>
        <w:ind w:left="1134" w:right="1133"/>
        <w:jc w:val="both"/>
      </w:pPr>
      <w:r>
        <w:br/>
      </w:r>
      <w:r w:rsidR="00BF5708">
        <w:t>24.</w:t>
      </w:r>
      <w:r w:rsidR="00BF5708">
        <w:tab/>
      </w:r>
      <w:r>
        <w:t xml:space="preserve">Belgium </w:t>
      </w:r>
      <w:r w:rsidR="00B55836">
        <w:t xml:space="preserve">said on introduction of INF 28 that there are a significant number of tanks with </w:t>
      </w:r>
      <w:r w:rsidR="00C22E11">
        <w:t>aluminium</w:t>
      </w:r>
      <w:r w:rsidR="00B55836">
        <w:t xml:space="preserve"> alloy shells and lining in circulation</w:t>
      </w:r>
      <w:r w:rsidR="00BF5708">
        <w:t xml:space="preserve">. </w:t>
      </w:r>
      <w:r w:rsidR="003039F1">
        <w:t>T</w:t>
      </w:r>
      <w:r w:rsidR="00B55836">
        <w:t xml:space="preserve">he </w:t>
      </w:r>
      <w:r w:rsidR="00BF5708">
        <w:t xml:space="preserve">defect </w:t>
      </w:r>
      <w:r w:rsidR="00B55836">
        <w:t>of the lining</w:t>
      </w:r>
      <w:r w:rsidR="00BF5708">
        <w:t xml:space="preserve"> which is the root cause </w:t>
      </w:r>
      <w:r w:rsidR="00B55836">
        <w:t>was not addressed</w:t>
      </w:r>
      <w:r w:rsidR="00BF5708">
        <w:t xml:space="preserve"> by the Netherlands</w:t>
      </w:r>
      <w:r w:rsidR="00B55836">
        <w:t xml:space="preserve">. The provisions for </w:t>
      </w:r>
      <w:r w:rsidR="00BF5708">
        <w:t xml:space="preserve">application </w:t>
      </w:r>
      <w:r w:rsidR="00B55836">
        <w:t>and inspection of the lining should be improved in chapter 6.8</w:t>
      </w:r>
      <w:r w:rsidR="00BF5708">
        <w:t xml:space="preserve"> in line with chapter 6.7</w:t>
      </w:r>
      <w:r w:rsidR="00B55836">
        <w:t xml:space="preserve">. </w:t>
      </w:r>
    </w:p>
    <w:p w:rsidR="003039F1" w:rsidRDefault="003039F1" w:rsidP="003039F1">
      <w:pPr>
        <w:ind w:left="1134" w:right="1133"/>
        <w:jc w:val="both"/>
      </w:pPr>
    </w:p>
    <w:p w:rsidR="006014A9" w:rsidRDefault="003039F1" w:rsidP="003039F1">
      <w:pPr>
        <w:ind w:left="1134" w:right="1133"/>
        <w:jc w:val="both"/>
      </w:pPr>
      <w:r>
        <w:t>25.</w:t>
      </w:r>
      <w:r>
        <w:tab/>
      </w:r>
      <w:r w:rsidR="00B55836">
        <w:t xml:space="preserve">Several experts </w:t>
      </w:r>
      <w:r>
        <w:t>felt</w:t>
      </w:r>
      <w:r w:rsidR="00B55836">
        <w:t xml:space="preserve"> that the proposal in 2015</w:t>
      </w:r>
      <w:r>
        <w:t>/</w:t>
      </w:r>
      <w:r w:rsidR="00B55836">
        <w:t xml:space="preserve">51 was limiting the use of steel shells with a lining and therefore it was not acceptable. </w:t>
      </w:r>
      <w:r>
        <w:t>T</w:t>
      </w:r>
      <w:r w:rsidR="00B55836">
        <w:t xml:space="preserve">he Belgian approach </w:t>
      </w:r>
      <w:r>
        <w:t xml:space="preserve">received support </w:t>
      </w:r>
      <w:r w:rsidR="00B55836">
        <w:t xml:space="preserve">but </w:t>
      </w:r>
      <w:r>
        <w:t xml:space="preserve">there </w:t>
      </w:r>
      <w:r w:rsidR="00B55836">
        <w:t xml:space="preserve">were </w:t>
      </w:r>
      <w:r>
        <w:t xml:space="preserve">reservations regarding </w:t>
      </w:r>
      <w:r w:rsidR="0003741E">
        <w:t>additional</w:t>
      </w:r>
      <w:r w:rsidR="006014A9">
        <w:t xml:space="preserve"> inspections. It was said that each test increased t</w:t>
      </w:r>
      <w:r>
        <w:t>he</w:t>
      </w:r>
      <w:r w:rsidR="006014A9">
        <w:t xml:space="preserve"> risk </w:t>
      </w:r>
      <w:r>
        <w:t>of</w:t>
      </w:r>
      <w:r w:rsidR="006014A9">
        <w:t xml:space="preserve"> damage to the lining. Some experts suggested a simple ban of </w:t>
      </w:r>
      <w:r w:rsidR="006014A9">
        <w:lastRenderedPageBreak/>
        <w:t xml:space="preserve">aluminium alloy in combination with a lining </w:t>
      </w:r>
      <w:r w:rsidR="009F7765">
        <w:t xml:space="preserve">for certain critical products </w:t>
      </w:r>
      <w:r w:rsidR="006014A9">
        <w:t>as was proposed in an earlier document.</w:t>
      </w:r>
    </w:p>
    <w:p w:rsidR="009F7765" w:rsidRDefault="009F7765" w:rsidP="0003741E">
      <w:pPr>
        <w:ind w:left="1134" w:right="1133"/>
        <w:jc w:val="both"/>
      </w:pPr>
    </w:p>
    <w:p w:rsidR="00B55836" w:rsidRDefault="003039F1" w:rsidP="0057037D">
      <w:pPr>
        <w:ind w:left="1134" w:right="1133"/>
        <w:jc w:val="both"/>
      </w:pPr>
      <w:r>
        <w:t>26.</w:t>
      </w:r>
      <w:r>
        <w:tab/>
        <w:t xml:space="preserve">In conclusion the working group accepted the offer by </w:t>
      </w:r>
      <w:r w:rsidR="006014A9">
        <w:t>Belgium to work together with the Netherlands and other interested parties to find a suitable solution for this issue</w:t>
      </w:r>
      <w:r w:rsidR="0057037D">
        <w:t xml:space="preserve"> based which would include detailed requirements on the application, monitoring and inspection</w:t>
      </w:r>
      <w:r w:rsidR="006014A9">
        <w:t xml:space="preserve">. </w:t>
      </w:r>
      <w:r w:rsidR="00B55836">
        <w:t xml:space="preserve"> </w:t>
      </w:r>
    </w:p>
    <w:p w:rsidR="008A4001" w:rsidRPr="003039F1" w:rsidRDefault="001005CB" w:rsidP="00AA2178">
      <w:pPr>
        <w:ind w:left="1134" w:right="1133"/>
        <w:jc w:val="both"/>
        <w:rPr>
          <w:lang w:val="en-US"/>
        </w:rPr>
      </w:pPr>
      <w:r>
        <w:t xml:space="preserve"> </w:t>
      </w:r>
    </w:p>
    <w:p w:rsidR="00916A7D" w:rsidRDefault="00916A7D" w:rsidP="00916A7D">
      <w:pPr>
        <w:ind w:left="1134" w:right="1133"/>
        <w:jc w:val="both"/>
        <w:rPr>
          <w:b/>
          <w:sz w:val="24"/>
          <w:szCs w:val="24"/>
        </w:rPr>
      </w:pPr>
    </w:p>
    <w:p w:rsidR="00A279CC" w:rsidRDefault="00A279CC" w:rsidP="00A279CC">
      <w:pPr>
        <w:ind w:left="1134" w:right="1133"/>
        <w:jc w:val="both"/>
        <w:rPr>
          <w:b/>
          <w:sz w:val="24"/>
          <w:szCs w:val="24"/>
        </w:rPr>
      </w:pPr>
      <w:r w:rsidRPr="007A69D5">
        <w:rPr>
          <w:b/>
          <w:sz w:val="24"/>
          <w:szCs w:val="24"/>
        </w:rPr>
        <w:t xml:space="preserve">Item </w:t>
      </w:r>
      <w:r w:rsidR="00BB39A7">
        <w:rPr>
          <w:b/>
          <w:sz w:val="24"/>
          <w:szCs w:val="24"/>
        </w:rPr>
        <w:t>8</w:t>
      </w:r>
      <w:r w:rsidRPr="007A69D5">
        <w:rPr>
          <w:b/>
          <w:sz w:val="24"/>
          <w:szCs w:val="24"/>
        </w:rPr>
        <w:t>: ECE/TRANS/WP.15/AC.1/201</w:t>
      </w:r>
      <w:r w:rsidRPr="007A69D5">
        <w:rPr>
          <w:b/>
          <w:sz w:val="24"/>
          <w:szCs w:val="24"/>
          <w:lang w:val="en-US"/>
        </w:rPr>
        <w:t>5</w:t>
      </w:r>
      <w:r>
        <w:rPr>
          <w:b/>
          <w:sz w:val="24"/>
          <w:szCs w:val="24"/>
        </w:rPr>
        <w:t>/54</w:t>
      </w:r>
      <w:r w:rsidRPr="007A69D5">
        <w:rPr>
          <w:b/>
          <w:sz w:val="24"/>
          <w:szCs w:val="24"/>
        </w:rPr>
        <w:t xml:space="preserve"> (</w:t>
      </w:r>
      <w:r>
        <w:rPr>
          <w:b/>
          <w:sz w:val="24"/>
          <w:szCs w:val="24"/>
        </w:rPr>
        <w:t>Netherlands</w:t>
      </w:r>
      <w:r w:rsidRPr="007A69D5">
        <w:rPr>
          <w:b/>
          <w:sz w:val="24"/>
          <w:szCs w:val="24"/>
        </w:rPr>
        <w:t xml:space="preserve">) – </w:t>
      </w:r>
      <w:r>
        <w:rPr>
          <w:b/>
          <w:sz w:val="24"/>
          <w:szCs w:val="24"/>
        </w:rPr>
        <w:t>Limitations to the approval of vacuum insulated tanks for the carriage of LNG by indirect referenced standard.</w:t>
      </w:r>
    </w:p>
    <w:p w:rsidR="00A279CC" w:rsidRDefault="00A279CC" w:rsidP="00A279CC">
      <w:pPr>
        <w:ind w:left="1134" w:right="1133"/>
        <w:jc w:val="both"/>
        <w:rPr>
          <w:b/>
          <w:sz w:val="24"/>
          <w:szCs w:val="24"/>
        </w:rPr>
      </w:pPr>
    </w:p>
    <w:p w:rsidR="0056045E" w:rsidRDefault="0057037D" w:rsidP="0057037D">
      <w:pPr>
        <w:pStyle w:val="SingleTxtG"/>
        <w:rPr>
          <w:rFonts w:eastAsia="Calibri"/>
        </w:rPr>
      </w:pPr>
      <w:r>
        <w:rPr>
          <w:rFonts w:eastAsia="Calibri"/>
        </w:rPr>
        <w:t>27.</w:t>
      </w:r>
      <w:r>
        <w:rPr>
          <w:rFonts w:eastAsia="Calibri"/>
        </w:rPr>
        <w:tab/>
      </w:r>
      <w:proofErr w:type="gramStart"/>
      <w:r w:rsidR="0056045E" w:rsidRPr="00AD3FBE">
        <w:rPr>
          <w:rFonts w:eastAsia="Calibri"/>
        </w:rPr>
        <w:t>For</w:t>
      </w:r>
      <w:proofErr w:type="gramEnd"/>
      <w:r w:rsidR="0056045E" w:rsidRPr="00AD3FBE">
        <w:rPr>
          <w:rFonts w:eastAsia="Calibri"/>
        </w:rPr>
        <w:t xml:space="preserve"> the construction of vacuum </w:t>
      </w:r>
      <w:r w:rsidR="0056045E">
        <w:rPr>
          <w:rFonts w:eastAsia="Calibri"/>
        </w:rPr>
        <w:t xml:space="preserve">insulated </w:t>
      </w:r>
      <w:r w:rsidR="0056045E" w:rsidRPr="00AD3FBE">
        <w:rPr>
          <w:rFonts w:eastAsia="Calibri"/>
        </w:rPr>
        <w:t xml:space="preserve">containments standards EN 1251-2:2000 and EN 13530-2 have been referenced in RID/ADR. In both mentioned standards reference is made to EN 1252-1:1998 which is a specific standard for the </w:t>
      </w:r>
      <w:r w:rsidR="0056045E">
        <w:rPr>
          <w:rFonts w:eastAsia="Calibri"/>
        </w:rPr>
        <w:t xml:space="preserve">toughness </w:t>
      </w:r>
      <w:r w:rsidR="0056045E" w:rsidRPr="00AD3FBE">
        <w:rPr>
          <w:rFonts w:eastAsia="Calibri"/>
        </w:rPr>
        <w:t xml:space="preserve">of the shell material at temperatures below -80 </w:t>
      </w:r>
      <w:r w:rsidR="0056045E" w:rsidRPr="00AD3FBE">
        <w:rPr>
          <w:rFonts w:eastAsia="Calibri"/>
          <w:vertAlign w:val="superscript"/>
        </w:rPr>
        <w:t>0</w:t>
      </w:r>
      <w:r w:rsidR="0056045E" w:rsidRPr="00AD3FBE">
        <w:rPr>
          <w:rFonts w:eastAsia="Calibri"/>
        </w:rPr>
        <w:t xml:space="preserve">C. However in the scope of this standard for </w:t>
      </w:r>
      <w:r w:rsidR="0056045E">
        <w:rPr>
          <w:rFonts w:eastAsia="Calibri"/>
        </w:rPr>
        <w:t>toughness of the material</w:t>
      </w:r>
      <w:r w:rsidR="0056045E" w:rsidRPr="00AD3FBE">
        <w:rPr>
          <w:rFonts w:eastAsia="Calibri"/>
        </w:rPr>
        <w:t xml:space="preserve">, LNG is excluded. </w:t>
      </w:r>
    </w:p>
    <w:p w:rsidR="0057037D" w:rsidRDefault="0057037D" w:rsidP="0057037D">
      <w:pPr>
        <w:pStyle w:val="SingleTxtG"/>
        <w:rPr>
          <w:rFonts w:eastAsia="Calibri"/>
        </w:rPr>
      </w:pPr>
      <w:r>
        <w:rPr>
          <w:rFonts w:eastAsia="Calibri"/>
        </w:rPr>
        <w:t>28.</w:t>
      </w:r>
      <w:r>
        <w:rPr>
          <w:rFonts w:eastAsia="Calibri"/>
        </w:rPr>
        <w:tab/>
        <w:t xml:space="preserve">It was felt that a note in the table where the construction standard is referenced would be the most appropriate place for this information. The note as proposed should be made more specific for the reference in 6.2. </w:t>
      </w:r>
    </w:p>
    <w:p w:rsidR="0056045E" w:rsidRPr="00AD3FBE" w:rsidRDefault="0057037D" w:rsidP="00DC1369">
      <w:pPr>
        <w:pStyle w:val="SingleTxtG"/>
        <w:rPr>
          <w:rFonts w:eastAsia="Calibri"/>
        </w:rPr>
      </w:pPr>
      <w:r>
        <w:rPr>
          <w:rFonts w:eastAsia="Calibri"/>
        </w:rPr>
        <w:t>29.</w:t>
      </w:r>
      <w:r>
        <w:rPr>
          <w:rFonts w:eastAsia="Calibri"/>
        </w:rPr>
        <w:tab/>
      </w:r>
      <w:r w:rsidR="009331E7">
        <w:rPr>
          <w:rFonts w:eastAsia="Calibri"/>
        </w:rPr>
        <w:t xml:space="preserve">It was proposed to ask the secretariat to </w:t>
      </w:r>
      <w:r w:rsidR="00DC1369">
        <w:rPr>
          <w:rFonts w:eastAsia="Calibri"/>
        </w:rPr>
        <w:t xml:space="preserve">request </w:t>
      </w:r>
      <w:r w:rsidR="009331E7">
        <w:rPr>
          <w:rFonts w:eastAsia="Calibri"/>
        </w:rPr>
        <w:t xml:space="preserve">CEN </w:t>
      </w:r>
      <w:r w:rsidR="00DC1369">
        <w:rPr>
          <w:rFonts w:eastAsia="Calibri"/>
        </w:rPr>
        <w:t xml:space="preserve">TC 268 </w:t>
      </w:r>
      <w:r w:rsidR="009331E7">
        <w:rPr>
          <w:rFonts w:eastAsia="Calibri"/>
        </w:rPr>
        <w:t xml:space="preserve">for a revision of the standard. </w:t>
      </w:r>
      <w:r w:rsidR="00896F12">
        <w:rPr>
          <w:rFonts w:eastAsia="Calibri"/>
        </w:rPr>
        <w:t xml:space="preserve"> </w:t>
      </w:r>
      <w:r w:rsidR="0056045E">
        <w:rPr>
          <w:rFonts w:eastAsia="Calibri"/>
        </w:rPr>
        <w:t xml:space="preserve">  </w:t>
      </w:r>
    </w:p>
    <w:p w:rsidR="00C03FCC" w:rsidRDefault="00C03FCC" w:rsidP="00916A7D">
      <w:pPr>
        <w:ind w:left="1134" w:right="1133"/>
        <w:jc w:val="both"/>
      </w:pPr>
      <w:r w:rsidRPr="00E011C6">
        <w:rPr>
          <w:b/>
        </w:rPr>
        <w:t xml:space="preserve">Proposal </w:t>
      </w:r>
      <w:r w:rsidR="00BB39A7">
        <w:rPr>
          <w:b/>
        </w:rPr>
        <w:t>6</w:t>
      </w:r>
      <w:r w:rsidR="00E011C6">
        <w:t xml:space="preserve"> </w:t>
      </w:r>
    </w:p>
    <w:p w:rsidR="00C03FCC" w:rsidRDefault="00C03FCC" w:rsidP="00DC1369">
      <w:pPr>
        <w:ind w:left="1134" w:right="1133"/>
        <w:jc w:val="both"/>
      </w:pPr>
      <w:r>
        <w:t>Add a note to the table</w:t>
      </w:r>
      <w:r w:rsidR="00E011C6">
        <w:t xml:space="preserve"> of 6.2.4.1 for EN 1251</w:t>
      </w:r>
      <w:r w:rsidR="00DC1369">
        <w:t>-</w:t>
      </w:r>
      <w:r w:rsidR="00E011C6">
        <w:t>2</w:t>
      </w:r>
      <w:r w:rsidR="00DC1369">
        <w:t>:</w:t>
      </w:r>
      <w:r w:rsidR="00E011C6">
        <w:t>2000 (new wording in bold italic script)</w:t>
      </w:r>
      <w:r>
        <w:t xml:space="preserve"> </w:t>
      </w:r>
    </w:p>
    <w:p w:rsidR="00DC1369" w:rsidRDefault="00DC1369" w:rsidP="00DC1369">
      <w:pPr>
        <w:ind w:left="1134" w:right="1133"/>
        <w:jc w:val="both"/>
      </w:pPr>
    </w:p>
    <w:tbl>
      <w:tblPr>
        <w:tblW w:w="8010" w:type="dxa"/>
        <w:tblInd w:w="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530"/>
        <w:gridCol w:w="2880"/>
        <w:gridCol w:w="1440"/>
        <w:gridCol w:w="1201"/>
        <w:gridCol w:w="959"/>
      </w:tblGrid>
      <w:tr w:rsidR="00E011C6" w:rsidRPr="00E011C6" w:rsidTr="00DC1369">
        <w:tblPrEx>
          <w:tblCellMar>
            <w:top w:w="0" w:type="dxa"/>
            <w:bottom w:w="0" w:type="dxa"/>
          </w:tblCellMar>
        </w:tblPrEx>
        <w:trPr>
          <w:cantSplit/>
        </w:trPr>
        <w:tc>
          <w:tcPr>
            <w:tcW w:w="1530" w:type="dxa"/>
          </w:tcPr>
          <w:p w:rsidR="00E011C6" w:rsidRPr="00E011C6" w:rsidRDefault="00E011C6" w:rsidP="00E011C6">
            <w:pPr>
              <w:suppressAutoHyphens w:val="0"/>
              <w:spacing w:before="20" w:after="20" w:line="240" w:lineRule="auto"/>
              <w:ind w:left="1418" w:hanging="1418"/>
              <w:rPr>
                <w:sz w:val="18"/>
                <w:szCs w:val="18"/>
              </w:rPr>
            </w:pPr>
            <w:r w:rsidRPr="00E011C6">
              <w:rPr>
                <w:sz w:val="18"/>
                <w:szCs w:val="18"/>
              </w:rPr>
              <w:t>EN 1251-2:2000</w:t>
            </w:r>
          </w:p>
        </w:tc>
        <w:tc>
          <w:tcPr>
            <w:tcW w:w="2880" w:type="dxa"/>
          </w:tcPr>
          <w:p w:rsidR="00E011C6" w:rsidRDefault="00E011C6" w:rsidP="00E011C6">
            <w:pPr>
              <w:suppressAutoHyphens w:val="0"/>
              <w:spacing w:before="20" w:after="20" w:line="240" w:lineRule="auto"/>
              <w:ind w:firstLine="22"/>
              <w:rPr>
                <w:sz w:val="18"/>
                <w:szCs w:val="18"/>
              </w:rPr>
            </w:pPr>
            <w:r w:rsidRPr="00E011C6">
              <w:rPr>
                <w:sz w:val="18"/>
                <w:szCs w:val="18"/>
              </w:rPr>
              <w:t>Cryogenic vessels – Transportable, vacuum insulated, of not more than 1 000 litres volume – Part 2: Design, fabrication, inspection and testing</w:t>
            </w:r>
          </w:p>
          <w:p w:rsidR="00E011C6" w:rsidRDefault="00E011C6" w:rsidP="00E011C6">
            <w:pPr>
              <w:suppressAutoHyphens w:val="0"/>
              <w:spacing w:before="20" w:after="20" w:line="240" w:lineRule="auto"/>
              <w:ind w:firstLine="22"/>
              <w:rPr>
                <w:sz w:val="18"/>
                <w:szCs w:val="18"/>
              </w:rPr>
            </w:pPr>
          </w:p>
          <w:p w:rsidR="00E011C6" w:rsidRPr="00E011C6" w:rsidRDefault="00E011C6" w:rsidP="00DC1369">
            <w:pPr>
              <w:suppressAutoHyphens w:val="0"/>
              <w:spacing w:before="20" w:after="20" w:line="240" w:lineRule="auto"/>
              <w:ind w:firstLine="22"/>
              <w:rPr>
                <w:sz w:val="18"/>
                <w:szCs w:val="18"/>
              </w:rPr>
            </w:pPr>
            <w:r w:rsidRPr="00E011C6">
              <w:rPr>
                <w:rFonts w:eastAsia="Calibri"/>
                <w:b/>
                <w:i/>
                <w:sz w:val="18"/>
                <w:szCs w:val="18"/>
              </w:rPr>
              <w:t xml:space="preserve">Note: Standard EN 1252-1:1998 referenced in this standard is also applicable </w:t>
            </w:r>
            <w:proofErr w:type="gramStart"/>
            <w:r w:rsidRPr="00E011C6">
              <w:rPr>
                <w:rFonts w:eastAsia="Calibri"/>
                <w:b/>
                <w:i/>
                <w:sz w:val="18"/>
                <w:szCs w:val="18"/>
              </w:rPr>
              <w:t xml:space="preserve">to </w:t>
            </w:r>
            <w:r w:rsidRPr="00E011C6">
              <w:rPr>
                <w:sz w:val="18"/>
                <w:szCs w:val="18"/>
                <w:u w:val="single"/>
              </w:rPr>
              <w:t xml:space="preserve"> </w:t>
            </w:r>
            <w:r w:rsidRPr="00E011C6">
              <w:rPr>
                <w:b/>
                <w:i/>
                <w:sz w:val="18"/>
                <w:szCs w:val="18"/>
              </w:rPr>
              <w:t>closed</w:t>
            </w:r>
            <w:proofErr w:type="gramEnd"/>
            <w:r w:rsidRPr="00E011C6">
              <w:rPr>
                <w:b/>
                <w:i/>
                <w:sz w:val="18"/>
                <w:szCs w:val="18"/>
              </w:rPr>
              <w:t xml:space="preserve"> cryogenic receptacles</w:t>
            </w:r>
            <w:r w:rsidRPr="00E011C6">
              <w:rPr>
                <w:rFonts w:eastAsia="Calibri"/>
                <w:b/>
                <w:i/>
                <w:sz w:val="18"/>
                <w:szCs w:val="18"/>
              </w:rPr>
              <w:t xml:space="preserve">  </w:t>
            </w:r>
            <w:r w:rsidR="00DC1369">
              <w:rPr>
                <w:rFonts w:eastAsia="Calibri"/>
                <w:b/>
                <w:i/>
                <w:sz w:val="18"/>
                <w:szCs w:val="18"/>
              </w:rPr>
              <w:t xml:space="preserve">for the </w:t>
            </w:r>
            <w:r w:rsidRPr="00E011C6">
              <w:rPr>
                <w:rFonts w:eastAsia="Calibri"/>
                <w:b/>
                <w:i/>
                <w:sz w:val="18"/>
                <w:szCs w:val="18"/>
              </w:rPr>
              <w:t xml:space="preserve"> </w:t>
            </w:r>
            <w:r w:rsidR="00DC1369">
              <w:rPr>
                <w:rFonts w:eastAsia="Calibri"/>
                <w:b/>
                <w:i/>
                <w:sz w:val="18"/>
                <w:szCs w:val="18"/>
              </w:rPr>
              <w:t>carriage</w:t>
            </w:r>
            <w:r w:rsidRPr="00E011C6">
              <w:rPr>
                <w:rFonts w:eastAsia="Calibri"/>
                <w:b/>
                <w:i/>
                <w:sz w:val="18"/>
                <w:szCs w:val="18"/>
              </w:rPr>
              <w:t xml:space="preserve"> of UN No</w:t>
            </w:r>
            <w:r w:rsidR="00DC1369">
              <w:rPr>
                <w:rFonts w:eastAsia="Calibri"/>
                <w:b/>
                <w:i/>
                <w:sz w:val="18"/>
                <w:szCs w:val="18"/>
              </w:rPr>
              <w:t>.</w:t>
            </w:r>
            <w:r w:rsidRPr="00E011C6">
              <w:rPr>
                <w:rFonts w:eastAsia="Calibri"/>
                <w:b/>
                <w:i/>
                <w:sz w:val="18"/>
                <w:szCs w:val="18"/>
              </w:rPr>
              <w:t xml:space="preserve"> 1972 (LNG).</w:t>
            </w:r>
          </w:p>
        </w:tc>
        <w:tc>
          <w:tcPr>
            <w:tcW w:w="1440" w:type="dxa"/>
            <w:vAlign w:val="center"/>
          </w:tcPr>
          <w:p w:rsidR="00E011C6" w:rsidRPr="00E011C6" w:rsidRDefault="00E011C6" w:rsidP="00E011C6">
            <w:pPr>
              <w:keepNext/>
              <w:keepLines/>
              <w:suppressAutoHyphens w:val="0"/>
              <w:spacing w:before="20" w:after="20" w:line="240" w:lineRule="auto"/>
              <w:ind w:left="21" w:hanging="21"/>
              <w:jc w:val="center"/>
              <w:rPr>
                <w:sz w:val="18"/>
                <w:szCs w:val="18"/>
              </w:rPr>
            </w:pPr>
            <w:r w:rsidRPr="00E011C6">
              <w:rPr>
                <w:sz w:val="18"/>
                <w:szCs w:val="18"/>
              </w:rPr>
              <w:t>6.2.3.1 and 6.2.3.4</w:t>
            </w:r>
          </w:p>
        </w:tc>
        <w:tc>
          <w:tcPr>
            <w:tcW w:w="1201" w:type="dxa"/>
            <w:vAlign w:val="center"/>
          </w:tcPr>
          <w:p w:rsidR="00E011C6" w:rsidRPr="00E011C6" w:rsidRDefault="00E011C6" w:rsidP="00E011C6">
            <w:pPr>
              <w:keepNext/>
              <w:suppressAutoHyphens w:val="0"/>
              <w:spacing w:before="20" w:after="20" w:line="240" w:lineRule="auto"/>
              <w:ind w:left="22" w:hanging="22"/>
              <w:jc w:val="center"/>
              <w:rPr>
                <w:sz w:val="18"/>
                <w:szCs w:val="18"/>
              </w:rPr>
            </w:pPr>
            <w:r w:rsidRPr="00E011C6">
              <w:rPr>
                <w:sz w:val="18"/>
                <w:szCs w:val="18"/>
              </w:rPr>
              <w:t>Until further notice</w:t>
            </w:r>
          </w:p>
        </w:tc>
        <w:tc>
          <w:tcPr>
            <w:tcW w:w="959" w:type="dxa"/>
            <w:shd w:val="clear" w:color="auto" w:fill="auto"/>
            <w:vAlign w:val="center"/>
          </w:tcPr>
          <w:p w:rsidR="00E011C6" w:rsidRPr="00E011C6" w:rsidRDefault="00E011C6" w:rsidP="00E011C6">
            <w:pPr>
              <w:suppressAutoHyphens w:val="0"/>
              <w:spacing w:before="20" w:after="20" w:line="240" w:lineRule="auto"/>
              <w:ind w:left="21" w:hanging="21"/>
              <w:jc w:val="center"/>
              <w:rPr>
                <w:sz w:val="18"/>
                <w:szCs w:val="18"/>
              </w:rPr>
            </w:pPr>
          </w:p>
        </w:tc>
      </w:tr>
    </w:tbl>
    <w:p w:rsidR="00E011C6" w:rsidRDefault="00E011C6" w:rsidP="00916A7D">
      <w:pPr>
        <w:ind w:left="1134" w:right="1133"/>
        <w:jc w:val="both"/>
      </w:pPr>
    </w:p>
    <w:p w:rsidR="00A279CC" w:rsidRPr="00896F12" w:rsidRDefault="0056045E" w:rsidP="00916A7D">
      <w:pPr>
        <w:ind w:left="1134" w:right="1133"/>
        <w:jc w:val="both"/>
      </w:pPr>
      <w:r w:rsidRPr="00896F12">
        <w:t xml:space="preserve"> </w:t>
      </w:r>
    </w:p>
    <w:p w:rsidR="0056045E" w:rsidRPr="00896F12" w:rsidRDefault="0056045E" w:rsidP="00916A7D">
      <w:pPr>
        <w:ind w:left="1134" w:right="1133"/>
        <w:jc w:val="both"/>
      </w:pPr>
    </w:p>
    <w:p w:rsidR="0056045E" w:rsidRPr="00E011C6" w:rsidRDefault="0056045E" w:rsidP="00916A7D">
      <w:pPr>
        <w:ind w:left="1134" w:right="1133"/>
        <w:jc w:val="both"/>
        <w:rPr>
          <w:b/>
        </w:rPr>
      </w:pPr>
      <w:r w:rsidRPr="00E011C6">
        <w:rPr>
          <w:b/>
        </w:rPr>
        <w:t xml:space="preserve">Proposal </w:t>
      </w:r>
      <w:r w:rsidR="00BB39A7">
        <w:rPr>
          <w:b/>
        </w:rPr>
        <w:t>7</w:t>
      </w:r>
    </w:p>
    <w:p w:rsidR="00DC1369" w:rsidRDefault="00DC1369" w:rsidP="00DC1369">
      <w:pPr>
        <w:ind w:left="1134" w:right="1133"/>
        <w:jc w:val="both"/>
      </w:pPr>
      <w:r>
        <w:t xml:space="preserve">Add a note to the table of 6.8.2.6.1 for EN 13530-2:2002 +A1:2004 (new wording in bold italic script) </w:t>
      </w:r>
    </w:p>
    <w:p w:rsidR="0056045E" w:rsidRPr="00896F12" w:rsidRDefault="0056045E" w:rsidP="00916A7D">
      <w:pPr>
        <w:ind w:left="1134" w:right="1133"/>
        <w:jc w:val="both"/>
      </w:pPr>
    </w:p>
    <w:tbl>
      <w:tblPr>
        <w:tblW w:w="7467" w:type="dxa"/>
        <w:tblInd w:w="9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10"/>
        <w:gridCol w:w="2734"/>
        <w:gridCol w:w="1310"/>
        <w:gridCol w:w="1220"/>
        <w:gridCol w:w="1393"/>
      </w:tblGrid>
      <w:tr w:rsidR="00E011C6" w:rsidRPr="00E011C6" w:rsidTr="00DC1369">
        <w:tblPrEx>
          <w:tblCellMar>
            <w:top w:w="0" w:type="dxa"/>
            <w:bottom w:w="0" w:type="dxa"/>
          </w:tblCellMar>
        </w:tblPrEx>
        <w:trPr>
          <w:cantSplit/>
          <w:trHeight w:val="788"/>
        </w:trPr>
        <w:tc>
          <w:tcPr>
            <w:tcW w:w="542" w:type="pct"/>
          </w:tcPr>
          <w:p w:rsidR="00E011C6" w:rsidRPr="00E011C6" w:rsidRDefault="00E011C6" w:rsidP="00E011C6">
            <w:pPr>
              <w:tabs>
                <w:tab w:val="center" w:pos="4320"/>
                <w:tab w:val="right" w:pos="8640"/>
              </w:tabs>
              <w:suppressAutoHyphens w:val="0"/>
              <w:spacing w:before="20" w:after="20" w:line="228" w:lineRule="auto"/>
              <w:rPr>
                <w:sz w:val="18"/>
                <w:szCs w:val="18"/>
              </w:rPr>
            </w:pPr>
            <w:r w:rsidRPr="00E011C6">
              <w:rPr>
                <w:sz w:val="18"/>
                <w:szCs w:val="18"/>
              </w:rPr>
              <w:t xml:space="preserve">EN 13530-2:2002 </w:t>
            </w:r>
          </w:p>
        </w:tc>
        <w:tc>
          <w:tcPr>
            <w:tcW w:w="1831" w:type="pct"/>
          </w:tcPr>
          <w:p w:rsidR="00E011C6" w:rsidRPr="00E011C6" w:rsidRDefault="00E011C6" w:rsidP="00E011C6">
            <w:pPr>
              <w:suppressAutoHyphens w:val="0"/>
              <w:spacing w:before="20" w:after="20" w:line="228" w:lineRule="auto"/>
              <w:rPr>
                <w:sz w:val="18"/>
                <w:szCs w:val="18"/>
              </w:rPr>
            </w:pPr>
            <w:r w:rsidRPr="00E011C6">
              <w:rPr>
                <w:sz w:val="18"/>
                <w:szCs w:val="18"/>
              </w:rPr>
              <w:t>Cryogenic vessels – Large transportable vacuum insulated vessels – Part 2: Design, fabrication, inspection and testing</w:t>
            </w:r>
          </w:p>
        </w:tc>
        <w:tc>
          <w:tcPr>
            <w:tcW w:w="877" w:type="pct"/>
          </w:tcPr>
          <w:p w:rsidR="00E011C6" w:rsidRPr="00E011C6" w:rsidRDefault="00E011C6" w:rsidP="00E011C6">
            <w:pPr>
              <w:suppressAutoHyphens w:val="0"/>
              <w:spacing w:before="20" w:after="20" w:line="228" w:lineRule="auto"/>
              <w:rPr>
                <w:sz w:val="18"/>
                <w:szCs w:val="18"/>
              </w:rPr>
            </w:pPr>
            <w:r w:rsidRPr="00E011C6">
              <w:rPr>
                <w:sz w:val="18"/>
                <w:szCs w:val="18"/>
              </w:rPr>
              <w:t>6.8.2.1 (with the exception of 6.8.2.1.17), 6.8.2.4, 6.8.3.1 and 6.8.3.4</w:t>
            </w:r>
          </w:p>
        </w:tc>
        <w:tc>
          <w:tcPr>
            <w:tcW w:w="817" w:type="pct"/>
            <w:vAlign w:val="center"/>
          </w:tcPr>
          <w:p w:rsidR="00E011C6" w:rsidRPr="00E011C6" w:rsidRDefault="00E011C6" w:rsidP="00E011C6">
            <w:pPr>
              <w:suppressAutoHyphens w:val="0"/>
              <w:spacing w:before="20" w:after="20" w:line="228" w:lineRule="auto"/>
              <w:jc w:val="center"/>
              <w:rPr>
                <w:sz w:val="18"/>
                <w:szCs w:val="18"/>
              </w:rPr>
            </w:pPr>
            <w:r w:rsidRPr="00E011C6">
              <w:rPr>
                <w:sz w:val="18"/>
                <w:szCs w:val="18"/>
              </w:rPr>
              <w:t>Between 1 January 2005 and 30 June 2007</w:t>
            </w:r>
          </w:p>
        </w:tc>
        <w:tc>
          <w:tcPr>
            <w:tcW w:w="933" w:type="pct"/>
            <w:shd w:val="clear" w:color="auto" w:fill="auto"/>
            <w:vAlign w:val="center"/>
          </w:tcPr>
          <w:p w:rsidR="00E011C6" w:rsidRPr="00E011C6" w:rsidRDefault="00E011C6" w:rsidP="00E011C6">
            <w:pPr>
              <w:keepNext/>
              <w:keepLines/>
              <w:suppressAutoHyphens w:val="0"/>
              <w:spacing w:before="20" w:after="20" w:line="240" w:lineRule="auto"/>
              <w:ind w:left="21" w:hanging="21"/>
              <w:jc w:val="center"/>
              <w:rPr>
                <w:sz w:val="18"/>
                <w:szCs w:val="18"/>
              </w:rPr>
            </w:pPr>
          </w:p>
        </w:tc>
      </w:tr>
      <w:tr w:rsidR="00E011C6" w:rsidRPr="00E011C6" w:rsidTr="00DC1369">
        <w:tblPrEx>
          <w:tblCellMar>
            <w:top w:w="0" w:type="dxa"/>
            <w:bottom w:w="0" w:type="dxa"/>
          </w:tblCellMar>
        </w:tblPrEx>
        <w:trPr>
          <w:cantSplit/>
          <w:trHeight w:val="1414"/>
        </w:trPr>
        <w:tc>
          <w:tcPr>
            <w:tcW w:w="542" w:type="pct"/>
          </w:tcPr>
          <w:p w:rsidR="00E011C6" w:rsidRPr="00E011C6" w:rsidRDefault="00E011C6" w:rsidP="00E011C6">
            <w:pPr>
              <w:tabs>
                <w:tab w:val="center" w:pos="4320"/>
                <w:tab w:val="right" w:pos="8640"/>
              </w:tabs>
              <w:suppressAutoHyphens w:val="0"/>
              <w:spacing w:before="20" w:after="20" w:line="228" w:lineRule="auto"/>
              <w:rPr>
                <w:sz w:val="18"/>
                <w:szCs w:val="18"/>
              </w:rPr>
            </w:pPr>
            <w:r w:rsidRPr="00E011C6">
              <w:rPr>
                <w:sz w:val="18"/>
                <w:szCs w:val="18"/>
              </w:rPr>
              <w:lastRenderedPageBreak/>
              <w:t>EN 13530-2:2002 + A1:2004</w:t>
            </w:r>
          </w:p>
        </w:tc>
        <w:tc>
          <w:tcPr>
            <w:tcW w:w="1831" w:type="pct"/>
          </w:tcPr>
          <w:p w:rsidR="00E011C6" w:rsidRDefault="00E011C6" w:rsidP="00E011C6">
            <w:pPr>
              <w:suppressAutoHyphens w:val="0"/>
              <w:spacing w:before="20" w:after="20" w:line="228" w:lineRule="auto"/>
              <w:rPr>
                <w:rFonts w:eastAsia="Calibri"/>
                <w:b/>
                <w:i/>
              </w:rPr>
            </w:pPr>
            <w:r w:rsidRPr="00E011C6">
              <w:rPr>
                <w:sz w:val="18"/>
                <w:szCs w:val="18"/>
              </w:rPr>
              <w:t>Cryogenic vessels – Large transportable vacuum insulated vessels – Part 2: Design, fabrication, inspection and testing</w:t>
            </w:r>
            <w:r w:rsidRPr="00627160">
              <w:rPr>
                <w:rFonts w:eastAsia="Calibri"/>
                <w:b/>
                <w:i/>
              </w:rPr>
              <w:t xml:space="preserve"> </w:t>
            </w:r>
          </w:p>
          <w:p w:rsidR="00E011C6" w:rsidRDefault="00E011C6" w:rsidP="00E011C6">
            <w:pPr>
              <w:suppressAutoHyphens w:val="0"/>
              <w:spacing w:before="20" w:after="20" w:line="228" w:lineRule="auto"/>
              <w:rPr>
                <w:rFonts w:eastAsia="Calibri"/>
                <w:b/>
                <w:i/>
              </w:rPr>
            </w:pPr>
          </w:p>
          <w:p w:rsidR="00E011C6" w:rsidRPr="00E011C6" w:rsidRDefault="00E011C6" w:rsidP="00DC1369">
            <w:pPr>
              <w:suppressAutoHyphens w:val="0"/>
              <w:spacing w:before="20" w:after="20" w:line="228" w:lineRule="auto"/>
              <w:rPr>
                <w:sz w:val="18"/>
                <w:szCs w:val="18"/>
              </w:rPr>
            </w:pPr>
            <w:r w:rsidRPr="00E011C6">
              <w:rPr>
                <w:rFonts w:eastAsia="Calibri"/>
                <w:b/>
                <w:i/>
                <w:sz w:val="18"/>
                <w:szCs w:val="18"/>
              </w:rPr>
              <w:t>Note: Standard EN 1252-1:1998 referenced in this standard is also applicable to</w:t>
            </w:r>
            <w:r w:rsidRPr="00E011C6">
              <w:rPr>
                <w:b/>
                <w:i/>
                <w:sz w:val="18"/>
                <w:szCs w:val="18"/>
              </w:rPr>
              <w:t xml:space="preserve"> </w:t>
            </w:r>
            <w:proofErr w:type="gramStart"/>
            <w:r w:rsidRPr="00E011C6">
              <w:rPr>
                <w:b/>
                <w:i/>
                <w:sz w:val="18"/>
                <w:szCs w:val="18"/>
              </w:rPr>
              <w:t>tanks</w:t>
            </w:r>
            <w:r w:rsidRPr="00E011C6">
              <w:rPr>
                <w:rFonts w:eastAsia="Calibri"/>
                <w:b/>
                <w:i/>
                <w:sz w:val="18"/>
                <w:szCs w:val="18"/>
              </w:rPr>
              <w:t xml:space="preserve">  for</w:t>
            </w:r>
            <w:proofErr w:type="gramEnd"/>
            <w:r w:rsidRPr="00E011C6">
              <w:rPr>
                <w:rFonts w:eastAsia="Calibri"/>
                <w:b/>
                <w:i/>
                <w:sz w:val="18"/>
                <w:szCs w:val="18"/>
              </w:rPr>
              <w:t xml:space="preserve"> </w:t>
            </w:r>
            <w:r w:rsidR="00DC1369">
              <w:rPr>
                <w:rFonts w:eastAsia="Calibri"/>
                <w:b/>
                <w:i/>
                <w:sz w:val="18"/>
                <w:szCs w:val="18"/>
              </w:rPr>
              <w:t>the carriage</w:t>
            </w:r>
            <w:r w:rsidRPr="00E011C6">
              <w:rPr>
                <w:rFonts w:eastAsia="Calibri"/>
                <w:b/>
                <w:i/>
                <w:sz w:val="18"/>
                <w:szCs w:val="18"/>
              </w:rPr>
              <w:t xml:space="preserve"> of UN No</w:t>
            </w:r>
            <w:r w:rsidR="00DC1369">
              <w:rPr>
                <w:rFonts w:eastAsia="Calibri"/>
                <w:b/>
                <w:i/>
                <w:sz w:val="18"/>
                <w:szCs w:val="18"/>
              </w:rPr>
              <w:t>.</w:t>
            </w:r>
            <w:r w:rsidRPr="00E011C6">
              <w:rPr>
                <w:rFonts w:eastAsia="Calibri"/>
                <w:b/>
                <w:i/>
                <w:sz w:val="18"/>
                <w:szCs w:val="18"/>
              </w:rPr>
              <w:t xml:space="preserve"> 1972 (LNG).</w:t>
            </w:r>
          </w:p>
        </w:tc>
        <w:tc>
          <w:tcPr>
            <w:tcW w:w="877" w:type="pct"/>
          </w:tcPr>
          <w:p w:rsidR="00E011C6" w:rsidRPr="00E011C6" w:rsidRDefault="00E011C6" w:rsidP="00E011C6">
            <w:pPr>
              <w:suppressAutoHyphens w:val="0"/>
              <w:spacing w:before="20" w:after="20" w:line="228" w:lineRule="auto"/>
              <w:rPr>
                <w:sz w:val="18"/>
                <w:szCs w:val="18"/>
              </w:rPr>
            </w:pPr>
            <w:r w:rsidRPr="00E011C6">
              <w:rPr>
                <w:sz w:val="18"/>
                <w:szCs w:val="18"/>
              </w:rPr>
              <w:t>6.8.2.1 (with the exception of 6.8.2.1.17), 6.8.2.4, 6.8.3.1 and 6.8.3.4</w:t>
            </w:r>
          </w:p>
        </w:tc>
        <w:tc>
          <w:tcPr>
            <w:tcW w:w="817" w:type="pct"/>
            <w:vAlign w:val="center"/>
          </w:tcPr>
          <w:p w:rsidR="00E011C6" w:rsidRPr="00E011C6" w:rsidRDefault="00E011C6" w:rsidP="00E011C6">
            <w:pPr>
              <w:suppressAutoHyphens w:val="0"/>
              <w:spacing w:before="20" w:after="20" w:line="228" w:lineRule="auto"/>
              <w:jc w:val="center"/>
              <w:rPr>
                <w:sz w:val="18"/>
                <w:szCs w:val="18"/>
              </w:rPr>
            </w:pPr>
            <w:r w:rsidRPr="00E011C6">
              <w:rPr>
                <w:sz w:val="18"/>
                <w:szCs w:val="18"/>
              </w:rPr>
              <w:t>Until further notice</w:t>
            </w:r>
          </w:p>
        </w:tc>
        <w:tc>
          <w:tcPr>
            <w:tcW w:w="933" w:type="pct"/>
            <w:shd w:val="clear" w:color="auto" w:fill="auto"/>
            <w:vAlign w:val="center"/>
          </w:tcPr>
          <w:p w:rsidR="00E011C6" w:rsidRPr="00E011C6" w:rsidRDefault="00E011C6" w:rsidP="00E011C6">
            <w:pPr>
              <w:suppressAutoHyphens w:val="0"/>
              <w:spacing w:before="20" w:after="20" w:line="228" w:lineRule="auto"/>
              <w:jc w:val="center"/>
              <w:rPr>
                <w:sz w:val="18"/>
                <w:szCs w:val="18"/>
              </w:rPr>
            </w:pPr>
          </w:p>
        </w:tc>
      </w:tr>
    </w:tbl>
    <w:p w:rsidR="00E011C6" w:rsidRDefault="00E011C6" w:rsidP="0056045E">
      <w:pPr>
        <w:pStyle w:val="SingleTxtG"/>
        <w:rPr>
          <w:rFonts w:eastAsia="Calibri"/>
          <w:b/>
          <w:i/>
        </w:rPr>
      </w:pPr>
    </w:p>
    <w:p w:rsidR="00916A7D" w:rsidRPr="0056045E" w:rsidRDefault="00916A7D" w:rsidP="00916A7D">
      <w:pPr>
        <w:ind w:left="1134" w:right="1133"/>
        <w:jc w:val="both"/>
        <w:rPr>
          <w:b/>
          <w:sz w:val="24"/>
          <w:szCs w:val="24"/>
          <w:lang w:val="nl-NL"/>
        </w:rPr>
      </w:pPr>
    </w:p>
    <w:p w:rsidR="006A6D1F" w:rsidRDefault="006A6D1F" w:rsidP="006A6D1F">
      <w:pPr>
        <w:ind w:left="1134" w:right="1134"/>
        <w:rPr>
          <w:b/>
          <w:sz w:val="24"/>
          <w:szCs w:val="24"/>
        </w:rPr>
      </w:pPr>
      <w:r w:rsidRPr="001804FB">
        <w:rPr>
          <w:b/>
          <w:sz w:val="24"/>
          <w:szCs w:val="24"/>
        </w:rPr>
        <w:t xml:space="preserve">Item </w:t>
      </w:r>
      <w:r w:rsidR="00BB39A7">
        <w:rPr>
          <w:b/>
          <w:sz w:val="24"/>
          <w:szCs w:val="24"/>
        </w:rPr>
        <w:t>9</w:t>
      </w:r>
      <w:r w:rsidRPr="001804FB">
        <w:rPr>
          <w:b/>
          <w:sz w:val="24"/>
          <w:szCs w:val="24"/>
        </w:rPr>
        <w:t xml:space="preserve">: </w:t>
      </w:r>
      <w:r>
        <w:rPr>
          <w:b/>
          <w:sz w:val="24"/>
          <w:szCs w:val="24"/>
        </w:rPr>
        <w:t xml:space="preserve">INF 4 </w:t>
      </w:r>
      <w:r w:rsidRPr="001804FB">
        <w:rPr>
          <w:b/>
          <w:sz w:val="24"/>
          <w:szCs w:val="24"/>
        </w:rPr>
        <w:t>(C</w:t>
      </w:r>
      <w:r>
        <w:rPr>
          <w:b/>
          <w:sz w:val="24"/>
          <w:szCs w:val="24"/>
        </w:rPr>
        <w:t>EN</w:t>
      </w:r>
      <w:r w:rsidRPr="001804FB">
        <w:rPr>
          <w:b/>
          <w:sz w:val="24"/>
          <w:szCs w:val="24"/>
        </w:rPr>
        <w:t xml:space="preserve">) – </w:t>
      </w:r>
      <w:r>
        <w:rPr>
          <w:b/>
          <w:sz w:val="24"/>
          <w:szCs w:val="24"/>
        </w:rPr>
        <w:t xml:space="preserve">Request for advice from the Working Group on </w:t>
      </w:r>
      <w:proofErr w:type="gramStart"/>
      <w:r>
        <w:rPr>
          <w:b/>
          <w:sz w:val="24"/>
          <w:szCs w:val="24"/>
        </w:rPr>
        <w:t>Tanks  EN16522:2014</w:t>
      </w:r>
      <w:proofErr w:type="gramEnd"/>
      <w:r w:rsidRPr="001804FB">
        <w:rPr>
          <w:b/>
          <w:sz w:val="24"/>
          <w:szCs w:val="24"/>
        </w:rPr>
        <w:t>.</w:t>
      </w:r>
      <w:r>
        <w:rPr>
          <w:b/>
          <w:sz w:val="24"/>
          <w:szCs w:val="24"/>
        </w:rPr>
        <w:br/>
      </w:r>
    </w:p>
    <w:p w:rsidR="0032754F" w:rsidRDefault="00DC1369" w:rsidP="00DC1369">
      <w:pPr>
        <w:ind w:left="1134" w:right="1133"/>
        <w:jc w:val="both"/>
      </w:pPr>
      <w:r>
        <w:t>30.</w:t>
      </w:r>
      <w:r>
        <w:tab/>
      </w:r>
      <w:r w:rsidR="0032754F">
        <w:t xml:space="preserve">As </w:t>
      </w:r>
      <w:r>
        <w:t>the standards had not been received by members of t</w:t>
      </w:r>
      <w:r w:rsidR="0032754F">
        <w:t xml:space="preserve">he working group </w:t>
      </w:r>
      <w:r>
        <w:t>discussion on this document was deferred to the next session.</w:t>
      </w:r>
    </w:p>
    <w:p w:rsidR="0032754F" w:rsidRDefault="0032754F" w:rsidP="0032754F">
      <w:pPr>
        <w:ind w:left="1134" w:right="1133"/>
        <w:jc w:val="both"/>
      </w:pPr>
      <w:r>
        <w:t xml:space="preserve"> </w:t>
      </w:r>
    </w:p>
    <w:p w:rsidR="006A6D1F" w:rsidRDefault="006A6D1F" w:rsidP="00916A7D">
      <w:pPr>
        <w:ind w:left="1134" w:right="1133"/>
        <w:jc w:val="both"/>
        <w:rPr>
          <w:b/>
          <w:sz w:val="24"/>
          <w:szCs w:val="24"/>
        </w:rPr>
      </w:pPr>
    </w:p>
    <w:p w:rsidR="00916A7D" w:rsidRDefault="00916A7D" w:rsidP="00916A7D">
      <w:pPr>
        <w:ind w:left="1134" w:right="1133"/>
        <w:jc w:val="both"/>
        <w:rPr>
          <w:b/>
          <w:sz w:val="24"/>
          <w:szCs w:val="24"/>
        </w:rPr>
      </w:pPr>
      <w:r w:rsidRPr="007A69D5">
        <w:rPr>
          <w:b/>
          <w:sz w:val="24"/>
          <w:szCs w:val="24"/>
        </w:rPr>
        <w:t xml:space="preserve">Item </w:t>
      </w:r>
      <w:r w:rsidR="00BB39A7">
        <w:rPr>
          <w:b/>
          <w:sz w:val="24"/>
          <w:szCs w:val="24"/>
        </w:rPr>
        <w:t>10</w:t>
      </w:r>
      <w:r w:rsidRPr="007A69D5">
        <w:rPr>
          <w:b/>
          <w:sz w:val="24"/>
          <w:szCs w:val="24"/>
        </w:rPr>
        <w:t xml:space="preserve">: </w:t>
      </w:r>
      <w:r>
        <w:rPr>
          <w:b/>
          <w:sz w:val="24"/>
          <w:szCs w:val="24"/>
        </w:rPr>
        <w:t xml:space="preserve">INF 10 </w:t>
      </w:r>
      <w:r w:rsidRPr="007A69D5">
        <w:rPr>
          <w:b/>
          <w:sz w:val="24"/>
          <w:szCs w:val="24"/>
        </w:rPr>
        <w:t>(</w:t>
      </w:r>
      <w:r>
        <w:rPr>
          <w:b/>
          <w:sz w:val="24"/>
          <w:szCs w:val="24"/>
        </w:rPr>
        <w:t>UK</w:t>
      </w:r>
      <w:r w:rsidRPr="007A69D5">
        <w:rPr>
          <w:b/>
          <w:sz w:val="24"/>
          <w:szCs w:val="24"/>
        </w:rPr>
        <w:t xml:space="preserve">) – </w:t>
      </w:r>
      <w:r w:rsidR="00A279CC">
        <w:rPr>
          <w:b/>
          <w:sz w:val="24"/>
          <w:szCs w:val="24"/>
        </w:rPr>
        <w:t>Tanks: informal Working Group on the inspection and certification of tanks.</w:t>
      </w:r>
    </w:p>
    <w:p w:rsidR="00A279CC" w:rsidRDefault="00A279CC" w:rsidP="00916A7D">
      <w:pPr>
        <w:ind w:left="1134" w:right="1133"/>
        <w:jc w:val="both"/>
        <w:rPr>
          <w:b/>
          <w:sz w:val="24"/>
          <w:szCs w:val="24"/>
        </w:rPr>
      </w:pPr>
    </w:p>
    <w:p w:rsidR="00A279CC" w:rsidRPr="00A279CC" w:rsidRDefault="00DC1369" w:rsidP="00FB3E33">
      <w:pPr>
        <w:ind w:left="1134" w:right="1133"/>
        <w:jc w:val="both"/>
      </w:pPr>
      <w:r>
        <w:t>31.</w:t>
      </w:r>
      <w:r>
        <w:tab/>
      </w:r>
      <w:r w:rsidR="00A279CC" w:rsidRPr="00A279CC">
        <w:t xml:space="preserve">The representative of the UK informed the working group on the outcome of first </w:t>
      </w:r>
      <w:r w:rsidR="00FB3E33">
        <w:t xml:space="preserve">session </w:t>
      </w:r>
      <w:r w:rsidR="00A279CC" w:rsidRPr="00A279CC">
        <w:t xml:space="preserve">that had </w:t>
      </w:r>
      <w:r w:rsidR="00FB3E33">
        <w:t>been held i</w:t>
      </w:r>
      <w:r w:rsidR="00A279CC" w:rsidRPr="00A279CC">
        <w:t>n Lond</w:t>
      </w:r>
      <w:r w:rsidR="00FB3E33">
        <w:t>o</w:t>
      </w:r>
      <w:r w:rsidR="00A279CC" w:rsidRPr="00A279CC">
        <w:t>n on 15 &amp; 16 June 2015.</w:t>
      </w:r>
      <w:r w:rsidR="00A279CC" w:rsidRPr="00A279CC">
        <w:br/>
        <w:t>The next meeting is scheduled</w:t>
      </w:r>
      <w:r w:rsidR="00FB3E33">
        <w:t xml:space="preserve"> for 12 to 14 October 2015 in London.</w:t>
      </w:r>
    </w:p>
    <w:p w:rsidR="00155EE4" w:rsidRPr="00FB3E33" w:rsidRDefault="00155EE4" w:rsidP="00AA2178">
      <w:pPr>
        <w:ind w:left="1134" w:right="1133"/>
        <w:jc w:val="both"/>
        <w:rPr>
          <w:b/>
          <w:sz w:val="24"/>
          <w:szCs w:val="24"/>
          <w:lang w:val="en-US"/>
        </w:rPr>
      </w:pPr>
    </w:p>
    <w:p w:rsidR="00916A7D" w:rsidRDefault="00916A7D" w:rsidP="00AA2178">
      <w:pPr>
        <w:ind w:left="1134" w:right="1133"/>
        <w:jc w:val="both"/>
        <w:rPr>
          <w:b/>
          <w:sz w:val="24"/>
          <w:szCs w:val="24"/>
        </w:rPr>
      </w:pPr>
    </w:p>
    <w:p w:rsidR="00573DDF" w:rsidRDefault="007C26C3" w:rsidP="00AA2178">
      <w:pPr>
        <w:ind w:left="1134" w:right="1133"/>
        <w:jc w:val="both"/>
        <w:rPr>
          <w:b/>
          <w:sz w:val="24"/>
          <w:szCs w:val="24"/>
        </w:rPr>
      </w:pPr>
      <w:r w:rsidRPr="007A69D5">
        <w:rPr>
          <w:b/>
          <w:sz w:val="24"/>
          <w:szCs w:val="24"/>
        </w:rPr>
        <w:t xml:space="preserve">Item </w:t>
      </w:r>
      <w:r w:rsidR="00BB39A7">
        <w:rPr>
          <w:b/>
          <w:sz w:val="24"/>
          <w:szCs w:val="24"/>
        </w:rPr>
        <w:t>11</w:t>
      </w:r>
      <w:r w:rsidRPr="007A69D5">
        <w:rPr>
          <w:b/>
          <w:sz w:val="24"/>
          <w:szCs w:val="24"/>
        </w:rPr>
        <w:t xml:space="preserve">: </w:t>
      </w:r>
      <w:r>
        <w:rPr>
          <w:b/>
          <w:sz w:val="24"/>
          <w:szCs w:val="24"/>
        </w:rPr>
        <w:t xml:space="preserve">INF 17 </w:t>
      </w:r>
      <w:r w:rsidRPr="007A69D5">
        <w:rPr>
          <w:b/>
          <w:sz w:val="24"/>
          <w:szCs w:val="24"/>
        </w:rPr>
        <w:t>(</w:t>
      </w:r>
      <w:r>
        <w:rPr>
          <w:b/>
          <w:sz w:val="24"/>
          <w:szCs w:val="24"/>
        </w:rPr>
        <w:t>Germany</w:t>
      </w:r>
      <w:r w:rsidRPr="007A69D5">
        <w:rPr>
          <w:b/>
          <w:sz w:val="24"/>
          <w:szCs w:val="24"/>
        </w:rPr>
        <w:t xml:space="preserve">) – </w:t>
      </w:r>
      <w:r>
        <w:rPr>
          <w:b/>
          <w:sz w:val="24"/>
          <w:szCs w:val="24"/>
        </w:rPr>
        <w:t>Requirements to be met by MEGCs which consist of- non-UN pressure receptacles.</w:t>
      </w:r>
    </w:p>
    <w:p w:rsidR="007C26C3" w:rsidRDefault="007C26C3" w:rsidP="00AA2178">
      <w:pPr>
        <w:ind w:left="1134" w:right="1133"/>
        <w:jc w:val="both"/>
        <w:rPr>
          <w:b/>
          <w:sz w:val="24"/>
          <w:szCs w:val="24"/>
        </w:rPr>
      </w:pPr>
    </w:p>
    <w:p w:rsidR="00267431" w:rsidRDefault="00FB3E33" w:rsidP="00FB3E33">
      <w:pPr>
        <w:ind w:left="1134" w:right="1133"/>
        <w:jc w:val="both"/>
      </w:pPr>
      <w:r>
        <w:t>32.</w:t>
      </w:r>
      <w:r>
        <w:tab/>
      </w:r>
      <w:r w:rsidR="007C26C3" w:rsidRPr="007C26C3">
        <w:t>In chapter 6.</w:t>
      </w:r>
      <w:r w:rsidR="00267431">
        <w:t>8</w:t>
      </w:r>
      <w:r w:rsidR="007C26C3" w:rsidRPr="007C26C3">
        <w:t xml:space="preserve"> there is no reference to standards for the construction of MEGCs. As there are no additional codes available it is </w:t>
      </w:r>
      <w:r>
        <w:t xml:space="preserve">proposed </w:t>
      </w:r>
      <w:r w:rsidR="007C26C3" w:rsidRPr="007C26C3">
        <w:t xml:space="preserve">to apply </w:t>
      </w:r>
      <w:r>
        <w:t xml:space="preserve">the relevant parts </w:t>
      </w:r>
      <w:proofErr w:type="gramStart"/>
      <w:r>
        <w:t xml:space="preserve">of  </w:t>
      </w:r>
      <w:r w:rsidR="007C26C3" w:rsidRPr="007C26C3">
        <w:t>standard</w:t>
      </w:r>
      <w:proofErr w:type="gramEnd"/>
      <w:r w:rsidR="007C26C3" w:rsidRPr="007C26C3">
        <w:t xml:space="preserve"> EN 13807 </w:t>
      </w:r>
      <w:r w:rsidR="00267431">
        <w:t>for this purpose. The scope of the standard is at this moment limited to battery vehicles.</w:t>
      </w:r>
    </w:p>
    <w:p w:rsidR="00916A7D" w:rsidRDefault="00267431" w:rsidP="00457D51">
      <w:pPr>
        <w:ind w:left="1138" w:right="1138"/>
      </w:pPr>
      <w:r>
        <w:br/>
      </w:r>
      <w:r w:rsidR="00FB3E33">
        <w:t>33.</w:t>
      </w:r>
      <w:r w:rsidR="00FB3E33">
        <w:tab/>
      </w:r>
      <w:r w:rsidR="00916A7D">
        <w:t>The document was discussed and i</w:t>
      </w:r>
      <w:r>
        <w:t>t is confirmed that standard EN 13807 is under revision and that the scope will be amended to include MEGCs.</w:t>
      </w:r>
      <w:r w:rsidR="00094AB6">
        <w:t xml:space="preserve"> </w:t>
      </w:r>
      <w:r>
        <w:br/>
      </w:r>
      <w:r w:rsidR="00FB3E33">
        <w:t xml:space="preserve">The note was amended to allow UN pressure receptacles to be used too as provided for in 6.8.3.1.4. </w:t>
      </w:r>
      <w:r w:rsidR="00916A7D">
        <w:t xml:space="preserve"> </w:t>
      </w:r>
      <w:r w:rsidR="00094AB6">
        <w:t xml:space="preserve"> </w:t>
      </w:r>
      <w:r w:rsidR="00C60828">
        <w:br/>
      </w:r>
      <w:r w:rsidR="00C60828">
        <w:br/>
      </w:r>
      <w:r w:rsidR="00916A7D" w:rsidRPr="00916A7D">
        <w:rPr>
          <w:b/>
        </w:rPr>
        <w:t>Proposal</w:t>
      </w:r>
      <w:r w:rsidR="00457D51" w:rsidRPr="00457D51">
        <w:rPr>
          <w:b/>
          <w:bCs/>
        </w:rPr>
        <w:t>: 8</w:t>
      </w:r>
      <w:r w:rsidR="00916A7D">
        <w:br/>
      </w:r>
    </w:p>
    <w:p w:rsidR="00C60828" w:rsidRDefault="00094AB6" w:rsidP="009F7765">
      <w:pPr>
        <w:ind w:left="1134" w:right="1133"/>
        <w:jc w:val="both"/>
      </w:pPr>
      <w:r>
        <w:t>For RID</w:t>
      </w:r>
      <w:r w:rsidR="00C60828">
        <w:t xml:space="preserve">: replace the current wording in 6.8.3.6 of RID </w:t>
      </w:r>
      <w:proofErr w:type="gramStart"/>
      <w:r w:rsidR="00C60828">
        <w:t>“ (</w:t>
      </w:r>
      <w:proofErr w:type="gramEnd"/>
      <w:r w:rsidR="00C60828">
        <w:t>reserved)” by the following :</w:t>
      </w:r>
    </w:p>
    <w:p w:rsidR="00C60828" w:rsidRDefault="00C60828" w:rsidP="00AA2178">
      <w:pPr>
        <w:ind w:left="1134" w:right="1133"/>
        <w:jc w:val="both"/>
      </w:pPr>
    </w:p>
    <w:p w:rsidR="00C60828" w:rsidRPr="00C60828" w:rsidRDefault="00C60828" w:rsidP="00C60828">
      <w:pPr>
        <w:keepNext/>
        <w:keepLines/>
        <w:suppressAutoHyphens w:val="0"/>
        <w:spacing w:line="240" w:lineRule="auto"/>
        <w:ind w:left="1418"/>
        <w:jc w:val="both"/>
      </w:pPr>
      <w:r w:rsidRPr="00C60828">
        <w:rPr>
          <w:b/>
          <w:bCs/>
          <w:i/>
          <w:iCs/>
        </w:rPr>
        <w:t>NOTE:</w:t>
      </w:r>
      <w:r w:rsidRPr="00C60828">
        <w:t xml:space="preserve"> </w:t>
      </w:r>
      <w:r w:rsidRPr="00C60828">
        <w:rPr>
          <w:bCs/>
          <w:i/>
          <w:iCs/>
        </w:rPr>
        <w:t xml:space="preserve">Persons or bodies identified in standards as having responsibilities in accordance with </w:t>
      </w:r>
      <w:r>
        <w:rPr>
          <w:bCs/>
          <w:i/>
          <w:iCs/>
        </w:rPr>
        <w:t>RID</w:t>
      </w:r>
      <w:r w:rsidRPr="00C60828">
        <w:rPr>
          <w:bCs/>
          <w:i/>
          <w:iCs/>
        </w:rPr>
        <w:t xml:space="preserve"> shall meet the requirements of </w:t>
      </w:r>
      <w:r>
        <w:rPr>
          <w:bCs/>
          <w:i/>
          <w:iCs/>
        </w:rPr>
        <w:t>RID</w:t>
      </w:r>
      <w:r w:rsidRPr="00C60828">
        <w:t>.</w:t>
      </w:r>
    </w:p>
    <w:p w:rsidR="00C60828" w:rsidRPr="00C60828" w:rsidRDefault="00C60828" w:rsidP="00C60828">
      <w:pPr>
        <w:keepNext/>
        <w:keepLines/>
        <w:suppressAutoHyphens w:val="0"/>
        <w:spacing w:line="240" w:lineRule="auto"/>
        <w:ind w:left="1418" w:hanging="1418"/>
        <w:jc w:val="both"/>
      </w:pPr>
    </w:p>
    <w:p w:rsidR="00C60828" w:rsidRPr="00C60828" w:rsidRDefault="00C60828" w:rsidP="00457D51">
      <w:pPr>
        <w:suppressAutoHyphens w:val="0"/>
        <w:spacing w:line="240" w:lineRule="auto"/>
        <w:ind w:left="1418" w:hanging="1418"/>
        <w:jc w:val="both"/>
        <w:rPr>
          <w:rFonts w:eastAsia="SimSun"/>
          <w:bCs/>
        </w:rPr>
      </w:pPr>
      <w:r w:rsidRPr="00C60828">
        <w:tab/>
      </w:r>
      <w:r w:rsidR="00457D51">
        <w:t xml:space="preserve">Type approval certificates shall be issued in accordance with 1.8.7. </w:t>
      </w:r>
      <w:r w:rsidRPr="00C60828">
        <w:rPr>
          <w:rFonts w:eastAsia="SimSun"/>
          <w:bCs/>
        </w:rPr>
        <w:t xml:space="preserve">The standard referenced in the table below shall be applied for the issue of type approvals as indicated in column (4) to meet the requirements of Chapter 6.8 referred to in column (3). The </w:t>
      </w:r>
      <w:r w:rsidR="00457D51">
        <w:rPr>
          <w:rFonts w:eastAsia="SimSun"/>
          <w:bCs/>
        </w:rPr>
        <w:t>standards shall be applied in accordance with 1.1.5.</w:t>
      </w:r>
      <w:r w:rsidRPr="00C60828">
        <w:rPr>
          <w:rFonts w:eastAsia="SimSun"/>
          <w:bCs/>
        </w:rPr>
        <w:t xml:space="preserve"> Column (5) gives the latest date when existing type approvals shall be withdrawn according to 1.8.7.2.4; if no date is shown the type approval remains valid until it expires.</w:t>
      </w:r>
    </w:p>
    <w:p w:rsidR="00C60828" w:rsidRPr="00C60828" w:rsidRDefault="00C60828" w:rsidP="00C60828">
      <w:pPr>
        <w:suppressAutoHyphens w:val="0"/>
        <w:spacing w:line="240" w:lineRule="auto"/>
        <w:ind w:left="1418" w:hanging="1418"/>
        <w:jc w:val="both"/>
        <w:rPr>
          <w:rFonts w:eastAsia="SimSun"/>
          <w:bCs/>
        </w:rPr>
      </w:pPr>
    </w:p>
    <w:p w:rsidR="00C60828" w:rsidRPr="00C60828" w:rsidRDefault="00C60828" w:rsidP="00C60828">
      <w:pPr>
        <w:suppressAutoHyphens w:val="0"/>
        <w:spacing w:line="240" w:lineRule="auto"/>
        <w:ind w:left="1418" w:hanging="1418"/>
        <w:jc w:val="both"/>
        <w:rPr>
          <w:rFonts w:eastAsia="SimSun"/>
          <w:bCs/>
        </w:rPr>
      </w:pPr>
      <w:r w:rsidRPr="00C60828">
        <w:rPr>
          <w:rFonts w:eastAsia="SimSun"/>
          <w:bCs/>
        </w:rPr>
        <w:lastRenderedPageBreak/>
        <w:tab/>
        <w:t>Since 1 January 2009 the use of the referenced standards has been mandatory. Exceptions are dealt with in 6.8.3.7</w:t>
      </w:r>
    </w:p>
    <w:p w:rsidR="00C60828" w:rsidRPr="00C60828" w:rsidRDefault="00C60828" w:rsidP="00C60828">
      <w:pPr>
        <w:suppressAutoHyphens w:val="0"/>
        <w:spacing w:line="240" w:lineRule="auto"/>
        <w:ind w:left="1418" w:hanging="1418"/>
        <w:jc w:val="both"/>
        <w:rPr>
          <w:rFonts w:eastAsia="SimSun"/>
          <w:bCs/>
        </w:rPr>
      </w:pPr>
    </w:p>
    <w:p w:rsidR="00C60828" w:rsidRPr="00C60828" w:rsidRDefault="00C60828" w:rsidP="00C60828">
      <w:pPr>
        <w:suppressAutoHyphens w:val="0"/>
        <w:spacing w:line="240" w:lineRule="auto"/>
        <w:ind w:left="1418" w:hanging="1418"/>
        <w:jc w:val="both"/>
        <w:rPr>
          <w:rFonts w:eastAsia="SimSun"/>
          <w:bCs/>
        </w:rPr>
      </w:pPr>
      <w:r w:rsidRPr="00C60828">
        <w:rPr>
          <w:rFonts w:eastAsia="SimSun"/>
          <w:bCs/>
        </w:rPr>
        <w:tab/>
        <w:t>If more than one standard is referenced for the application of the same requirements, only one of them shall be applied, but in full unless otherwise specified in the table below.</w:t>
      </w:r>
    </w:p>
    <w:p w:rsidR="00C60828" w:rsidRPr="00C60828" w:rsidRDefault="00C60828" w:rsidP="00C60828">
      <w:pPr>
        <w:suppressAutoHyphens w:val="0"/>
        <w:spacing w:line="240" w:lineRule="auto"/>
        <w:ind w:left="1418" w:hanging="1418"/>
        <w:jc w:val="both"/>
        <w:rPr>
          <w:rFonts w:eastAsia="SimSun"/>
          <w:bCs/>
        </w:rPr>
      </w:pPr>
    </w:p>
    <w:p w:rsidR="00C60828" w:rsidRPr="00C60828" w:rsidRDefault="00C60828" w:rsidP="00C60828">
      <w:pPr>
        <w:suppressAutoHyphens w:val="0"/>
        <w:spacing w:line="240" w:lineRule="auto"/>
        <w:ind w:left="1418" w:hanging="1418"/>
        <w:jc w:val="both"/>
        <w:rPr>
          <w:rFonts w:eastAsia="SimSun"/>
          <w:bCs/>
        </w:rPr>
      </w:pPr>
      <w:r w:rsidRPr="00C60828">
        <w:tab/>
        <w:t>The scope of application of each standard is defined in the scope clause of the standard unless otherwise specified in the Table below.</w:t>
      </w:r>
    </w:p>
    <w:p w:rsidR="00C60828" w:rsidRPr="00C60828" w:rsidRDefault="00C60828" w:rsidP="00C60828">
      <w:pPr>
        <w:suppressAutoHyphens w:val="0"/>
        <w:spacing w:line="240" w:lineRule="auto"/>
        <w:ind w:left="1418" w:hanging="1418"/>
        <w:jc w:val="both"/>
        <w:rPr>
          <w:rFonts w:eastAsia="SimSun"/>
          <w:bCs/>
          <w:sz w:val="22"/>
        </w:rPr>
      </w:pPr>
    </w:p>
    <w:tbl>
      <w:tblPr>
        <w:tblW w:w="7740"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2782"/>
        <w:gridCol w:w="1155"/>
        <w:gridCol w:w="1155"/>
        <w:gridCol w:w="1272"/>
      </w:tblGrid>
      <w:tr w:rsidR="00C60828" w:rsidRPr="00C60828" w:rsidTr="00CC6524">
        <w:tblPrEx>
          <w:tblCellMar>
            <w:top w:w="0" w:type="dxa"/>
            <w:bottom w:w="0" w:type="dxa"/>
          </w:tblCellMar>
        </w:tblPrEx>
        <w:trPr>
          <w:trHeight w:val="508"/>
        </w:trPr>
        <w:tc>
          <w:tcPr>
            <w:tcW w:w="889" w:type="pct"/>
            <w:vAlign w:val="center"/>
          </w:tcPr>
          <w:p w:rsidR="00C60828" w:rsidRPr="00C60828" w:rsidRDefault="00C60828" w:rsidP="00C60828">
            <w:pPr>
              <w:keepNext/>
              <w:keepLines/>
              <w:suppressAutoHyphens w:val="0"/>
              <w:spacing w:before="20" w:after="20" w:line="228" w:lineRule="auto"/>
              <w:jc w:val="center"/>
              <w:outlineLvl w:val="6"/>
              <w:rPr>
                <w:bCs/>
                <w:caps/>
                <w:sz w:val="18"/>
                <w:szCs w:val="18"/>
              </w:rPr>
            </w:pPr>
            <w:r w:rsidRPr="00C60828">
              <w:rPr>
                <w:bCs/>
                <w:sz w:val="18"/>
                <w:szCs w:val="18"/>
              </w:rPr>
              <w:t>Reference</w:t>
            </w:r>
          </w:p>
        </w:tc>
        <w:tc>
          <w:tcPr>
            <w:tcW w:w="1797" w:type="pct"/>
            <w:vAlign w:val="center"/>
          </w:tcPr>
          <w:p w:rsidR="00C60828" w:rsidRPr="00C60828" w:rsidRDefault="00C60828" w:rsidP="00C60828">
            <w:pPr>
              <w:keepNext/>
              <w:keepLines/>
              <w:suppressAutoHyphens w:val="0"/>
              <w:spacing w:before="20" w:after="20" w:line="228" w:lineRule="auto"/>
              <w:jc w:val="center"/>
              <w:outlineLvl w:val="5"/>
              <w:rPr>
                <w:bCs/>
                <w:caps/>
                <w:sz w:val="18"/>
                <w:szCs w:val="18"/>
              </w:rPr>
            </w:pPr>
            <w:r w:rsidRPr="00C60828">
              <w:rPr>
                <w:bCs/>
                <w:sz w:val="18"/>
                <w:szCs w:val="18"/>
              </w:rPr>
              <w:t>Title of document</w:t>
            </w:r>
          </w:p>
        </w:tc>
        <w:tc>
          <w:tcPr>
            <w:tcW w:w="746" w:type="pct"/>
            <w:vAlign w:val="center"/>
          </w:tcPr>
          <w:p w:rsidR="00C60828" w:rsidRPr="00C60828" w:rsidRDefault="00C60828" w:rsidP="00C60828">
            <w:pPr>
              <w:keepNext/>
              <w:keepLines/>
              <w:suppressAutoHyphens w:val="0"/>
              <w:spacing w:before="20" w:after="20" w:line="240" w:lineRule="auto"/>
              <w:jc w:val="center"/>
              <w:outlineLvl w:val="5"/>
              <w:rPr>
                <w:bCs/>
                <w:caps/>
                <w:sz w:val="18"/>
                <w:szCs w:val="18"/>
              </w:rPr>
            </w:pPr>
            <w:r w:rsidRPr="00C60828">
              <w:rPr>
                <w:bCs/>
                <w:sz w:val="18"/>
                <w:szCs w:val="18"/>
              </w:rPr>
              <w:t>Applicable sub-sections and paragraphs</w:t>
            </w:r>
          </w:p>
        </w:tc>
        <w:tc>
          <w:tcPr>
            <w:tcW w:w="746" w:type="pct"/>
            <w:vAlign w:val="center"/>
          </w:tcPr>
          <w:p w:rsidR="00C60828" w:rsidRPr="00C60828" w:rsidRDefault="00C60828" w:rsidP="00C60828">
            <w:pPr>
              <w:keepNext/>
              <w:keepLines/>
              <w:suppressAutoHyphens w:val="0"/>
              <w:spacing w:before="20" w:after="20" w:line="240" w:lineRule="auto"/>
              <w:ind w:left="22" w:hanging="22"/>
              <w:jc w:val="center"/>
              <w:rPr>
                <w:sz w:val="18"/>
                <w:szCs w:val="18"/>
              </w:rPr>
            </w:pPr>
            <w:r w:rsidRPr="00C60828">
              <w:rPr>
                <w:sz w:val="18"/>
                <w:szCs w:val="18"/>
              </w:rPr>
              <w:t>Applicable for new type approvals or for renewals</w:t>
            </w:r>
          </w:p>
        </w:tc>
        <w:tc>
          <w:tcPr>
            <w:tcW w:w="822" w:type="pct"/>
            <w:vAlign w:val="center"/>
          </w:tcPr>
          <w:p w:rsidR="00C60828" w:rsidRPr="00C60828" w:rsidRDefault="00C60828" w:rsidP="00C60828">
            <w:pPr>
              <w:keepNext/>
              <w:keepLines/>
              <w:suppressAutoHyphens w:val="0"/>
              <w:spacing w:before="20" w:after="20" w:line="240" w:lineRule="auto"/>
              <w:jc w:val="center"/>
              <w:rPr>
                <w:rFonts w:eastAsia="Batang"/>
                <w:sz w:val="18"/>
                <w:szCs w:val="18"/>
              </w:rPr>
            </w:pPr>
            <w:r w:rsidRPr="00C60828">
              <w:rPr>
                <w:rFonts w:eastAsia="Batang"/>
                <w:sz w:val="18"/>
                <w:szCs w:val="18"/>
              </w:rPr>
              <w:t>Latest date for withdrawal of existing type approvals</w:t>
            </w:r>
          </w:p>
        </w:tc>
      </w:tr>
      <w:tr w:rsidR="00C60828" w:rsidRPr="00C60828" w:rsidTr="00CC6524">
        <w:tblPrEx>
          <w:tblCellMar>
            <w:top w:w="0" w:type="dxa"/>
            <w:bottom w:w="0" w:type="dxa"/>
          </w:tblCellMar>
        </w:tblPrEx>
        <w:trPr>
          <w:trHeight w:val="137"/>
        </w:trPr>
        <w:tc>
          <w:tcPr>
            <w:tcW w:w="889" w:type="pct"/>
          </w:tcPr>
          <w:p w:rsidR="00C60828" w:rsidRPr="00C60828" w:rsidRDefault="00C60828" w:rsidP="00C60828">
            <w:pPr>
              <w:keepNext/>
              <w:keepLines/>
              <w:suppressAutoHyphens w:val="0"/>
              <w:spacing w:before="20" w:after="20" w:line="228" w:lineRule="auto"/>
              <w:jc w:val="center"/>
              <w:outlineLvl w:val="6"/>
              <w:rPr>
                <w:b/>
                <w:bCs/>
                <w:caps/>
                <w:sz w:val="18"/>
                <w:szCs w:val="18"/>
              </w:rPr>
            </w:pPr>
            <w:r w:rsidRPr="00C60828">
              <w:rPr>
                <w:b/>
                <w:bCs/>
                <w:caps/>
                <w:sz w:val="18"/>
                <w:szCs w:val="18"/>
              </w:rPr>
              <w:t>(1)</w:t>
            </w:r>
          </w:p>
        </w:tc>
        <w:tc>
          <w:tcPr>
            <w:tcW w:w="1797" w:type="pct"/>
          </w:tcPr>
          <w:p w:rsidR="00C60828" w:rsidRPr="00C60828" w:rsidRDefault="00C60828" w:rsidP="00C60828">
            <w:pPr>
              <w:keepNext/>
              <w:keepLines/>
              <w:suppressAutoHyphens w:val="0"/>
              <w:spacing w:before="20" w:after="20" w:line="228" w:lineRule="auto"/>
              <w:jc w:val="center"/>
              <w:outlineLvl w:val="5"/>
              <w:rPr>
                <w:bCs/>
                <w:caps/>
                <w:sz w:val="18"/>
                <w:szCs w:val="18"/>
              </w:rPr>
            </w:pPr>
            <w:r w:rsidRPr="00C60828">
              <w:rPr>
                <w:bCs/>
                <w:caps/>
                <w:sz w:val="18"/>
                <w:szCs w:val="18"/>
              </w:rPr>
              <w:t>(2)</w:t>
            </w:r>
          </w:p>
        </w:tc>
        <w:tc>
          <w:tcPr>
            <w:tcW w:w="746" w:type="pct"/>
          </w:tcPr>
          <w:p w:rsidR="00C60828" w:rsidRPr="00C60828" w:rsidRDefault="00C60828" w:rsidP="00C60828">
            <w:pPr>
              <w:keepNext/>
              <w:keepLines/>
              <w:suppressAutoHyphens w:val="0"/>
              <w:spacing w:before="20" w:after="20" w:line="228" w:lineRule="auto"/>
              <w:jc w:val="center"/>
              <w:outlineLvl w:val="5"/>
              <w:rPr>
                <w:bCs/>
                <w:caps/>
                <w:sz w:val="18"/>
                <w:szCs w:val="18"/>
              </w:rPr>
            </w:pPr>
            <w:r w:rsidRPr="00C60828">
              <w:rPr>
                <w:bCs/>
                <w:caps/>
                <w:sz w:val="18"/>
                <w:szCs w:val="18"/>
              </w:rPr>
              <w:t>(3)</w:t>
            </w:r>
          </w:p>
        </w:tc>
        <w:tc>
          <w:tcPr>
            <w:tcW w:w="746" w:type="pct"/>
          </w:tcPr>
          <w:p w:rsidR="00C60828" w:rsidRPr="00C60828" w:rsidRDefault="00C60828" w:rsidP="00C60828">
            <w:pPr>
              <w:keepNext/>
              <w:keepLines/>
              <w:suppressAutoHyphens w:val="0"/>
              <w:spacing w:before="20" w:after="20" w:line="228" w:lineRule="auto"/>
              <w:jc w:val="center"/>
              <w:outlineLvl w:val="5"/>
              <w:rPr>
                <w:bCs/>
                <w:caps/>
                <w:sz w:val="18"/>
                <w:szCs w:val="18"/>
              </w:rPr>
            </w:pPr>
            <w:r w:rsidRPr="00C60828">
              <w:rPr>
                <w:bCs/>
                <w:caps/>
                <w:sz w:val="18"/>
                <w:szCs w:val="18"/>
              </w:rPr>
              <w:t>(4)</w:t>
            </w:r>
          </w:p>
        </w:tc>
        <w:tc>
          <w:tcPr>
            <w:tcW w:w="822" w:type="pct"/>
          </w:tcPr>
          <w:p w:rsidR="00C60828" w:rsidRPr="00C60828" w:rsidRDefault="00C60828" w:rsidP="00C60828">
            <w:pPr>
              <w:keepNext/>
              <w:keepLines/>
              <w:suppressAutoHyphens w:val="0"/>
              <w:spacing w:before="20" w:after="20" w:line="228" w:lineRule="auto"/>
              <w:jc w:val="center"/>
              <w:outlineLvl w:val="5"/>
              <w:rPr>
                <w:bCs/>
                <w:caps/>
                <w:sz w:val="18"/>
                <w:szCs w:val="18"/>
              </w:rPr>
            </w:pPr>
            <w:r w:rsidRPr="00C60828">
              <w:rPr>
                <w:bCs/>
                <w:caps/>
                <w:sz w:val="18"/>
                <w:szCs w:val="18"/>
              </w:rPr>
              <w:t>(5)</w:t>
            </w:r>
          </w:p>
        </w:tc>
      </w:tr>
      <w:tr w:rsidR="00C60828" w:rsidRPr="00C60828" w:rsidTr="00CC6524">
        <w:tblPrEx>
          <w:tblCellMar>
            <w:top w:w="0" w:type="dxa"/>
            <w:bottom w:w="0" w:type="dxa"/>
          </w:tblCellMar>
        </w:tblPrEx>
        <w:trPr>
          <w:trHeight w:val="1088"/>
        </w:trPr>
        <w:tc>
          <w:tcPr>
            <w:tcW w:w="889" w:type="pct"/>
          </w:tcPr>
          <w:p w:rsidR="00C60828" w:rsidRPr="00C60828" w:rsidRDefault="00C60828" w:rsidP="00C60828">
            <w:pPr>
              <w:keepNext/>
              <w:keepLines/>
              <w:tabs>
                <w:tab w:val="left" w:pos="6663"/>
              </w:tabs>
              <w:suppressAutoHyphens w:val="0"/>
              <w:spacing w:before="20" w:after="20" w:line="240" w:lineRule="auto"/>
              <w:rPr>
                <w:sz w:val="18"/>
                <w:szCs w:val="18"/>
              </w:rPr>
            </w:pPr>
            <w:r w:rsidRPr="00C60828">
              <w:rPr>
                <w:sz w:val="18"/>
                <w:szCs w:val="18"/>
              </w:rPr>
              <w:t>EN 13807:2003</w:t>
            </w:r>
          </w:p>
        </w:tc>
        <w:tc>
          <w:tcPr>
            <w:tcW w:w="1797" w:type="pct"/>
          </w:tcPr>
          <w:p w:rsidR="00C60828" w:rsidRDefault="00C60828" w:rsidP="00C60828">
            <w:pPr>
              <w:keepNext/>
              <w:keepLines/>
              <w:tabs>
                <w:tab w:val="center" w:pos="4320"/>
                <w:tab w:val="left" w:pos="6663"/>
                <w:tab w:val="right" w:pos="8640"/>
              </w:tabs>
              <w:suppressAutoHyphens w:val="0"/>
              <w:spacing w:before="20" w:after="20" w:line="240" w:lineRule="auto"/>
              <w:rPr>
                <w:sz w:val="18"/>
                <w:szCs w:val="18"/>
              </w:rPr>
            </w:pPr>
            <w:r w:rsidRPr="00C60828">
              <w:rPr>
                <w:sz w:val="18"/>
                <w:szCs w:val="18"/>
              </w:rPr>
              <w:t>Transportable gas cylinders – Battery vehicles – Design, manufacture, identification and testing</w:t>
            </w:r>
          </w:p>
          <w:p w:rsidR="00C60828" w:rsidRDefault="00C60828" w:rsidP="00C60828">
            <w:pPr>
              <w:keepNext/>
              <w:keepLines/>
              <w:tabs>
                <w:tab w:val="center" w:pos="4320"/>
                <w:tab w:val="left" w:pos="6663"/>
                <w:tab w:val="right" w:pos="8640"/>
              </w:tabs>
              <w:suppressAutoHyphens w:val="0"/>
              <w:spacing w:before="20" w:after="20" w:line="240" w:lineRule="auto"/>
              <w:rPr>
                <w:sz w:val="18"/>
                <w:szCs w:val="18"/>
              </w:rPr>
            </w:pPr>
          </w:p>
          <w:p w:rsidR="00C60828" w:rsidRDefault="00C60828" w:rsidP="00C60828">
            <w:r>
              <w:t>Note: where appropriate this standard may be applied to MEGCs which consist of pressure receptacles.</w:t>
            </w:r>
          </w:p>
          <w:p w:rsidR="00C60828" w:rsidRPr="00C60828" w:rsidRDefault="00C60828" w:rsidP="00C60828">
            <w:pPr>
              <w:keepNext/>
              <w:keepLines/>
              <w:tabs>
                <w:tab w:val="center" w:pos="4320"/>
                <w:tab w:val="left" w:pos="6663"/>
                <w:tab w:val="right" w:pos="8640"/>
              </w:tabs>
              <w:suppressAutoHyphens w:val="0"/>
              <w:spacing w:before="20" w:after="20" w:line="240" w:lineRule="auto"/>
              <w:rPr>
                <w:sz w:val="18"/>
                <w:szCs w:val="18"/>
              </w:rPr>
            </w:pPr>
          </w:p>
        </w:tc>
        <w:tc>
          <w:tcPr>
            <w:tcW w:w="746" w:type="pct"/>
          </w:tcPr>
          <w:p w:rsidR="00C60828" w:rsidRPr="00C60828" w:rsidRDefault="00C60828" w:rsidP="00C60828">
            <w:pPr>
              <w:keepNext/>
              <w:keepLines/>
              <w:suppressAutoHyphens w:val="0"/>
              <w:spacing w:before="20" w:after="20" w:line="240" w:lineRule="auto"/>
              <w:rPr>
                <w:sz w:val="18"/>
                <w:szCs w:val="18"/>
              </w:rPr>
            </w:pPr>
            <w:r w:rsidRPr="00C60828">
              <w:rPr>
                <w:sz w:val="18"/>
                <w:szCs w:val="18"/>
              </w:rPr>
              <w:t>6.8.3.1.4 and 6.8.3.1.5, 6.8.3.2.18 to 6.8.3.2.26, 6.8.3.4.10 to 6.8.3.4.12 and 6.8.3.5.10 to 6.8.3.5.13</w:t>
            </w:r>
          </w:p>
        </w:tc>
        <w:tc>
          <w:tcPr>
            <w:tcW w:w="746" w:type="pct"/>
            <w:vAlign w:val="center"/>
          </w:tcPr>
          <w:p w:rsidR="00C60828" w:rsidRPr="00C60828" w:rsidRDefault="00C60828" w:rsidP="00C60828">
            <w:pPr>
              <w:keepNext/>
              <w:keepLines/>
              <w:suppressAutoHyphens w:val="0"/>
              <w:spacing w:before="20" w:after="20" w:line="240" w:lineRule="auto"/>
              <w:jc w:val="center"/>
              <w:rPr>
                <w:sz w:val="18"/>
                <w:szCs w:val="18"/>
              </w:rPr>
            </w:pPr>
            <w:r w:rsidRPr="00C60828">
              <w:rPr>
                <w:sz w:val="18"/>
                <w:szCs w:val="18"/>
              </w:rPr>
              <w:t>Until further notice</w:t>
            </w:r>
          </w:p>
        </w:tc>
        <w:tc>
          <w:tcPr>
            <w:tcW w:w="822" w:type="pct"/>
            <w:vAlign w:val="center"/>
          </w:tcPr>
          <w:p w:rsidR="00C60828" w:rsidRPr="00C60828" w:rsidRDefault="00C60828" w:rsidP="00C60828">
            <w:pPr>
              <w:keepNext/>
              <w:keepLines/>
              <w:suppressAutoHyphens w:val="0"/>
              <w:spacing w:before="20" w:after="20" w:line="240" w:lineRule="auto"/>
              <w:jc w:val="center"/>
              <w:rPr>
                <w:sz w:val="18"/>
                <w:szCs w:val="18"/>
              </w:rPr>
            </w:pPr>
          </w:p>
        </w:tc>
      </w:tr>
    </w:tbl>
    <w:p w:rsidR="00C60828" w:rsidRDefault="00C60828" w:rsidP="00AA2178">
      <w:pPr>
        <w:ind w:left="1134" w:right="1133"/>
        <w:jc w:val="both"/>
      </w:pPr>
    </w:p>
    <w:p w:rsidR="00C60828" w:rsidRDefault="00C60828" w:rsidP="00AA2178">
      <w:pPr>
        <w:ind w:left="1134" w:right="1133"/>
        <w:jc w:val="both"/>
      </w:pPr>
    </w:p>
    <w:p w:rsidR="00C60828" w:rsidRDefault="00C60828" w:rsidP="00AA2178">
      <w:pPr>
        <w:ind w:left="1134" w:right="1133"/>
        <w:jc w:val="both"/>
      </w:pPr>
    </w:p>
    <w:p w:rsidR="00916A7D" w:rsidRPr="00916A7D" w:rsidRDefault="00916A7D" w:rsidP="00457D51">
      <w:pPr>
        <w:ind w:left="1134" w:right="1133"/>
        <w:jc w:val="both"/>
        <w:rPr>
          <w:b/>
        </w:rPr>
      </w:pPr>
      <w:r w:rsidRPr="00916A7D">
        <w:rPr>
          <w:b/>
        </w:rPr>
        <w:t>Proposal:</w:t>
      </w:r>
      <w:r w:rsidR="00457D51">
        <w:rPr>
          <w:b/>
        </w:rPr>
        <w:t xml:space="preserve"> 9</w:t>
      </w:r>
    </w:p>
    <w:p w:rsidR="00C60828" w:rsidRDefault="00916A7D" w:rsidP="009F7765">
      <w:pPr>
        <w:ind w:left="1134" w:right="1133"/>
        <w:jc w:val="both"/>
      </w:pPr>
      <w:r>
        <w:t>For</w:t>
      </w:r>
      <w:r w:rsidR="00C60828">
        <w:t xml:space="preserve"> ADR </w:t>
      </w:r>
      <w:r>
        <w:t>introduce a note in column 2 of the table in 6.8.3.6 to read: (new wording in bold italic script)</w:t>
      </w:r>
    </w:p>
    <w:p w:rsidR="00916A7D" w:rsidRDefault="00916A7D" w:rsidP="00AA2178">
      <w:pPr>
        <w:ind w:left="1134" w:right="1133"/>
        <w:jc w:val="both"/>
      </w:pPr>
    </w:p>
    <w:tbl>
      <w:tblPr>
        <w:tblW w:w="7936"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2"/>
        <w:gridCol w:w="2851"/>
        <w:gridCol w:w="1184"/>
        <w:gridCol w:w="1184"/>
        <w:gridCol w:w="1305"/>
      </w:tblGrid>
      <w:tr w:rsidR="00094AB6" w:rsidRPr="00094AB6" w:rsidTr="00CC6524">
        <w:tblPrEx>
          <w:tblCellMar>
            <w:top w:w="0" w:type="dxa"/>
            <w:bottom w:w="0" w:type="dxa"/>
          </w:tblCellMar>
        </w:tblPrEx>
        <w:trPr>
          <w:trHeight w:val="613"/>
        </w:trPr>
        <w:tc>
          <w:tcPr>
            <w:tcW w:w="890" w:type="pct"/>
            <w:vAlign w:val="center"/>
          </w:tcPr>
          <w:p w:rsidR="00094AB6" w:rsidRPr="00094AB6" w:rsidRDefault="00094AB6" w:rsidP="00094AB6">
            <w:pPr>
              <w:keepNext/>
              <w:keepLines/>
              <w:suppressAutoHyphens w:val="0"/>
              <w:spacing w:before="20" w:after="20" w:line="228" w:lineRule="auto"/>
              <w:jc w:val="center"/>
              <w:outlineLvl w:val="6"/>
              <w:rPr>
                <w:bCs/>
                <w:caps/>
                <w:sz w:val="18"/>
                <w:szCs w:val="18"/>
              </w:rPr>
            </w:pPr>
            <w:r w:rsidRPr="00094AB6">
              <w:rPr>
                <w:bCs/>
                <w:sz w:val="18"/>
                <w:szCs w:val="18"/>
              </w:rPr>
              <w:t>Reference</w:t>
            </w:r>
          </w:p>
        </w:tc>
        <w:tc>
          <w:tcPr>
            <w:tcW w:w="1796" w:type="pct"/>
            <w:vAlign w:val="center"/>
          </w:tcPr>
          <w:p w:rsidR="00094AB6" w:rsidRPr="00094AB6" w:rsidRDefault="00094AB6" w:rsidP="00094AB6">
            <w:pPr>
              <w:keepNext/>
              <w:keepLines/>
              <w:suppressAutoHyphens w:val="0"/>
              <w:spacing w:before="20" w:after="20" w:line="228" w:lineRule="auto"/>
              <w:jc w:val="center"/>
              <w:outlineLvl w:val="5"/>
              <w:rPr>
                <w:bCs/>
                <w:caps/>
                <w:sz w:val="18"/>
                <w:szCs w:val="18"/>
              </w:rPr>
            </w:pPr>
            <w:r w:rsidRPr="00094AB6">
              <w:rPr>
                <w:bCs/>
                <w:sz w:val="18"/>
                <w:szCs w:val="18"/>
              </w:rPr>
              <w:t>Title of document</w:t>
            </w:r>
          </w:p>
        </w:tc>
        <w:tc>
          <w:tcPr>
            <w:tcW w:w="746" w:type="pct"/>
            <w:vAlign w:val="center"/>
          </w:tcPr>
          <w:p w:rsidR="00094AB6" w:rsidRPr="00094AB6" w:rsidRDefault="00094AB6" w:rsidP="00094AB6">
            <w:pPr>
              <w:keepNext/>
              <w:keepLines/>
              <w:suppressAutoHyphens w:val="0"/>
              <w:spacing w:before="20" w:after="20" w:line="240" w:lineRule="auto"/>
              <w:jc w:val="center"/>
              <w:outlineLvl w:val="5"/>
              <w:rPr>
                <w:bCs/>
                <w:caps/>
                <w:sz w:val="18"/>
                <w:szCs w:val="18"/>
              </w:rPr>
            </w:pPr>
            <w:r w:rsidRPr="00094AB6">
              <w:rPr>
                <w:bCs/>
                <w:sz w:val="18"/>
                <w:szCs w:val="18"/>
              </w:rPr>
              <w:t>Applicable sub-sections and paragraphs</w:t>
            </w:r>
          </w:p>
        </w:tc>
        <w:tc>
          <w:tcPr>
            <w:tcW w:w="746" w:type="pct"/>
            <w:vAlign w:val="center"/>
          </w:tcPr>
          <w:p w:rsidR="00094AB6" w:rsidRPr="00094AB6" w:rsidRDefault="00094AB6" w:rsidP="00094AB6">
            <w:pPr>
              <w:keepNext/>
              <w:keepLines/>
              <w:suppressAutoHyphens w:val="0"/>
              <w:spacing w:before="20" w:after="20" w:line="240" w:lineRule="auto"/>
              <w:ind w:left="22" w:hanging="22"/>
              <w:jc w:val="center"/>
              <w:rPr>
                <w:sz w:val="18"/>
                <w:szCs w:val="18"/>
              </w:rPr>
            </w:pPr>
            <w:r w:rsidRPr="00094AB6">
              <w:rPr>
                <w:sz w:val="18"/>
                <w:szCs w:val="18"/>
              </w:rPr>
              <w:t>Applicable for new type approvals or for renewals</w:t>
            </w:r>
          </w:p>
        </w:tc>
        <w:tc>
          <w:tcPr>
            <w:tcW w:w="822" w:type="pct"/>
            <w:vAlign w:val="center"/>
          </w:tcPr>
          <w:p w:rsidR="00094AB6" w:rsidRPr="00094AB6" w:rsidRDefault="00094AB6" w:rsidP="00094AB6">
            <w:pPr>
              <w:keepNext/>
              <w:keepLines/>
              <w:suppressAutoHyphens w:val="0"/>
              <w:spacing w:before="20" w:after="20" w:line="240" w:lineRule="auto"/>
              <w:jc w:val="center"/>
              <w:rPr>
                <w:rFonts w:eastAsia="Batang"/>
                <w:sz w:val="18"/>
                <w:szCs w:val="18"/>
              </w:rPr>
            </w:pPr>
            <w:r w:rsidRPr="00094AB6">
              <w:rPr>
                <w:rFonts w:eastAsia="Batang"/>
                <w:sz w:val="18"/>
                <w:szCs w:val="18"/>
              </w:rPr>
              <w:t>Latest date for withdrawal of existing type approvals</w:t>
            </w:r>
          </w:p>
        </w:tc>
      </w:tr>
      <w:tr w:rsidR="00094AB6" w:rsidRPr="00094AB6" w:rsidTr="00CC6524">
        <w:tblPrEx>
          <w:tblCellMar>
            <w:top w:w="0" w:type="dxa"/>
            <w:bottom w:w="0" w:type="dxa"/>
          </w:tblCellMar>
        </w:tblPrEx>
        <w:trPr>
          <w:trHeight w:val="165"/>
        </w:trPr>
        <w:tc>
          <w:tcPr>
            <w:tcW w:w="890" w:type="pct"/>
          </w:tcPr>
          <w:p w:rsidR="00094AB6" w:rsidRPr="00094AB6" w:rsidRDefault="00094AB6" w:rsidP="00094AB6">
            <w:pPr>
              <w:keepNext/>
              <w:keepLines/>
              <w:suppressAutoHyphens w:val="0"/>
              <w:spacing w:before="20" w:after="20" w:line="228" w:lineRule="auto"/>
              <w:jc w:val="center"/>
              <w:outlineLvl w:val="6"/>
              <w:rPr>
                <w:b/>
                <w:bCs/>
                <w:caps/>
                <w:sz w:val="18"/>
                <w:szCs w:val="18"/>
              </w:rPr>
            </w:pPr>
            <w:r w:rsidRPr="00094AB6">
              <w:rPr>
                <w:b/>
                <w:bCs/>
                <w:caps/>
                <w:sz w:val="18"/>
                <w:szCs w:val="18"/>
              </w:rPr>
              <w:t>(1)</w:t>
            </w:r>
          </w:p>
        </w:tc>
        <w:tc>
          <w:tcPr>
            <w:tcW w:w="1796" w:type="pct"/>
          </w:tcPr>
          <w:p w:rsidR="00094AB6" w:rsidRPr="00094AB6" w:rsidRDefault="00094AB6" w:rsidP="00094AB6">
            <w:pPr>
              <w:keepNext/>
              <w:keepLines/>
              <w:suppressAutoHyphens w:val="0"/>
              <w:spacing w:before="20" w:after="20" w:line="228" w:lineRule="auto"/>
              <w:jc w:val="center"/>
              <w:outlineLvl w:val="5"/>
              <w:rPr>
                <w:bCs/>
                <w:caps/>
                <w:sz w:val="18"/>
                <w:szCs w:val="18"/>
              </w:rPr>
            </w:pPr>
            <w:r w:rsidRPr="00094AB6">
              <w:rPr>
                <w:bCs/>
                <w:caps/>
                <w:sz w:val="18"/>
                <w:szCs w:val="18"/>
              </w:rPr>
              <w:t>(2)</w:t>
            </w:r>
          </w:p>
        </w:tc>
        <w:tc>
          <w:tcPr>
            <w:tcW w:w="746" w:type="pct"/>
          </w:tcPr>
          <w:p w:rsidR="00094AB6" w:rsidRPr="00094AB6" w:rsidRDefault="00094AB6" w:rsidP="00094AB6">
            <w:pPr>
              <w:keepNext/>
              <w:keepLines/>
              <w:suppressAutoHyphens w:val="0"/>
              <w:spacing w:before="20" w:after="20" w:line="228" w:lineRule="auto"/>
              <w:jc w:val="center"/>
              <w:outlineLvl w:val="5"/>
              <w:rPr>
                <w:bCs/>
                <w:caps/>
                <w:sz w:val="18"/>
                <w:szCs w:val="18"/>
              </w:rPr>
            </w:pPr>
            <w:r w:rsidRPr="00094AB6">
              <w:rPr>
                <w:bCs/>
                <w:caps/>
                <w:sz w:val="18"/>
                <w:szCs w:val="18"/>
              </w:rPr>
              <w:t>(3)</w:t>
            </w:r>
          </w:p>
        </w:tc>
        <w:tc>
          <w:tcPr>
            <w:tcW w:w="746" w:type="pct"/>
          </w:tcPr>
          <w:p w:rsidR="00094AB6" w:rsidRPr="00094AB6" w:rsidRDefault="00094AB6" w:rsidP="00094AB6">
            <w:pPr>
              <w:keepNext/>
              <w:keepLines/>
              <w:suppressAutoHyphens w:val="0"/>
              <w:spacing w:before="20" w:after="20" w:line="228" w:lineRule="auto"/>
              <w:jc w:val="center"/>
              <w:outlineLvl w:val="5"/>
              <w:rPr>
                <w:bCs/>
                <w:caps/>
                <w:sz w:val="18"/>
                <w:szCs w:val="18"/>
              </w:rPr>
            </w:pPr>
            <w:r w:rsidRPr="00094AB6">
              <w:rPr>
                <w:bCs/>
                <w:caps/>
                <w:sz w:val="18"/>
                <w:szCs w:val="18"/>
              </w:rPr>
              <w:t>(4)</w:t>
            </w:r>
          </w:p>
        </w:tc>
        <w:tc>
          <w:tcPr>
            <w:tcW w:w="822" w:type="pct"/>
          </w:tcPr>
          <w:p w:rsidR="00094AB6" w:rsidRPr="00094AB6" w:rsidRDefault="00094AB6" w:rsidP="00094AB6">
            <w:pPr>
              <w:keepNext/>
              <w:keepLines/>
              <w:suppressAutoHyphens w:val="0"/>
              <w:spacing w:before="20" w:after="20" w:line="228" w:lineRule="auto"/>
              <w:jc w:val="center"/>
              <w:outlineLvl w:val="5"/>
              <w:rPr>
                <w:bCs/>
                <w:caps/>
                <w:sz w:val="18"/>
                <w:szCs w:val="18"/>
              </w:rPr>
            </w:pPr>
            <w:r w:rsidRPr="00094AB6">
              <w:rPr>
                <w:bCs/>
                <w:caps/>
                <w:sz w:val="18"/>
                <w:szCs w:val="18"/>
              </w:rPr>
              <w:t>(5)</w:t>
            </w:r>
          </w:p>
        </w:tc>
      </w:tr>
      <w:tr w:rsidR="00094AB6" w:rsidRPr="00094AB6" w:rsidTr="00CC6524">
        <w:tblPrEx>
          <w:tblCellMar>
            <w:top w:w="0" w:type="dxa"/>
            <w:bottom w:w="0" w:type="dxa"/>
          </w:tblCellMar>
        </w:tblPrEx>
        <w:trPr>
          <w:trHeight w:val="1312"/>
        </w:trPr>
        <w:tc>
          <w:tcPr>
            <w:tcW w:w="890" w:type="pct"/>
          </w:tcPr>
          <w:p w:rsidR="00094AB6" w:rsidRPr="00094AB6" w:rsidRDefault="00094AB6" w:rsidP="00094AB6">
            <w:pPr>
              <w:keepNext/>
              <w:keepLines/>
              <w:tabs>
                <w:tab w:val="left" w:pos="6663"/>
              </w:tabs>
              <w:suppressAutoHyphens w:val="0"/>
              <w:spacing w:before="20" w:after="20" w:line="240" w:lineRule="auto"/>
              <w:rPr>
                <w:sz w:val="18"/>
                <w:szCs w:val="18"/>
              </w:rPr>
            </w:pPr>
            <w:r w:rsidRPr="00094AB6">
              <w:rPr>
                <w:sz w:val="18"/>
                <w:szCs w:val="18"/>
              </w:rPr>
              <w:t>EN 13807:2003</w:t>
            </w:r>
          </w:p>
        </w:tc>
        <w:tc>
          <w:tcPr>
            <w:tcW w:w="1796" w:type="pct"/>
          </w:tcPr>
          <w:p w:rsidR="00094AB6" w:rsidRDefault="00094AB6" w:rsidP="00094AB6">
            <w:pPr>
              <w:keepNext/>
              <w:keepLines/>
              <w:tabs>
                <w:tab w:val="center" w:pos="4320"/>
                <w:tab w:val="left" w:pos="6663"/>
                <w:tab w:val="right" w:pos="8640"/>
              </w:tabs>
              <w:suppressAutoHyphens w:val="0"/>
              <w:spacing w:before="20" w:after="20" w:line="240" w:lineRule="auto"/>
              <w:rPr>
                <w:sz w:val="18"/>
                <w:szCs w:val="18"/>
              </w:rPr>
            </w:pPr>
            <w:r w:rsidRPr="00094AB6">
              <w:rPr>
                <w:sz w:val="18"/>
                <w:szCs w:val="18"/>
              </w:rPr>
              <w:t>Transportable gas cylinders – Battery vehicles – Design, manufacture, identification and testing</w:t>
            </w:r>
            <w:r w:rsidR="00C60828">
              <w:rPr>
                <w:sz w:val="18"/>
                <w:szCs w:val="18"/>
              </w:rPr>
              <w:t>.</w:t>
            </w:r>
          </w:p>
          <w:p w:rsidR="00C60828" w:rsidRDefault="00C60828" w:rsidP="00094AB6">
            <w:pPr>
              <w:keepNext/>
              <w:keepLines/>
              <w:tabs>
                <w:tab w:val="center" w:pos="4320"/>
                <w:tab w:val="left" w:pos="6663"/>
                <w:tab w:val="right" w:pos="8640"/>
              </w:tabs>
              <w:suppressAutoHyphens w:val="0"/>
              <w:spacing w:before="20" w:after="20" w:line="240" w:lineRule="auto"/>
              <w:rPr>
                <w:sz w:val="18"/>
                <w:szCs w:val="18"/>
              </w:rPr>
            </w:pPr>
          </w:p>
          <w:p w:rsidR="00C60828" w:rsidRPr="00C60828" w:rsidRDefault="00C60828" w:rsidP="00C60828">
            <w:pPr>
              <w:rPr>
                <w:b/>
                <w:i/>
              </w:rPr>
            </w:pPr>
            <w:r w:rsidRPr="00C60828">
              <w:rPr>
                <w:b/>
                <w:i/>
              </w:rPr>
              <w:t>Note: where appropriate this standard may also be applied to MEGCs which consist of pressure receptacles.</w:t>
            </w:r>
          </w:p>
          <w:p w:rsidR="00C60828" w:rsidRPr="00094AB6" w:rsidRDefault="00C60828" w:rsidP="00094AB6">
            <w:pPr>
              <w:keepNext/>
              <w:keepLines/>
              <w:tabs>
                <w:tab w:val="center" w:pos="4320"/>
                <w:tab w:val="left" w:pos="6663"/>
                <w:tab w:val="right" w:pos="8640"/>
              </w:tabs>
              <w:suppressAutoHyphens w:val="0"/>
              <w:spacing w:before="20" w:after="20" w:line="240" w:lineRule="auto"/>
              <w:rPr>
                <w:sz w:val="18"/>
                <w:szCs w:val="18"/>
              </w:rPr>
            </w:pPr>
          </w:p>
        </w:tc>
        <w:tc>
          <w:tcPr>
            <w:tcW w:w="746" w:type="pct"/>
          </w:tcPr>
          <w:p w:rsidR="00094AB6" w:rsidRPr="00094AB6" w:rsidRDefault="00094AB6" w:rsidP="00094AB6">
            <w:pPr>
              <w:keepNext/>
              <w:keepLines/>
              <w:suppressAutoHyphens w:val="0"/>
              <w:spacing w:before="20" w:after="20" w:line="240" w:lineRule="auto"/>
              <w:rPr>
                <w:sz w:val="18"/>
                <w:szCs w:val="18"/>
              </w:rPr>
            </w:pPr>
            <w:r w:rsidRPr="00094AB6">
              <w:rPr>
                <w:sz w:val="18"/>
                <w:szCs w:val="18"/>
              </w:rPr>
              <w:t>6.8.3.1.4 and 6.8.3.1.5, 6.8.3.2.18 to 6.8.3.2.26, 6.8.3.4.10 to 6.8.3.4.12 and 6.8.3.5.10 to 6.8.3.5.13</w:t>
            </w:r>
          </w:p>
        </w:tc>
        <w:tc>
          <w:tcPr>
            <w:tcW w:w="746" w:type="pct"/>
            <w:vAlign w:val="center"/>
          </w:tcPr>
          <w:p w:rsidR="00094AB6" w:rsidRPr="00094AB6" w:rsidRDefault="00094AB6" w:rsidP="00094AB6">
            <w:pPr>
              <w:keepNext/>
              <w:keepLines/>
              <w:suppressAutoHyphens w:val="0"/>
              <w:spacing w:before="20" w:after="20" w:line="240" w:lineRule="auto"/>
              <w:jc w:val="center"/>
              <w:rPr>
                <w:sz w:val="18"/>
                <w:szCs w:val="18"/>
              </w:rPr>
            </w:pPr>
            <w:r w:rsidRPr="00094AB6">
              <w:rPr>
                <w:sz w:val="18"/>
                <w:szCs w:val="18"/>
              </w:rPr>
              <w:t>Until further notice</w:t>
            </w:r>
          </w:p>
        </w:tc>
        <w:tc>
          <w:tcPr>
            <w:tcW w:w="822" w:type="pct"/>
            <w:vAlign w:val="center"/>
          </w:tcPr>
          <w:p w:rsidR="00094AB6" w:rsidRPr="00094AB6" w:rsidRDefault="00094AB6" w:rsidP="00094AB6">
            <w:pPr>
              <w:keepNext/>
              <w:keepLines/>
              <w:suppressAutoHyphens w:val="0"/>
              <w:spacing w:before="20" w:after="20" w:line="240" w:lineRule="auto"/>
              <w:jc w:val="center"/>
              <w:rPr>
                <w:sz w:val="18"/>
                <w:szCs w:val="18"/>
              </w:rPr>
            </w:pPr>
          </w:p>
        </w:tc>
      </w:tr>
    </w:tbl>
    <w:p w:rsidR="00094AB6" w:rsidRPr="007C26C3" w:rsidRDefault="00094AB6" w:rsidP="00AA2178">
      <w:pPr>
        <w:ind w:left="1134" w:right="1133"/>
        <w:jc w:val="both"/>
      </w:pPr>
    </w:p>
    <w:p w:rsidR="00155EE4" w:rsidRDefault="00155EE4" w:rsidP="00AA2178">
      <w:pPr>
        <w:ind w:left="1134" w:right="1133"/>
        <w:jc w:val="both"/>
        <w:rPr>
          <w:b/>
          <w:sz w:val="24"/>
          <w:szCs w:val="24"/>
          <w:lang w:val="es-ES"/>
        </w:rPr>
      </w:pPr>
    </w:p>
    <w:p w:rsidR="00155EE4" w:rsidRDefault="00155EE4" w:rsidP="00AA2178">
      <w:pPr>
        <w:ind w:left="1134" w:right="1133"/>
        <w:jc w:val="both"/>
        <w:rPr>
          <w:b/>
          <w:sz w:val="24"/>
          <w:szCs w:val="24"/>
        </w:rPr>
      </w:pPr>
      <w:r w:rsidRPr="007A69D5">
        <w:rPr>
          <w:b/>
          <w:sz w:val="24"/>
          <w:szCs w:val="24"/>
        </w:rPr>
        <w:t xml:space="preserve">Item </w:t>
      </w:r>
      <w:r w:rsidR="00BB39A7">
        <w:rPr>
          <w:b/>
          <w:sz w:val="24"/>
          <w:szCs w:val="24"/>
        </w:rPr>
        <w:t>12</w:t>
      </w:r>
      <w:r w:rsidRPr="007A69D5">
        <w:rPr>
          <w:b/>
          <w:sz w:val="24"/>
          <w:szCs w:val="24"/>
        </w:rPr>
        <w:t xml:space="preserve">: </w:t>
      </w:r>
      <w:r>
        <w:rPr>
          <w:b/>
          <w:sz w:val="24"/>
          <w:szCs w:val="24"/>
        </w:rPr>
        <w:t xml:space="preserve">INF 22 </w:t>
      </w:r>
      <w:r w:rsidRPr="007A69D5">
        <w:rPr>
          <w:b/>
          <w:sz w:val="24"/>
          <w:szCs w:val="24"/>
        </w:rPr>
        <w:t>(</w:t>
      </w:r>
      <w:r>
        <w:rPr>
          <w:b/>
          <w:sz w:val="24"/>
          <w:szCs w:val="24"/>
        </w:rPr>
        <w:t>Switzerland</w:t>
      </w:r>
      <w:r w:rsidRPr="007A69D5">
        <w:rPr>
          <w:b/>
          <w:sz w:val="24"/>
          <w:szCs w:val="24"/>
        </w:rPr>
        <w:t xml:space="preserve">) – </w:t>
      </w:r>
      <w:r>
        <w:rPr>
          <w:b/>
          <w:sz w:val="24"/>
          <w:szCs w:val="24"/>
        </w:rPr>
        <w:t>Clarification of the definition of the “Maximum working pressure” of a tank.</w:t>
      </w:r>
    </w:p>
    <w:p w:rsidR="00155EE4" w:rsidRDefault="00155EE4" w:rsidP="00AA2178">
      <w:pPr>
        <w:ind w:left="1134" w:right="1133"/>
        <w:jc w:val="both"/>
        <w:rPr>
          <w:b/>
          <w:sz w:val="24"/>
          <w:szCs w:val="24"/>
        </w:rPr>
      </w:pPr>
    </w:p>
    <w:p w:rsidR="00912CD9" w:rsidRDefault="00457D51" w:rsidP="00457D51">
      <w:pPr>
        <w:tabs>
          <w:tab w:val="left" w:pos="720"/>
        </w:tabs>
        <w:spacing w:line="228" w:lineRule="auto"/>
        <w:ind w:left="1134"/>
      </w:pPr>
      <w:r>
        <w:t>34.</w:t>
      </w:r>
      <w:r>
        <w:tab/>
      </w:r>
      <w:r w:rsidR="00155EE4" w:rsidRPr="00573DDF">
        <w:t>The purpose of this document is to raise awareness that different interpret</w:t>
      </w:r>
      <w:r w:rsidR="00912CD9" w:rsidRPr="00573DDF">
        <w:t>a</w:t>
      </w:r>
      <w:r w:rsidR="00155EE4" w:rsidRPr="00573DDF">
        <w:t xml:space="preserve">tions can be made on the definition of maximum working pressure in 1.2.1. </w:t>
      </w:r>
      <w:r w:rsidR="00912CD9" w:rsidRPr="00573DDF">
        <w:t>This is in particular hindering development of standards in CEN TC 296.</w:t>
      </w:r>
    </w:p>
    <w:p w:rsidR="004E694E" w:rsidRPr="00573DDF" w:rsidRDefault="004E694E" w:rsidP="00457D51">
      <w:pPr>
        <w:tabs>
          <w:tab w:val="left" w:pos="720"/>
        </w:tabs>
        <w:spacing w:line="228" w:lineRule="auto"/>
        <w:ind w:left="1134"/>
      </w:pPr>
    </w:p>
    <w:p w:rsidR="00155EE4" w:rsidRPr="00573DDF" w:rsidRDefault="004E694E" w:rsidP="004E694E">
      <w:pPr>
        <w:tabs>
          <w:tab w:val="left" w:pos="720"/>
        </w:tabs>
        <w:spacing w:line="228" w:lineRule="auto"/>
        <w:ind w:left="1134"/>
      </w:pPr>
      <w:r>
        <w:lastRenderedPageBreak/>
        <w:t>35.</w:t>
      </w:r>
      <w:r>
        <w:tab/>
      </w:r>
      <w:r w:rsidR="00912CD9" w:rsidRPr="00573DDF">
        <w:t xml:space="preserve">The issue is the place in the tank where the maximum working pressure is to be taken. Particularly for tanks of 6.8.2.1.14 (a) with a calculation pressure of twice the static pressure of the substance to be carried but not less than twice the static pressure of water, this is of importance as the pressure at the lowest point of the tank due to the substance carried is substantial in relation to the opening pressure of the breather device. </w:t>
      </w:r>
    </w:p>
    <w:p w:rsidR="00912CD9" w:rsidRPr="00573DDF" w:rsidRDefault="00912CD9" w:rsidP="00573DDF">
      <w:pPr>
        <w:tabs>
          <w:tab w:val="left" w:pos="720"/>
        </w:tabs>
        <w:spacing w:line="228" w:lineRule="auto"/>
        <w:ind w:left="1134"/>
      </w:pPr>
    </w:p>
    <w:p w:rsidR="00DE51D0" w:rsidRDefault="004E694E" w:rsidP="00162D8C">
      <w:pPr>
        <w:tabs>
          <w:tab w:val="left" w:pos="720"/>
        </w:tabs>
        <w:spacing w:line="228" w:lineRule="auto"/>
        <w:ind w:left="1134"/>
      </w:pPr>
      <w:r>
        <w:t>36.</w:t>
      </w:r>
      <w:r>
        <w:tab/>
      </w:r>
      <w:r w:rsidR="00912CD9" w:rsidRPr="00573DDF">
        <w:t>Several</w:t>
      </w:r>
      <w:r w:rsidR="00AB54F9" w:rsidRPr="00573DDF">
        <w:t xml:space="preserve"> experts welcome</w:t>
      </w:r>
      <w:r>
        <w:t>d</w:t>
      </w:r>
      <w:r w:rsidR="00AB54F9" w:rsidRPr="00573DDF">
        <w:t xml:space="preserve"> the proposal by Switzerland </w:t>
      </w:r>
      <w:r w:rsidR="00162D8C">
        <w:t xml:space="preserve">to take the working pressure at the top of the tank in the ullage space, </w:t>
      </w:r>
      <w:r w:rsidR="00AB54F9" w:rsidRPr="00573DDF">
        <w:t xml:space="preserve">but that extreme care should be taken when amending the wording of the definition because of possible </w:t>
      </w:r>
      <w:r w:rsidR="00DE51D0">
        <w:t>unintended consequences</w:t>
      </w:r>
      <w:r w:rsidR="00AB54F9" w:rsidRPr="00573DDF">
        <w:t>.</w:t>
      </w:r>
    </w:p>
    <w:p w:rsidR="00573DDF" w:rsidRPr="00573DDF" w:rsidRDefault="00573DDF" w:rsidP="00573DDF">
      <w:pPr>
        <w:tabs>
          <w:tab w:val="left" w:pos="720"/>
        </w:tabs>
        <w:spacing w:line="228" w:lineRule="auto"/>
        <w:ind w:left="1134"/>
      </w:pPr>
    </w:p>
    <w:p w:rsidR="00912CD9" w:rsidRPr="007A69D5" w:rsidRDefault="00EE0A1B" w:rsidP="00EE0A1B">
      <w:pPr>
        <w:tabs>
          <w:tab w:val="left" w:pos="720"/>
        </w:tabs>
        <w:spacing w:line="228" w:lineRule="auto"/>
        <w:ind w:left="1134"/>
        <w:rPr>
          <w:b/>
          <w:sz w:val="24"/>
          <w:szCs w:val="24"/>
        </w:rPr>
      </w:pPr>
      <w:r>
        <w:t>37.</w:t>
      </w:r>
      <w:r>
        <w:tab/>
      </w:r>
      <w:r w:rsidR="00573DDF" w:rsidRPr="00573DDF">
        <w:t xml:space="preserve">It </w:t>
      </w:r>
      <w:r>
        <w:t>was</w:t>
      </w:r>
      <w:r w:rsidR="00573DDF" w:rsidRPr="00573DDF">
        <w:t xml:space="preserve"> not possible to come to a conclusion during this session based on the informal document. Switzerland is invited to develop the proposal </w:t>
      </w:r>
      <w:r w:rsidR="00162D8C">
        <w:t>taking into account the discussions and Germany and the UK agreed to provide written contributions in due time for the next meeting.</w:t>
      </w:r>
    </w:p>
    <w:p w:rsidR="0004043C" w:rsidRDefault="0004043C" w:rsidP="0060098F">
      <w:pPr>
        <w:rPr>
          <w:b/>
          <w:sz w:val="28"/>
          <w:szCs w:val="28"/>
        </w:rPr>
      </w:pPr>
    </w:p>
    <w:p w:rsidR="005107D8" w:rsidRDefault="005107D8" w:rsidP="005107D8">
      <w:pPr>
        <w:ind w:left="1134" w:right="1133"/>
        <w:jc w:val="both"/>
        <w:rPr>
          <w:b/>
          <w:sz w:val="24"/>
          <w:szCs w:val="24"/>
        </w:rPr>
      </w:pPr>
      <w:r w:rsidRPr="007A69D5">
        <w:rPr>
          <w:b/>
          <w:sz w:val="24"/>
          <w:szCs w:val="24"/>
        </w:rPr>
        <w:t>Item</w:t>
      </w:r>
      <w:r w:rsidR="00BB39A7">
        <w:rPr>
          <w:b/>
          <w:sz w:val="24"/>
          <w:szCs w:val="24"/>
        </w:rPr>
        <w:t xml:space="preserve"> 13</w:t>
      </w:r>
      <w:r w:rsidRPr="007A69D5">
        <w:rPr>
          <w:b/>
          <w:sz w:val="24"/>
          <w:szCs w:val="24"/>
        </w:rPr>
        <w:t xml:space="preserve">: </w:t>
      </w:r>
      <w:r>
        <w:rPr>
          <w:b/>
          <w:sz w:val="24"/>
          <w:szCs w:val="24"/>
        </w:rPr>
        <w:t xml:space="preserve">INF 23 </w:t>
      </w:r>
      <w:r w:rsidRPr="007A69D5">
        <w:rPr>
          <w:b/>
          <w:sz w:val="24"/>
          <w:szCs w:val="24"/>
        </w:rPr>
        <w:t>(</w:t>
      </w:r>
      <w:r w:rsidRPr="005107D8">
        <w:rPr>
          <w:b/>
          <w:sz w:val="24"/>
          <w:szCs w:val="24"/>
        </w:rPr>
        <w:t>France</w:t>
      </w:r>
      <w:r w:rsidRPr="007A69D5">
        <w:rPr>
          <w:b/>
          <w:sz w:val="24"/>
          <w:szCs w:val="24"/>
        </w:rPr>
        <w:t xml:space="preserve">) – </w:t>
      </w:r>
      <w:r>
        <w:rPr>
          <w:b/>
          <w:sz w:val="24"/>
          <w:szCs w:val="24"/>
        </w:rPr>
        <w:t xml:space="preserve">Application of </w:t>
      </w:r>
      <w:proofErr w:type="gramStart"/>
      <w:r>
        <w:rPr>
          <w:b/>
          <w:sz w:val="24"/>
          <w:szCs w:val="24"/>
        </w:rPr>
        <w:t>6.8.3.2.17</w:t>
      </w:r>
      <w:r w:rsidR="0044443C">
        <w:rPr>
          <w:b/>
          <w:sz w:val="24"/>
          <w:szCs w:val="24"/>
        </w:rPr>
        <w:t xml:space="preserve"> :</w:t>
      </w:r>
      <w:proofErr w:type="gramEnd"/>
      <w:r>
        <w:rPr>
          <w:b/>
          <w:sz w:val="24"/>
          <w:szCs w:val="24"/>
        </w:rPr>
        <w:t xml:space="preserve"> Inspection opening of shell intended for the carriage of refrigerated liquefied gases.</w:t>
      </w:r>
    </w:p>
    <w:p w:rsidR="005107D8" w:rsidRDefault="005107D8" w:rsidP="005107D8">
      <w:pPr>
        <w:ind w:left="1134" w:right="1133"/>
        <w:jc w:val="both"/>
        <w:rPr>
          <w:b/>
          <w:sz w:val="24"/>
          <w:szCs w:val="24"/>
        </w:rPr>
      </w:pPr>
    </w:p>
    <w:p w:rsidR="005107D8" w:rsidRDefault="00EE0A1B" w:rsidP="00EE0A1B">
      <w:pPr>
        <w:ind w:left="1138" w:right="1138"/>
      </w:pPr>
      <w:r>
        <w:t>38.</w:t>
      </w:r>
      <w:r>
        <w:tab/>
      </w:r>
      <w:r w:rsidR="005107D8" w:rsidRPr="004118B4">
        <w:t xml:space="preserve">France questioned how other countries interpreted 6.8.3.2.17 in relation to </w:t>
      </w:r>
      <w:r w:rsidR="00162D8C" w:rsidRPr="004118B4">
        <w:t>non-vacuum</w:t>
      </w:r>
      <w:r w:rsidR="005107D8" w:rsidRPr="004118B4">
        <w:t xml:space="preserve"> insulated tanks for the carriage of refrigerated liquefied gases</w:t>
      </w:r>
      <w:r w:rsidR="004118B4">
        <w:t xml:space="preserve">. </w:t>
      </w:r>
    </w:p>
    <w:p w:rsidR="00EE0A1B" w:rsidRPr="004118B4" w:rsidRDefault="00EE0A1B" w:rsidP="00EE0A1B">
      <w:pPr>
        <w:ind w:left="1138" w:right="1138"/>
      </w:pPr>
    </w:p>
    <w:p w:rsidR="00EF5372" w:rsidRPr="004118B4" w:rsidRDefault="00EE0A1B" w:rsidP="00EE0A1B">
      <w:pPr>
        <w:ind w:left="1134" w:right="1133"/>
        <w:jc w:val="both"/>
      </w:pPr>
      <w:r>
        <w:t>39.</w:t>
      </w:r>
      <w:r>
        <w:tab/>
      </w:r>
      <w:r w:rsidR="005107D8" w:rsidRPr="004118B4">
        <w:t xml:space="preserve">It was </w:t>
      </w:r>
      <w:r w:rsidR="000540FD">
        <w:t xml:space="preserve">confirmed by several experts </w:t>
      </w:r>
      <w:r w:rsidR="005107D8" w:rsidRPr="004118B4">
        <w:t xml:space="preserve">that </w:t>
      </w:r>
      <w:r w:rsidR="00580C0E" w:rsidRPr="004118B4">
        <w:t>6.8.3.2.17</w:t>
      </w:r>
      <w:r w:rsidR="005107D8" w:rsidRPr="004118B4">
        <w:t xml:space="preserve"> should be read in combination </w:t>
      </w:r>
      <w:r w:rsidR="00580C0E" w:rsidRPr="004118B4">
        <w:t xml:space="preserve">with </w:t>
      </w:r>
      <w:r w:rsidR="005107D8" w:rsidRPr="004118B4">
        <w:t xml:space="preserve">6.8.3.4.7 and 6.8.3.4.8. </w:t>
      </w:r>
      <w:r>
        <w:t xml:space="preserve">6.8.3.2.17 </w:t>
      </w:r>
      <w:r w:rsidR="005107D8" w:rsidRPr="004118B4">
        <w:t>allow</w:t>
      </w:r>
      <w:r w:rsidR="0044443C">
        <w:t>s</w:t>
      </w:r>
      <w:r w:rsidR="005107D8" w:rsidRPr="004118B4">
        <w:t xml:space="preserve"> that </w:t>
      </w:r>
      <w:r w:rsidR="004118B4">
        <w:t>a</w:t>
      </w:r>
      <w:r w:rsidR="00E22C84">
        <w:t xml:space="preserve">n inspection opening </w:t>
      </w:r>
      <w:r w:rsidR="005107D8" w:rsidRPr="004118B4">
        <w:t xml:space="preserve">is </w:t>
      </w:r>
      <w:r w:rsidR="004118B4">
        <w:t xml:space="preserve">not </w:t>
      </w:r>
      <w:r w:rsidR="005107D8" w:rsidRPr="004118B4">
        <w:t>required for tanks for refrigerated gases</w:t>
      </w:r>
      <w:r w:rsidR="000540FD">
        <w:t>,</w:t>
      </w:r>
      <w:r w:rsidR="005107D8" w:rsidRPr="004118B4">
        <w:t xml:space="preserve"> being vacuum insulated or non vacuum insulated. </w:t>
      </w:r>
      <w:r w:rsidR="00580C0E" w:rsidRPr="004118B4">
        <w:t xml:space="preserve">In relation to this </w:t>
      </w:r>
      <w:r w:rsidR="00EF5372" w:rsidRPr="004118B4">
        <w:t xml:space="preserve">6.8.3.4.8 gives requirements for </w:t>
      </w:r>
      <w:proofErr w:type="gramStart"/>
      <w:r w:rsidR="00EF5372" w:rsidRPr="004118B4">
        <w:t>closing  the</w:t>
      </w:r>
      <w:proofErr w:type="gramEnd"/>
      <w:r w:rsidR="00EF5372" w:rsidRPr="004118B4">
        <w:t xml:space="preserve"> tank </w:t>
      </w:r>
      <w:r w:rsidR="0044443C">
        <w:t xml:space="preserve">after </w:t>
      </w:r>
      <w:r w:rsidR="00EF5372" w:rsidRPr="004118B4">
        <w:t xml:space="preserve">an opening is made for </w:t>
      </w:r>
      <w:r w:rsidR="0044443C">
        <w:t>an</w:t>
      </w:r>
      <w:r w:rsidR="00EF5372" w:rsidRPr="004118B4">
        <w:t xml:space="preserve"> internal inspection. 6.8.3.4.</w:t>
      </w:r>
      <w:r w:rsidR="0044443C">
        <w:t xml:space="preserve">7 </w:t>
      </w:r>
      <w:proofErr w:type="gramStart"/>
      <w:r w:rsidR="00EF5372" w:rsidRPr="004118B4">
        <w:t>allows</w:t>
      </w:r>
      <w:proofErr w:type="gramEnd"/>
      <w:r w:rsidR="00EF5372" w:rsidRPr="004118B4">
        <w:t xml:space="preserve"> the internal inspection to be replaced by </w:t>
      </w:r>
      <w:r w:rsidR="00580C0E" w:rsidRPr="004118B4">
        <w:t xml:space="preserve">other tests making an opening </w:t>
      </w:r>
      <w:r>
        <w:t>i</w:t>
      </w:r>
      <w:r w:rsidR="004118B4" w:rsidRPr="004118B4">
        <w:t>n vacuum insulated tanks</w:t>
      </w:r>
      <w:r w:rsidR="004118B4">
        <w:t xml:space="preserve"> </w:t>
      </w:r>
      <w:r w:rsidR="00580C0E" w:rsidRPr="004118B4">
        <w:t>superfluous</w:t>
      </w:r>
      <w:r w:rsidR="00EF5372" w:rsidRPr="004118B4">
        <w:t>.</w:t>
      </w:r>
    </w:p>
    <w:p w:rsidR="00EE0A1B" w:rsidRDefault="00EE0A1B" w:rsidP="00E22C84">
      <w:pPr>
        <w:ind w:left="1134" w:right="1133"/>
        <w:jc w:val="both"/>
      </w:pPr>
    </w:p>
    <w:p w:rsidR="00EF5372" w:rsidRPr="004118B4" w:rsidRDefault="00EE0A1B" w:rsidP="00EE0A1B">
      <w:pPr>
        <w:ind w:left="1134" w:right="1133"/>
        <w:jc w:val="both"/>
      </w:pPr>
      <w:r>
        <w:t>40.</w:t>
      </w:r>
      <w:r>
        <w:tab/>
        <w:t>The c</w:t>
      </w:r>
      <w:r w:rsidR="00EF5372" w:rsidRPr="004118B4">
        <w:t xml:space="preserve">onclusion is that </w:t>
      </w:r>
      <w:r w:rsidR="00580C0E" w:rsidRPr="004118B4">
        <w:t xml:space="preserve">for </w:t>
      </w:r>
      <w:r w:rsidR="00E22C84" w:rsidRPr="004118B4">
        <w:t>non-vacuum</w:t>
      </w:r>
      <w:r w:rsidR="00580C0E" w:rsidRPr="004118B4">
        <w:t xml:space="preserve"> insulated tanks </w:t>
      </w:r>
      <w:r w:rsidR="00EF5372" w:rsidRPr="004118B4">
        <w:t>it is not required to have a</w:t>
      </w:r>
      <w:r w:rsidR="00E22C84">
        <w:t>n</w:t>
      </w:r>
      <w:r w:rsidR="0044443C">
        <w:t xml:space="preserve"> </w:t>
      </w:r>
      <w:r w:rsidR="00E22C84">
        <w:t xml:space="preserve">inspection opening </w:t>
      </w:r>
      <w:r w:rsidR="00EF5372" w:rsidRPr="004118B4">
        <w:t xml:space="preserve">included in the design of the tank but that </w:t>
      </w:r>
      <w:r w:rsidR="000540FD" w:rsidRPr="004118B4">
        <w:t xml:space="preserve">an opening should be </w:t>
      </w:r>
      <w:r w:rsidR="00E22C84">
        <w:t xml:space="preserve">made </w:t>
      </w:r>
      <w:r w:rsidR="00EF5372" w:rsidRPr="004118B4">
        <w:t xml:space="preserve">when an internal inspection is </w:t>
      </w:r>
      <w:r w:rsidR="000540FD">
        <w:t xml:space="preserve">due. This opening needs to be closed </w:t>
      </w:r>
      <w:r w:rsidR="000540FD" w:rsidRPr="004118B4">
        <w:t>again for instance by welding in a plate</w:t>
      </w:r>
      <w:r w:rsidR="000540FD">
        <w:t>,</w:t>
      </w:r>
    </w:p>
    <w:p w:rsidR="00FE06CA" w:rsidRPr="004118B4" w:rsidRDefault="00FE06CA" w:rsidP="00FE06CA">
      <w:pPr>
        <w:ind w:left="1134" w:right="1133"/>
        <w:jc w:val="both"/>
      </w:pPr>
    </w:p>
    <w:p w:rsidR="00A050B1" w:rsidRDefault="00EE0A1B" w:rsidP="00E22C84">
      <w:pPr>
        <w:ind w:left="1134" w:right="1133"/>
        <w:jc w:val="both"/>
      </w:pPr>
      <w:r>
        <w:t>41.</w:t>
      </w:r>
      <w:r>
        <w:tab/>
      </w:r>
      <w:r w:rsidR="00A050B1" w:rsidRPr="004118B4">
        <w:t>Current practice however is that non vacuum insulated tanks, which are mainly tanks for the carriage of carbon dioxide</w:t>
      </w:r>
      <w:r w:rsidR="00FE06CA" w:rsidRPr="004118B4">
        <w:t>,</w:t>
      </w:r>
      <w:r w:rsidR="00A050B1" w:rsidRPr="004118B4">
        <w:t xml:space="preserve"> </w:t>
      </w:r>
      <w:r w:rsidR="004118B4">
        <w:t xml:space="preserve">have </w:t>
      </w:r>
      <w:r w:rsidR="00A050B1" w:rsidRPr="004118B4">
        <w:t>a</w:t>
      </w:r>
      <w:r>
        <w:t>n</w:t>
      </w:r>
      <w:r w:rsidR="00A050B1" w:rsidRPr="004118B4">
        <w:t xml:space="preserve"> </w:t>
      </w:r>
      <w:r w:rsidR="00E22C84">
        <w:t>inspection opening</w:t>
      </w:r>
      <w:r w:rsidR="00A050B1" w:rsidRPr="004118B4">
        <w:t xml:space="preserve"> provided to prevent expensive and complicated procedures</w:t>
      </w:r>
      <w:r w:rsidR="00FE06CA" w:rsidRPr="004118B4">
        <w:t xml:space="preserve"> in use</w:t>
      </w:r>
      <w:r w:rsidR="004118B4">
        <w:t>.</w:t>
      </w:r>
    </w:p>
    <w:p w:rsidR="004118B4" w:rsidRPr="004118B4" w:rsidRDefault="004118B4" w:rsidP="00A050B1">
      <w:pPr>
        <w:ind w:left="1134" w:right="1133"/>
        <w:jc w:val="both"/>
      </w:pPr>
    </w:p>
    <w:p w:rsidR="00FE06CA" w:rsidRPr="004118B4" w:rsidRDefault="00EE0A1B" w:rsidP="00E22C84">
      <w:pPr>
        <w:ind w:left="1134" w:right="1133"/>
        <w:jc w:val="both"/>
      </w:pPr>
      <w:r>
        <w:t>42.</w:t>
      </w:r>
      <w:r>
        <w:tab/>
      </w:r>
      <w:r w:rsidR="00FA4C59" w:rsidRPr="004118B4">
        <w:t xml:space="preserve">As it is the choice of the user or manufacturer of a tank for refrigerated gases to have an </w:t>
      </w:r>
      <w:r w:rsidR="00E22C84">
        <w:t xml:space="preserve">inspection opening </w:t>
      </w:r>
      <w:r w:rsidR="00FA4C59" w:rsidRPr="004118B4">
        <w:t>included in the design</w:t>
      </w:r>
      <w:r w:rsidR="00FE06CA" w:rsidRPr="004118B4">
        <w:t xml:space="preserve"> or not</w:t>
      </w:r>
      <w:r w:rsidR="00FA4C59" w:rsidRPr="004118B4">
        <w:t>, with the consequence of making an opening in the tank when internal inspection was required</w:t>
      </w:r>
      <w:r w:rsidR="004118B4">
        <w:t>,</w:t>
      </w:r>
      <w:r w:rsidR="00FA4C59" w:rsidRPr="004118B4">
        <w:t xml:space="preserve"> no change</w:t>
      </w:r>
      <w:r w:rsidR="0044443C">
        <w:t>s</w:t>
      </w:r>
      <w:r w:rsidR="00FA4C59" w:rsidRPr="004118B4">
        <w:t xml:space="preserve"> w</w:t>
      </w:r>
      <w:r w:rsidR="0044443C">
        <w:t>ere</w:t>
      </w:r>
      <w:r w:rsidR="00FA4C59" w:rsidRPr="004118B4">
        <w:t xml:space="preserve"> deemed necessary. </w:t>
      </w:r>
    </w:p>
    <w:p w:rsidR="00806786" w:rsidRDefault="00806786" w:rsidP="009F7765">
      <w:pPr>
        <w:ind w:left="1134" w:right="1133"/>
        <w:jc w:val="both"/>
      </w:pPr>
    </w:p>
    <w:p w:rsidR="00580C0E" w:rsidRPr="004118B4" w:rsidRDefault="00806786" w:rsidP="004B793E">
      <w:pPr>
        <w:ind w:left="1134" w:right="1133"/>
        <w:jc w:val="both"/>
      </w:pPr>
      <w:r>
        <w:t>43.</w:t>
      </w:r>
      <w:r>
        <w:tab/>
      </w:r>
      <w:r w:rsidR="004B793E">
        <w:t xml:space="preserve">As a result of the discussions there was a feeling </w:t>
      </w:r>
      <w:r w:rsidR="00FE06CA" w:rsidRPr="004118B4">
        <w:t>that the wording of 6.8.3.2.17, 6.8.</w:t>
      </w:r>
      <w:r w:rsidR="004B793E">
        <w:t>3.</w:t>
      </w:r>
      <w:r w:rsidR="00FE06CA" w:rsidRPr="004118B4">
        <w:t>4.7 and 6.8.</w:t>
      </w:r>
      <w:r w:rsidR="004B793E">
        <w:t>3.</w:t>
      </w:r>
      <w:r w:rsidR="00FE06CA" w:rsidRPr="004118B4">
        <w:t xml:space="preserve">4.8 </w:t>
      </w:r>
      <w:r w:rsidR="004B793E">
        <w:t>would benefit from a review.</w:t>
      </w:r>
      <w:r w:rsidR="00FE06CA" w:rsidRPr="004118B4">
        <w:t xml:space="preserve">  </w:t>
      </w:r>
    </w:p>
    <w:p w:rsidR="00580C0E" w:rsidRPr="004118B4" w:rsidRDefault="00580C0E" w:rsidP="00A050B1">
      <w:pPr>
        <w:ind w:left="1134" w:right="1133"/>
        <w:jc w:val="both"/>
      </w:pPr>
    </w:p>
    <w:p w:rsidR="00552DDB" w:rsidRDefault="00552DDB" w:rsidP="00552DDB">
      <w:pPr>
        <w:ind w:left="1134" w:right="1133"/>
        <w:jc w:val="both"/>
        <w:rPr>
          <w:b/>
          <w:sz w:val="24"/>
          <w:szCs w:val="24"/>
        </w:rPr>
      </w:pPr>
      <w:r w:rsidRPr="007A69D5">
        <w:rPr>
          <w:b/>
          <w:sz w:val="24"/>
          <w:szCs w:val="24"/>
        </w:rPr>
        <w:t xml:space="preserve">Item </w:t>
      </w:r>
      <w:r w:rsidR="00E65A3A">
        <w:rPr>
          <w:b/>
          <w:sz w:val="24"/>
          <w:szCs w:val="24"/>
        </w:rPr>
        <w:t>14</w:t>
      </w:r>
      <w:r w:rsidRPr="007A69D5">
        <w:rPr>
          <w:b/>
          <w:sz w:val="24"/>
          <w:szCs w:val="24"/>
        </w:rPr>
        <w:t xml:space="preserve">: </w:t>
      </w:r>
      <w:r>
        <w:rPr>
          <w:b/>
          <w:sz w:val="24"/>
          <w:szCs w:val="24"/>
        </w:rPr>
        <w:t xml:space="preserve">INF 24 </w:t>
      </w:r>
      <w:r w:rsidRPr="007A69D5">
        <w:rPr>
          <w:b/>
          <w:sz w:val="24"/>
          <w:szCs w:val="24"/>
        </w:rPr>
        <w:t>(</w:t>
      </w:r>
      <w:r>
        <w:rPr>
          <w:b/>
          <w:sz w:val="24"/>
          <w:szCs w:val="24"/>
        </w:rPr>
        <w:t>CEN</w:t>
      </w:r>
      <w:r w:rsidRPr="007A69D5">
        <w:rPr>
          <w:b/>
          <w:sz w:val="24"/>
          <w:szCs w:val="24"/>
        </w:rPr>
        <w:t xml:space="preserve">) – </w:t>
      </w:r>
      <w:r>
        <w:rPr>
          <w:b/>
          <w:sz w:val="24"/>
          <w:szCs w:val="24"/>
        </w:rPr>
        <w:t xml:space="preserve">Information on the </w:t>
      </w:r>
      <w:proofErr w:type="gramStart"/>
      <w:r>
        <w:rPr>
          <w:b/>
          <w:sz w:val="24"/>
          <w:szCs w:val="24"/>
        </w:rPr>
        <w:t>revision  of</w:t>
      </w:r>
      <w:proofErr w:type="gramEnd"/>
      <w:r>
        <w:rPr>
          <w:b/>
          <w:sz w:val="24"/>
          <w:szCs w:val="24"/>
        </w:rPr>
        <w:t xml:space="preserve"> EN 14025 on the design and construction of metallic pressure tanks.</w:t>
      </w:r>
    </w:p>
    <w:p w:rsidR="00552DDB" w:rsidRDefault="00552DDB" w:rsidP="00552DDB">
      <w:pPr>
        <w:ind w:left="1134" w:right="1133"/>
        <w:jc w:val="both"/>
        <w:rPr>
          <w:b/>
          <w:sz w:val="24"/>
          <w:szCs w:val="24"/>
        </w:rPr>
      </w:pPr>
    </w:p>
    <w:p w:rsidR="009A1981" w:rsidRPr="009A1981" w:rsidRDefault="004B793E" w:rsidP="004B793E">
      <w:pPr>
        <w:ind w:left="1134" w:right="1133"/>
        <w:jc w:val="both"/>
      </w:pPr>
      <w:r>
        <w:t>44.</w:t>
      </w:r>
      <w:r>
        <w:tab/>
        <w:t xml:space="preserve">Information from CEN was that </w:t>
      </w:r>
      <w:r w:rsidR="00552DDB" w:rsidRPr="009A1981">
        <w:t xml:space="preserve">EN 14025 </w:t>
      </w:r>
      <w:r>
        <w:t xml:space="preserve">was being revised </w:t>
      </w:r>
      <w:r w:rsidR="00552DDB" w:rsidRPr="009A1981">
        <w:t>t</w:t>
      </w:r>
      <w:r>
        <w:t xml:space="preserve">o </w:t>
      </w:r>
      <w:r w:rsidR="00552DDB" w:rsidRPr="009A1981">
        <w:t>inclu</w:t>
      </w:r>
      <w:r>
        <w:t>de</w:t>
      </w:r>
      <w:r w:rsidR="00552DDB" w:rsidRPr="009A1981">
        <w:t xml:space="preserve"> </w:t>
      </w:r>
      <w:r>
        <w:t>r</w:t>
      </w:r>
      <w:r w:rsidR="00552DDB" w:rsidRPr="009A1981">
        <w:t>equirements for “Explosion pressure shock resistant” design of tanks</w:t>
      </w:r>
      <w:r>
        <w:t xml:space="preserve">. The draft will soon be circulated for </w:t>
      </w:r>
      <w:r w:rsidR="00E22C84">
        <w:t>formal vote</w:t>
      </w:r>
      <w:r w:rsidR="00552DDB" w:rsidRPr="009A1981">
        <w:t xml:space="preserve">. </w:t>
      </w:r>
    </w:p>
    <w:p w:rsidR="009A1981" w:rsidRPr="009A1981" w:rsidRDefault="009A1981" w:rsidP="00552DDB">
      <w:pPr>
        <w:ind w:left="1134" w:right="1133"/>
        <w:jc w:val="both"/>
      </w:pPr>
    </w:p>
    <w:p w:rsidR="005F4B4C" w:rsidRDefault="004B793E" w:rsidP="004B793E">
      <w:pPr>
        <w:ind w:left="1134" w:right="1133"/>
        <w:jc w:val="both"/>
      </w:pPr>
      <w:r>
        <w:lastRenderedPageBreak/>
        <w:t>45.</w:t>
      </w:r>
      <w:r>
        <w:tab/>
      </w:r>
      <w:r w:rsidR="0003741E">
        <w:t xml:space="preserve">UIP expressed concern regarding the calculation in </w:t>
      </w:r>
      <w:r w:rsidR="009A1981" w:rsidRPr="009A1981">
        <w:t xml:space="preserve">B3 </w:t>
      </w:r>
      <w:r w:rsidR="0003741E">
        <w:t xml:space="preserve">which </w:t>
      </w:r>
      <w:r w:rsidR="009A1981" w:rsidRPr="009A1981">
        <w:t>was different from the German TRT</w:t>
      </w:r>
      <w:r>
        <w:t>6</w:t>
      </w:r>
      <w:r w:rsidR="009A1981" w:rsidRPr="009A1981">
        <w:t xml:space="preserve"> and BAM investigation report</w:t>
      </w:r>
      <w:r w:rsidR="009A1981">
        <w:t xml:space="preserve"> </w:t>
      </w:r>
      <w:r>
        <w:t xml:space="preserve">and this </w:t>
      </w:r>
      <w:r w:rsidR="0003741E">
        <w:t xml:space="preserve">should be brought to the attention </w:t>
      </w:r>
      <w:r>
        <w:t>of</w:t>
      </w:r>
      <w:r w:rsidR="0003741E">
        <w:t xml:space="preserve"> the relevant CEN working group and the standards working group.</w:t>
      </w:r>
    </w:p>
    <w:p w:rsidR="005F4B4C" w:rsidRDefault="005F4B4C" w:rsidP="00552DDB">
      <w:pPr>
        <w:ind w:left="1134" w:right="1133"/>
        <w:jc w:val="both"/>
      </w:pPr>
    </w:p>
    <w:p w:rsidR="005F4B4C" w:rsidRDefault="005F4B4C" w:rsidP="005F4B4C">
      <w:pPr>
        <w:ind w:left="1134" w:right="1133"/>
        <w:jc w:val="both"/>
        <w:rPr>
          <w:b/>
          <w:sz w:val="24"/>
          <w:szCs w:val="24"/>
        </w:rPr>
      </w:pPr>
      <w:r w:rsidRPr="007A69D5">
        <w:rPr>
          <w:b/>
          <w:sz w:val="24"/>
          <w:szCs w:val="24"/>
        </w:rPr>
        <w:t xml:space="preserve">Item </w:t>
      </w:r>
      <w:r w:rsidR="00E65A3A">
        <w:rPr>
          <w:b/>
          <w:sz w:val="24"/>
          <w:szCs w:val="24"/>
        </w:rPr>
        <w:t>15</w:t>
      </w:r>
      <w:r w:rsidRPr="007A69D5">
        <w:rPr>
          <w:b/>
          <w:sz w:val="24"/>
          <w:szCs w:val="24"/>
        </w:rPr>
        <w:t xml:space="preserve">: </w:t>
      </w:r>
      <w:r>
        <w:rPr>
          <w:b/>
          <w:sz w:val="24"/>
          <w:szCs w:val="24"/>
        </w:rPr>
        <w:t xml:space="preserve">INF 29 </w:t>
      </w:r>
      <w:r w:rsidRPr="007A69D5">
        <w:rPr>
          <w:b/>
          <w:sz w:val="24"/>
          <w:szCs w:val="24"/>
        </w:rPr>
        <w:t>(</w:t>
      </w:r>
      <w:r>
        <w:rPr>
          <w:b/>
          <w:sz w:val="24"/>
          <w:szCs w:val="24"/>
        </w:rPr>
        <w:t>UK</w:t>
      </w:r>
      <w:r w:rsidRPr="007A69D5">
        <w:rPr>
          <w:b/>
          <w:sz w:val="24"/>
          <w:szCs w:val="24"/>
        </w:rPr>
        <w:t xml:space="preserve">) – </w:t>
      </w:r>
      <w:r>
        <w:rPr>
          <w:b/>
          <w:sz w:val="24"/>
          <w:szCs w:val="24"/>
        </w:rPr>
        <w:t>Tanks: Pressure testing using gas.</w:t>
      </w:r>
    </w:p>
    <w:p w:rsidR="00552DDB" w:rsidRDefault="00552DDB" w:rsidP="00552DDB">
      <w:pPr>
        <w:ind w:left="1134" w:right="1133"/>
        <w:jc w:val="both"/>
      </w:pPr>
    </w:p>
    <w:p w:rsidR="005F4B4C" w:rsidRDefault="004B793E" w:rsidP="008D4B1A">
      <w:pPr>
        <w:ind w:left="1134" w:right="1133"/>
        <w:jc w:val="both"/>
      </w:pPr>
      <w:r>
        <w:t>46.</w:t>
      </w:r>
      <w:r>
        <w:tab/>
      </w:r>
      <w:r w:rsidR="0003741E">
        <w:t xml:space="preserve">In this </w:t>
      </w:r>
      <w:r w:rsidR="005F4B4C">
        <w:t xml:space="preserve">INF document the United Kingdom </w:t>
      </w:r>
      <w:r w:rsidR="0003741E">
        <w:t>offered to su</w:t>
      </w:r>
      <w:r>
        <w:t>b</w:t>
      </w:r>
      <w:r w:rsidR="0003741E">
        <w:t xml:space="preserve">mit </w:t>
      </w:r>
      <w:r w:rsidR="005F4B4C">
        <w:t>an official proposal for the March 2016 session to discuss pressure testing with gas.</w:t>
      </w:r>
      <w:r w:rsidR="005F4B4C">
        <w:br/>
        <w:t xml:space="preserve">This is a result of </w:t>
      </w:r>
      <w:r w:rsidR="008D4B1A">
        <w:t xml:space="preserve">discussions held </w:t>
      </w:r>
      <w:r w:rsidR="005F4B4C">
        <w:t xml:space="preserve">in CEN TC 296 working group 5 which met </w:t>
      </w:r>
      <w:r w:rsidR="00103F4D">
        <w:t>in</w:t>
      </w:r>
      <w:r w:rsidR="005F4B4C">
        <w:t xml:space="preserve"> June </w:t>
      </w:r>
      <w:r w:rsidR="00103F4D">
        <w:t xml:space="preserve">2015 </w:t>
      </w:r>
      <w:r w:rsidR="005F4B4C">
        <w:t xml:space="preserve">in Berlin. </w:t>
      </w:r>
    </w:p>
    <w:p w:rsidR="00293CF2" w:rsidRPr="00293CF2" w:rsidRDefault="00293CF2" w:rsidP="00293CF2">
      <w:pPr>
        <w:spacing w:before="240"/>
        <w:ind w:left="1134" w:right="1134"/>
        <w:jc w:val="center"/>
        <w:rPr>
          <w:u w:val="single"/>
        </w:rPr>
      </w:pPr>
      <w:r>
        <w:rPr>
          <w:u w:val="single"/>
        </w:rPr>
        <w:tab/>
      </w:r>
      <w:r>
        <w:rPr>
          <w:u w:val="single"/>
        </w:rPr>
        <w:tab/>
      </w:r>
      <w:r>
        <w:rPr>
          <w:u w:val="single"/>
        </w:rPr>
        <w:tab/>
      </w:r>
      <w:bookmarkStart w:id="0" w:name="_GoBack"/>
      <w:bookmarkEnd w:id="0"/>
    </w:p>
    <w:sectPr w:rsidR="00293CF2" w:rsidRPr="00293CF2" w:rsidSect="009D5A4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D9" w:rsidRDefault="001067D9"/>
  </w:endnote>
  <w:endnote w:type="continuationSeparator" w:id="0">
    <w:p w:rsidR="001067D9" w:rsidRDefault="001067D9"/>
  </w:endnote>
  <w:endnote w:type="continuationNotice" w:id="1">
    <w:p w:rsidR="001067D9" w:rsidRDefault="00106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F409F1" w:rsidRDefault="006A6D1F">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293CF2">
      <w:rPr>
        <w:rStyle w:val="PageNumber"/>
        <w:noProof/>
      </w:rPr>
      <w:t>10</w:t>
    </w:r>
    <w:r w:rsidRPr="00F409F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F409F1" w:rsidRDefault="006A6D1F"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293CF2">
      <w:rPr>
        <w:rStyle w:val="PageNumber"/>
        <w:noProof/>
      </w:rPr>
      <w:t>9</w:t>
    </w:r>
    <w:r w:rsidRPr="00F409F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64562C" w:rsidRDefault="006056AA">
    <w:pPr>
      <w:pStyle w:val="Footer"/>
      <w:rPr>
        <w:sz w:val="18"/>
        <w:szCs w:val="18"/>
        <w:lang w:val="fr-CH"/>
      </w:rPr>
    </w:pPr>
    <w:r>
      <w:rPr>
        <w:noProof/>
        <w:sz w:val="18"/>
        <w:szCs w:val="18"/>
        <w:lang w:eastAsia="en-GB"/>
      </w:rPr>
      <w:drawing>
        <wp:anchor distT="0" distB="0" distL="114300" distR="114300" simplePos="0" relativeHeight="251657728" behindDoc="0" locked="1" layoutInCell="1" allowOverlap="1" wp14:anchorId="321A4929" wp14:editId="357581F0">
          <wp:simplePos x="0" y="0"/>
          <wp:positionH relativeFrom="column">
            <wp:posOffset>5148580</wp:posOffset>
          </wp:positionH>
          <wp:positionV relativeFrom="paragraph">
            <wp:posOffset>-273685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1F" w:rsidRPr="0064562C">
      <w:rPr>
        <w:sz w:val="18"/>
        <w:szCs w:val="18"/>
        <w:lang w:val="fr-CH"/>
      </w:rPr>
      <w:t>GE.1</w:t>
    </w:r>
    <w:r w:rsidR="006A6D1F">
      <w:rPr>
        <w:sz w:val="18"/>
        <w:szCs w:val="18"/>
        <w:lang w:val="fr-CH"/>
      </w:rPr>
      <w:t>5</w:t>
    </w:r>
    <w:r w:rsidR="006A6D1F" w:rsidRPr="0064562C">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D9" w:rsidRPr="000B175B" w:rsidRDefault="001067D9" w:rsidP="000B175B">
      <w:pPr>
        <w:tabs>
          <w:tab w:val="right" w:pos="2155"/>
        </w:tabs>
        <w:spacing w:after="80"/>
        <w:ind w:left="680"/>
        <w:rPr>
          <w:u w:val="single"/>
        </w:rPr>
      </w:pPr>
      <w:r>
        <w:rPr>
          <w:u w:val="single"/>
        </w:rPr>
        <w:tab/>
      </w:r>
    </w:p>
  </w:footnote>
  <w:footnote w:type="continuationSeparator" w:id="0">
    <w:p w:rsidR="001067D9" w:rsidRPr="00FC68B7" w:rsidRDefault="001067D9" w:rsidP="00FC68B7">
      <w:pPr>
        <w:tabs>
          <w:tab w:val="left" w:pos="2155"/>
        </w:tabs>
        <w:spacing w:after="80"/>
        <w:ind w:left="680"/>
        <w:rPr>
          <w:u w:val="single"/>
        </w:rPr>
      </w:pPr>
      <w:r>
        <w:rPr>
          <w:u w:val="single"/>
        </w:rPr>
        <w:tab/>
      </w:r>
    </w:p>
  </w:footnote>
  <w:footnote w:type="continuationNotice" w:id="1">
    <w:p w:rsidR="001067D9" w:rsidRDefault="00106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39263E" w:rsidRDefault="00293CF2">
    <w:pPr>
      <w:pStyle w:val="Header"/>
      <w:rPr>
        <w:lang w:val="fr-CH"/>
      </w:rPr>
    </w:pPr>
    <w:r>
      <w:rPr>
        <w:lang w:val="fr-CH"/>
      </w:rPr>
      <w:t>INF.50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EE0802" w:rsidRDefault="006A6D1F" w:rsidP="00EE0802">
    <w:pPr>
      <w:pStyle w:val="Header"/>
      <w:jc w:val="right"/>
      <w:rPr>
        <w:lang w:val="fr-CH"/>
      </w:rPr>
    </w:pPr>
    <w:r>
      <w:rPr>
        <w:lang w:val="fr-CH"/>
      </w:rPr>
      <w:t>INF.50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1F" w:rsidRPr="007D620D" w:rsidRDefault="006A6D1F" w:rsidP="006E7A53">
    <w:pPr>
      <w:pStyle w:val="Header"/>
      <w:jc w:val="right"/>
      <w:rPr>
        <w:sz w:val="28"/>
        <w:szCs w:val="28"/>
        <w:lang w:val="en-US"/>
      </w:rPr>
    </w:pPr>
    <w:r>
      <w:rPr>
        <w:sz w:val="28"/>
        <w:szCs w:val="28"/>
        <w:lang w:val="en-US"/>
      </w:rPr>
      <w:t>INF.</w:t>
    </w:r>
    <w:r w:rsidR="00293CF2">
      <w:rPr>
        <w:sz w:val="28"/>
        <w:szCs w:val="28"/>
        <w:lang w:val="en-US"/>
      </w:rPr>
      <w:t>50</w:t>
    </w:r>
    <w:r w:rsidRPr="007D620D">
      <w:rPr>
        <w:sz w:val="28"/>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EE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20191"/>
    <w:multiLevelType w:val="hybridMultilevel"/>
    <w:tmpl w:val="89BA48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06884189"/>
    <w:multiLevelType w:val="hybridMultilevel"/>
    <w:tmpl w:val="AE9056D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69064AB"/>
    <w:multiLevelType w:val="hybridMultilevel"/>
    <w:tmpl w:val="944EE1E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0E57482B"/>
    <w:multiLevelType w:val="hybridMultilevel"/>
    <w:tmpl w:val="E0FCC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E432A5"/>
    <w:multiLevelType w:val="hybridMultilevel"/>
    <w:tmpl w:val="54C8E91C"/>
    <w:lvl w:ilvl="0" w:tplc="04090017">
      <w:start w:val="1"/>
      <w:numFmt w:val="lowerLetter"/>
      <w:lvlText w:val="%1)"/>
      <w:lvlJc w:val="lef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C1C0AB8"/>
    <w:multiLevelType w:val="hybridMultilevel"/>
    <w:tmpl w:val="32205D7C"/>
    <w:lvl w:ilvl="0" w:tplc="04090017">
      <w:start w:val="1"/>
      <w:numFmt w:val="lowerLetter"/>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DF663B"/>
    <w:multiLevelType w:val="hybridMultilevel"/>
    <w:tmpl w:val="6AB62C68"/>
    <w:lvl w:ilvl="0" w:tplc="08130001">
      <w:start w:val="1"/>
      <w:numFmt w:val="bullet"/>
      <w:lvlText w:val=""/>
      <w:lvlJc w:val="left"/>
      <w:pPr>
        <w:ind w:left="1902" w:hanging="360"/>
      </w:pPr>
      <w:rPr>
        <w:rFonts w:ascii="Symbol" w:hAnsi="Symbol" w:hint="default"/>
      </w:rPr>
    </w:lvl>
    <w:lvl w:ilvl="1" w:tplc="08130003" w:tentative="1">
      <w:start w:val="1"/>
      <w:numFmt w:val="bullet"/>
      <w:lvlText w:val="o"/>
      <w:lvlJc w:val="left"/>
      <w:pPr>
        <w:ind w:left="2622" w:hanging="360"/>
      </w:pPr>
      <w:rPr>
        <w:rFonts w:ascii="Courier New" w:hAnsi="Courier New" w:cs="Courier New" w:hint="default"/>
      </w:rPr>
    </w:lvl>
    <w:lvl w:ilvl="2" w:tplc="08130005" w:tentative="1">
      <w:start w:val="1"/>
      <w:numFmt w:val="bullet"/>
      <w:lvlText w:val=""/>
      <w:lvlJc w:val="left"/>
      <w:pPr>
        <w:ind w:left="3342" w:hanging="360"/>
      </w:pPr>
      <w:rPr>
        <w:rFonts w:ascii="Wingdings" w:hAnsi="Wingdings" w:hint="default"/>
      </w:rPr>
    </w:lvl>
    <w:lvl w:ilvl="3" w:tplc="08130001" w:tentative="1">
      <w:start w:val="1"/>
      <w:numFmt w:val="bullet"/>
      <w:lvlText w:val=""/>
      <w:lvlJc w:val="left"/>
      <w:pPr>
        <w:ind w:left="4062" w:hanging="360"/>
      </w:pPr>
      <w:rPr>
        <w:rFonts w:ascii="Symbol" w:hAnsi="Symbol" w:hint="default"/>
      </w:rPr>
    </w:lvl>
    <w:lvl w:ilvl="4" w:tplc="08130003" w:tentative="1">
      <w:start w:val="1"/>
      <w:numFmt w:val="bullet"/>
      <w:lvlText w:val="o"/>
      <w:lvlJc w:val="left"/>
      <w:pPr>
        <w:ind w:left="4782" w:hanging="360"/>
      </w:pPr>
      <w:rPr>
        <w:rFonts w:ascii="Courier New" w:hAnsi="Courier New" w:cs="Courier New" w:hint="default"/>
      </w:rPr>
    </w:lvl>
    <w:lvl w:ilvl="5" w:tplc="08130005" w:tentative="1">
      <w:start w:val="1"/>
      <w:numFmt w:val="bullet"/>
      <w:lvlText w:val=""/>
      <w:lvlJc w:val="left"/>
      <w:pPr>
        <w:ind w:left="5502" w:hanging="360"/>
      </w:pPr>
      <w:rPr>
        <w:rFonts w:ascii="Wingdings" w:hAnsi="Wingdings" w:hint="default"/>
      </w:rPr>
    </w:lvl>
    <w:lvl w:ilvl="6" w:tplc="08130001" w:tentative="1">
      <w:start w:val="1"/>
      <w:numFmt w:val="bullet"/>
      <w:lvlText w:val=""/>
      <w:lvlJc w:val="left"/>
      <w:pPr>
        <w:ind w:left="6222" w:hanging="360"/>
      </w:pPr>
      <w:rPr>
        <w:rFonts w:ascii="Symbol" w:hAnsi="Symbol" w:hint="default"/>
      </w:rPr>
    </w:lvl>
    <w:lvl w:ilvl="7" w:tplc="08130003" w:tentative="1">
      <w:start w:val="1"/>
      <w:numFmt w:val="bullet"/>
      <w:lvlText w:val="o"/>
      <w:lvlJc w:val="left"/>
      <w:pPr>
        <w:ind w:left="6942" w:hanging="360"/>
      </w:pPr>
      <w:rPr>
        <w:rFonts w:ascii="Courier New" w:hAnsi="Courier New" w:cs="Courier New" w:hint="default"/>
      </w:rPr>
    </w:lvl>
    <w:lvl w:ilvl="8" w:tplc="08130005" w:tentative="1">
      <w:start w:val="1"/>
      <w:numFmt w:val="bullet"/>
      <w:lvlText w:val=""/>
      <w:lvlJc w:val="left"/>
      <w:pPr>
        <w:ind w:left="7662" w:hanging="360"/>
      </w:pPr>
      <w:rPr>
        <w:rFonts w:ascii="Wingdings" w:hAnsi="Wingdings" w:hint="default"/>
      </w:rPr>
    </w:lvl>
  </w:abstractNum>
  <w:abstractNum w:abstractNumId="22">
    <w:nsid w:val="227D4E54"/>
    <w:multiLevelType w:val="hybridMultilevel"/>
    <w:tmpl w:val="710C5856"/>
    <w:lvl w:ilvl="0" w:tplc="0813000F">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3">
    <w:nsid w:val="242A140D"/>
    <w:multiLevelType w:val="hybridMultilevel"/>
    <w:tmpl w:val="CB2296A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28045E8B"/>
    <w:multiLevelType w:val="hybridMultilevel"/>
    <w:tmpl w:val="A73068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2D4617F1"/>
    <w:multiLevelType w:val="hybridMultilevel"/>
    <w:tmpl w:val="5958DE78"/>
    <w:lvl w:ilvl="0" w:tplc="77627F62">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DBD69C0"/>
    <w:multiLevelType w:val="hybridMultilevel"/>
    <w:tmpl w:val="65C22892"/>
    <w:lvl w:ilvl="0" w:tplc="AC5A8FAC">
      <w:start w:val="1"/>
      <w:numFmt w:val="bullet"/>
      <w:lvlText w:val="-"/>
      <w:lvlJc w:val="left"/>
      <w:pPr>
        <w:ind w:left="2094" w:hanging="360"/>
      </w:pPr>
      <w:rPr>
        <w:rFonts w:ascii="Times New Roman" w:eastAsia="Times New Roman" w:hAnsi="Times New Roman" w:cs="Times New Roman" w:hint="default"/>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2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A423FD"/>
    <w:multiLevelType w:val="hybridMultilevel"/>
    <w:tmpl w:val="D8F833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39D3ED2"/>
    <w:multiLevelType w:val="hybridMultilevel"/>
    <w:tmpl w:val="7D602B5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7C73CD"/>
    <w:multiLevelType w:val="hybridMultilevel"/>
    <w:tmpl w:val="A2B22D1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2">
    <w:nsid w:val="414008F6"/>
    <w:multiLevelType w:val="hybridMultilevel"/>
    <w:tmpl w:val="E91C8D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46C2474F"/>
    <w:multiLevelType w:val="hybridMultilevel"/>
    <w:tmpl w:val="C0DC3E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4DB6010D"/>
    <w:multiLevelType w:val="hybridMultilevel"/>
    <w:tmpl w:val="BD223E1E"/>
    <w:lvl w:ilvl="0" w:tplc="9600FC10">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3122A2C"/>
    <w:multiLevelType w:val="multilevel"/>
    <w:tmpl w:val="6CC08A7E"/>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8">
    <w:nsid w:val="53F10280"/>
    <w:multiLevelType w:val="hybridMultilevel"/>
    <w:tmpl w:val="223A81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0">
    <w:nsid w:val="63CE1C37"/>
    <w:multiLevelType w:val="hybridMultilevel"/>
    <w:tmpl w:val="35E299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3">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4">
    <w:nsid w:val="74A76ECC"/>
    <w:multiLevelType w:val="hybridMultilevel"/>
    <w:tmpl w:val="D08419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7CA50C5"/>
    <w:multiLevelType w:val="hybridMultilevel"/>
    <w:tmpl w:val="94FA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3D718A"/>
    <w:multiLevelType w:val="hybridMultilevel"/>
    <w:tmpl w:val="306E72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7"/>
  </w:num>
  <w:num w:numId="12">
    <w:abstractNumId w:val="20"/>
  </w:num>
  <w:num w:numId="13">
    <w:abstractNumId w:val="11"/>
  </w:num>
  <w:num w:numId="14">
    <w:abstractNumId w:val="17"/>
  </w:num>
  <w:num w:numId="15">
    <w:abstractNumId w:val="30"/>
  </w:num>
  <w:num w:numId="16">
    <w:abstractNumId w:val="19"/>
  </w:num>
  <w:num w:numId="17">
    <w:abstractNumId w:val="41"/>
  </w:num>
  <w:num w:numId="18">
    <w:abstractNumId w:val="45"/>
  </w:num>
  <w:num w:numId="19">
    <w:abstractNumId w:val="42"/>
  </w:num>
  <w:num w:numId="20">
    <w:abstractNumId w:val="41"/>
  </w:num>
  <w:num w:numId="21">
    <w:abstractNumId w:val="36"/>
  </w:num>
  <w:num w:numId="22">
    <w:abstractNumId w:val="25"/>
  </w:num>
  <w:num w:numId="23">
    <w:abstractNumId w:val="26"/>
  </w:num>
  <w:num w:numId="24">
    <w:abstractNumId w:val="34"/>
  </w:num>
  <w:num w:numId="25">
    <w:abstractNumId w:val="35"/>
  </w:num>
  <w:num w:numId="26">
    <w:abstractNumId w:val="37"/>
  </w:num>
  <w:num w:numId="27">
    <w:abstractNumId w:val="0"/>
  </w:num>
  <w:num w:numId="28">
    <w:abstractNumId w:val="28"/>
  </w:num>
  <w:num w:numId="29">
    <w:abstractNumId w:val="33"/>
  </w:num>
  <w:num w:numId="30">
    <w:abstractNumId w:val="46"/>
  </w:num>
  <w:num w:numId="31">
    <w:abstractNumId w:val="40"/>
  </w:num>
  <w:num w:numId="32">
    <w:abstractNumId w:val="23"/>
  </w:num>
  <w:num w:numId="33">
    <w:abstractNumId w:val="13"/>
  </w:num>
  <w:num w:numId="34">
    <w:abstractNumId w:val="15"/>
  </w:num>
  <w:num w:numId="35">
    <w:abstractNumId w:val="16"/>
  </w:num>
  <w:num w:numId="36">
    <w:abstractNumId w:val="38"/>
  </w:num>
  <w:num w:numId="37">
    <w:abstractNumId w:val="32"/>
  </w:num>
  <w:num w:numId="38">
    <w:abstractNumId w:val="44"/>
  </w:num>
  <w:num w:numId="39">
    <w:abstractNumId w:val="47"/>
  </w:num>
  <w:num w:numId="40">
    <w:abstractNumId w:val="24"/>
  </w:num>
  <w:num w:numId="41">
    <w:abstractNumId w:val="18"/>
  </w:num>
  <w:num w:numId="42">
    <w:abstractNumId w:val="31"/>
  </w:num>
  <w:num w:numId="43">
    <w:abstractNumId w:val="12"/>
  </w:num>
  <w:num w:numId="44">
    <w:abstractNumId w:val="14"/>
  </w:num>
  <w:num w:numId="45">
    <w:abstractNumId w:val="29"/>
  </w:num>
  <w:num w:numId="46">
    <w:abstractNumId w:val="21"/>
  </w:num>
  <w:num w:numId="47">
    <w:abstractNumId w:val="22"/>
  </w:num>
  <w:num w:numId="48">
    <w:abstractNumId w:val="43"/>
  </w:num>
  <w:num w:numId="49">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34"/>
    <w:rsid w:val="0000073B"/>
    <w:rsid w:val="00002A7D"/>
    <w:rsid w:val="000038A8"/>
    <w:rsid w:val="00004CB4"/>
    <w:rsid w:val="00006790"/>
    <w:rsid w:val="00006801"/>
    <w:rsid w:val="00011658"/>
    <w:rsid w:val="00020916"/>
    <w:rsid w:val="00023789"/>
    <w:rsid w:val="00027624"/>
    <w:rsid w:val="00027947"/>
    <w:rsid w:val="00035D7C"/>
    <w:rsid w:val="0003741E"/>
    <w:rsid w:val="0004043C"/>
    <w:rsid w:val="00047D7C"/>
    <w:rsid w:val="00050F6B"/>
    <w:rsid w:val="000540FD"/>
    <w:rsid w:val="00055545"/>
    <w:rsid w:val="00056A10"/>
    <w:rsid w:val="00057BCD"/>
    <w:rsid w:val="00060675"/>
    <w:rsid w:val="000615E9"/>
    <w:rsid w:val="00062864"/>
    <w:rsid w:val="00066147"/>
    <w:rsid w:val="000678CD"/>
    <w:rsid w:val="00072C8C"/>
    <w:rsid w:val="00075498"/>
    <w:rsid w:val="00081CE0"/>
    <w:rsid w:val="00081E5B"/>
    <w:rsid w:val="00084D30"/>
    <w:rsid w:val="00090320"/>
    <w:rsid w:val="00091148"/>
    <w:rsid w:val="000931C0"/>
    <w:rsid w:val="00094AB6"/>
    <w:rsid w:val="000A15F8"/>
    <w:rsid w:val="000A2E09"/>
    <w:rsid w:val="000B175B"/>
    <w:rsid w:val="000B3A0F"/>
    <w:rsid w:val="000B41FA"/>
    <w:rsid w:val="000B7086"/>
    <w:rsid w:val="000C337C"/>
    <w:rsid w:val="000D2A5F"/>
    <w:rsid w:val="000D6464"/>
    <w:rsid w:val="000E0415"/>
    <w:rsid w:val="000E23EF"/>
    <w:rsid w:val="000E7EB0"/>
    <w:rsid w:val="000F4604"/>
    <w:rsid w:val="000F50F4"/>
    <w:rsid w:val="000F55E6"/>
    <w:rsid w:val="000F7715"/>
    <w:rsid w:val="001005B0"/>
    <w:rsid w:val="001005CB"/>
    <w:rsid w:val="00100741"/>
    <w:rsid w:val="00103E99"/>
    <w:rsid w:val="00103F4D"/>
    <w:rsid w:val="001067D9"/>
    <w:rsid w:val="00110989"/>
    <w:rsid w:val="001112A1"/>
    <w:rsid w:val="0011427A"/>
    <w:rsid w:val="0011441F"/>
    <w:rsid w:val="00122737"/>
    <w:rsid w:val="001246B9"/>
    <w:rsid w:val="00136227"/>
    <w:rsid w:val="00144613"/>
    <w:rsid w:val="00144F57"/>
    <w:rsid w:val="001457B9"/>
    <w:rsid w:val="001543B9"/>
    <w:rsid w:val="001554BC"/>
    <w:rsid w:val="00155EE4"/>
    <w:rsid w:val="00156B99"/>
    <w:rsid w:val="00162B50"/>
    <w:rsid w:val="00162D8C"/>
    <w:rsid w:val="00166124"/>
    <w:rsid w:val="00166C6A"/>
    <w:rsid w:val="00167F20"/>
    <w:rsid w:val="00170219"/>
    <w:rsid w:val="001738E7"/>
    <w:rsid w:val="00177311"/>
    <w:rsid w:val="001804FB"/>
    <w:rsid w:val="00182E16"/>
    <w:rsid w:val="00184C77"/>
    <w:rsid w:val="00184DDA"/>
    <w:rsid w:val="00186DB3"/>
    <w:rsid w:val="001900CD"/>
    <w:rsid w:val="00193039"/>
    <w:rsid w:val="0019444B"/>
    <w:rsid w:val="00194746"/>
    <w:rsid w:val="001A0452"/>
    <w:rsid w:val="001A1068"/>
    <w:rsid w:val="001A3481"/>
    <w:rsid w:val="001A61CC"/>
    <w:rsid w:val="001B4B04"/>
    <w:rsid w:val="001B4F0C"/>
    <w:rsid w:val="001B5875"/>
    <w:rsid w:val="001C1CF4"/>
    <w:rsid w:val="001C4B9C"/>
    <w:rsid w:val="001C5340"/>
    <w:rsid w:val="001C5476"/>
    <w:rsid w:val="001C6663"/>
    <w:rsid w:val="001C7895"/>
    <w:rsid w:val="001D15C4"/>
    <w:rsid w:val="001D26DF"/>
    <w:rsid w:val="001D312D"/>
    <w:rsid w:val="001D3411"/>
    <w:rsid w:val="001D5E0D"/>
    <w:rsid w:val="001D6A53"/>
    <w:rsid w:val="001E1C1C"/>
    <w:rsid w:val="001E2FF5"/>
    <w:rsid w:val="001E71E3"/>
    <w:rsid w:val="001F1599"/>
    <w:rsid w:val="001F1961"/>
    <w:rsid w:val="001F19C4"/>
    <w:rsid w:val="00202DB9"/>
    <w:rsid w:val="002033E9"/>
    <w:rsid w:val="002043F0"/>
    <w:rsid w:val="002060B9"/>
    <w:rsid w:val="0021125F"/>
    <w:rsid w:val="00211E0B"/>
    <w:rsid w:val="002138C6"/>
    <w:rsid w:val="002272AD"/>
    <w:rsid w:val="00232575"/>
    <w:rsid w:val="00247258"/>
    <w:rsid w:val="002522CE"/>
    <w:rsid w:val="0025625B"/>
    <w:rsid w:val="00257CAC"/>
    <w:rsid w:val="00257E90"/>
    <w:rsid w:val="00264088"/>
    <w:rsid w:val="00265192"/>
    <w:rsid w:val="00267431"/>
    <w:rsid w:val="00271F76"/>
    <w:rsid w:val="00274947"/>
    <w:rsid w:val="00275E19"/>
    <w:rsid w:val="0027637C"/>
    <w:rsid w:val="00276398"/>
    <w:rsid w:val="00287A5A"/>
    <w:rsid w:val="00293CF2"/>
    <w:rsid w:val="00295936"/>
    <w:rsid w:val="00296BB9"/>
    <w:rsid w:val="00296DE6"/>
    <w:rsid w:val="002974E9"/>
    <w:rsid w:val="002A0A68"/>
    <w:rsid w:val="002A173B"/>
    <w:rsid w:val="002A214F"/>
    <w:rsid w:val="002A2C6E"/>
    <w:rsid w:val="002A3557"/>
    <w:rsid w:val="002A7F94"/>
    <w:rsid w:val="002B109A"/>
    <w:rsid w:val="002B2E76"/>
    <w:rsid w:val="002B3BD4"/>
    <w:rsid w:val="002B6E77"/>
    <w:rsid w:val="002C1973"/>
    <w:rsid w:val="002C3608"/>
    <w:rsid w:val="002C57D6"/>
    <w:rsid w:val="002C6D45"/>
    <w:rsid w:val="002D3F0C"/>
    <w:rsid w:val="002D4CF0"/>
    <w:rsid w:val="002D5362"/>
    <w:rsid w:val="002D56E9"/>
    <w:rsid w:val="002D6E53"/>
    <w:rsid w:val="002D72C6"/>
    <w:rsid w:val="002D7445"/>
    <w:rsid w:val="002E0A84"/>
    <w:rsid w:val="002E1BFF"/>
    <w:rsid w:val="002E661E"/>
    <w:rsid w:val="002F046D"/>
    <w:rsid w:val="003007E7"/>
    <w:rsid w:val="00301764"/>
    <w:rsid w:val="00302B3E"/>
    <w:rsid w:val="0030331A"/>
    <w:rsid w:val="003039F1"/>
    <w:rsid w:val="00305A8D"/>
    <w:rsid w:val="00314B1E"/>
    <w:rsid w:val="003165F7"/>
    <w:rsid w:val="00320591"/>
    <w:rsid w:val="003229D8"/>
    <w:rsid w:val="00323AD2"/>
    <w:rsid w:val="0032754F"/>
    <w:rsid w:val="0033427E"/>
    <w:rsid w:val="00336C97"/>
    <w:rsid w:val="00337D65"/>
    <w:rsid w:val="00337F88"/>
    <w:rsid w:val="00342432"/>
    <w:rsid w:val="00343862"/>
    <w:rsid w:val="00346718"/>
    <w:rsid w:val="00346D0E"/>
    <w:rsid w:val="00346FF1"/>
    <w:rsid w:val="00351E7B"/>
    <w:rsid w:val="00352D4B"/>
    <w:rsid w:val="00354724"/>
    <w:rsid w:val="00354CED"/>
    <w:rsid w:val="0035530B"/>
    <w:rsid w:val="00355B89"/>
    <w:rsid w:val="0035638C"/>
    <w:rsid w:val="00360165"/>
    <w:rsid w:val="003615F8"/>
    <w:rsid w:val="00365613"/>
    <w:rsid w:val="003673F9"/>
    <w:rsid w:val="00367511"/>
    <w:rsid w:val="00367CBE"/>
    <w:rsid w:val="00370928"/>
    <w:rsid w:val="00371499"/>
    <w:rsid w:val="00383E99"/>
    <w:rsid w:val="00384031"/>
    <w:rsid w:val="00385861"/>
    <w:rsid w:val="0039263E"/>
    <w:rsid w:val="00395C9B"/>
    <w:rsid w:val="003A0F24"/>
    <w:rsid w:val="003A254D"/>
    <w:rsid w:val="003A46BB"/>
    <w:rsid w:val="003A4EC7"/>
    <w:rsid w:val="003A5808"/>
    <w:rsid w:val="003A7295"/>
    <w:rsid w:val="003B1F60"/>
    <w:rsid w:val="003B26A8"/>
    <w:rsid w:val="003B783B"/>
    <w:rsid w:val="003C2CC4"/>
    <w:rsid w:val="003C7026"/>
    <w:rsid w:val="003D094B"/>
    <w:rsid w:val="003D0AE6"/>
    <w:rsid w:val="003D4B23"/>
    <w:rsid w:val="003D58A1"/>
    <w:rsid w:val="003D7331"/>
    <w:rsid w:val="003E278A"/>
    <w:rsid w:val="003E60AF"/>
    <w:rsid w:val="003F3F23"/>
    <w:rsid w:val="003F7208"/>
    <w:rsid w:val="004012DD"/>
    <w:rsid w:val="004032CF"/>
    <w:rsid w:val="0040347C"/>
    <w:rsid w:val="00407E64"/>
    <w:rsid w:val="004118B4"/>
    <w:rsid w:val="00413520"/>
    <w:rsid w:val="00414F7A"/>
    <w:rsid w:val="00416B90"/>
    <w:rsid w:val="004303D7"/>
    <w:rsid w:val="00431D4D"/>
    <w:rsid w:val="004325CB"/>
    <w:rsid w:val="0043347B"/>
    <w:rsid w:val="00433613"/>
    <w:rsid w:val="00440A07"/>
    <w:rsid w:val="0044443C"/>
    <w:rsid w:val="00444D7C"/>
    <w:rsid w:val="00445869"/>
    <w:rsid w:val="0044630A"/>
    <w:rsid w:val="00451E9F"/>
    <w:rsid w:val="00455A33"/>
    <w:rsid w:val="00457D51"/>
    <w:rsid w:val="00460958"/>
    <w:rsid w:val="00462880"/>
    <w:rsid w:val="0047298C"/>
    <w:rsid w:val="00476F24"/>
    <w:rsid w:val="004826ED"/>
    <w:rsid w:val="0048451D"/>
    <w:rsid w:val="004858EC"/>
    <w:rsid w:val="004909E7"/>
    <w:rsid w:val="00491E3F"/>
    <w:rsid w:val="0049495B"/>
    <w:rsid w:val="004A6CF6"/>
    <w:rsid w:val="004B45B0"/>
    <w:rsid w:val="004B793E"/>
    <w:rsid w:val="004C349E"/>
    <w:rsid w:val="004C4CE0"/>
    <w:rsid w:val="004C552A"/>
    <w:rsid w:val="004C55B0"/>
    <w:rsid w:val="004D0AD5"/>
    <w:rsid w:val="004D0DC2"/>
    <w:rsid w:val="004D23C6"/>
    <w:rsid w:val="004D413B"/>
    <w:rsid w:val="004D729D"/>
    <w:rsid w:val="004E4179"/>
    <w:rsid w:val="004E694E"/>
    <w:rsid w:val="004F0E98"/>
    <w:rsid w:val="004F170B"/>
    <w:rsid w:val="004F1859"/>
    <w:rsid w:val="004F1BF2"/>
    <w:rsid w:val="004F2E8D"/>
    <w:rsid w:val="004F4040"/>
    <w:rsid w:val="004F6BA0"/>
    <w:rsid w:val="004F74F5"/>
    <w:rsid w:val="00503BEA"/>
    <w:rsid w:val="005065FE"/>
    <w:rsid w:val="00510413"/>
    <w:rsid w:val="005107D8"/>
    <w:rsid w:val="00510C5B"/>
    <w:rsid w:val="00511093"/>
    <w:rsid w:val="00521CC5"/>
    <w:rsid w:val="0052209D"/>
    <w:rsid w:val="00525E5A"/>
    <w:rsid w:val="00532D7E"/>
    <w:rsid w:val="00533616"/>
    <w:rsid w:val="00534AED"/>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FCF"/>
    <w:rsid w:val="00556B0F"/>
    <w:rsid w:val="00560336"/>
    <w:rsid w:val="0056045E"/>
    <w:rsid w:val="00560489"/>
    <w:rsid w:val="005617AD"/>
    <w:rsid w:val="00564BF4"/>
    <w:rsid w:val="00566008"/>
    <w:rsid w:val="0057037D"/>
    <w:rsid w:val="0057316B"/>
    <w:rsid w:val="00573DDF"/>
    <w:rsid w:val="00574157"/>
    <w:rsid w:val="00574D92"/>
    <w:rsid w:val="00575A8F"/>
    <w:rsid w:val="00580C0E"/>
    <w:rsid w:val="00582492"/>
    <w:rsid w:val="00584173"/>
    <w:rsid w:val="00595520"/>
    <w:rsid w:val="00595C79"/>
    <w:rsid w:val="005A1899"/>
    <w:rsid w:val="005A446F"/>
    <w:rsid w:val="005A44B9"/>
    <w:rsid w:val="005A53E0"/>
    <w:rsid w:val="005B1BA0"/>
    <w:rsid w:val="005B3DB3"/>
    <w:rsid w:val="005B3F49"/>
    <w:rsid w:val="005D1188"/>
    <w:rsid w:val="005D15CA"/>
    <w:rsid w:val="005D311A"/>
    <w:rsid w:val="005D390C"/>
    <w:rsid w:val="005D3B46"/>
    <w:rsid w:val="005D4609"/>
    <w:rsid w:val="005E23D9"/>
    <w:rsid w:val="005E3F4A"/>
    <w:rsid w:val="005E44C1"/>
    <w:rsid w:val="005F092E"/>
    <w:rsid w:val="005F1895"/>
    <w:rsid w:val="005F3066"/>
    <w:rsid w:val="005F3AFC"/>
    <w:rsid w:val="005F3E61"/>
    <w:rsid w:val="005F43DE"/>
    <w:rsid w:val="005F4B4C"/>
    <w:rsid w:val="005F50DA"/>
    <w:rsid w:val="005F51F6"/>
    <w:rsid w:val="0060098F"/>
    <w:rsid w:val="00601300"/>
    <w:rsid w:val="006014A9"/>
    <w:rsid w:val="00602FAB"/>
    <w:rsid w:val="0060391C"/>
    <w:rsid w:val="00603973"/>
    <w:rsid w:val="00604DDD"/>
    <w:rsid w:val="006056AA"/>
    <w:rsid w:val="00611542"/>
    <w:rsid w:val="006115CC"/>
    <w:rsid w:val="00611FC4"/>
    <w:rsid w:val="0061225C"/>
    <w:rsid w:val="00614B3E"/>
    <w:rsid w:val="006176FB"/>
    <w:rsid w:val="0062431F"/>
    <w:rsid w:val="006268AC"/>
    <w:rsid w:val="00630FCB"/>
    <w:rsid w:val="00632F10"/>
    <w:rsid w:val="00634C36"/>
    <w:rsid w:val="0063705E"/>
    <w:rsid w:val="0064017F"/>
    <w:rsid w:val="00640B26"/>
    <w:rsid w:val="00642502"/>
    <w:rsid w:val="006444EC"/>
    <w:rsid w:val="006455DB"/>
    <w:rsid w:val="0064562C"/>
    <w:rsid w:val="0064581C"/>
    <w:rsid w:val="00651004"/>
    <w:rsid w:val="00653BD5"/>
    <w:rsid w:val="00663D13"/>
    <w:rsid w:val="00667D6B"/>
    <w:rsid w:val="00673B06"/>
    <w:rsid w:val="006770B2"/>
    <w:rsid w:val="006815F0"/>
    <w:rsid w:val="006858C1"/>
    <w:rsid w:val="0069164A"/>
    <w:rsid w:val="006940E1"/>
    <w:rsid w:val="006A3314"/>
    <w:rsid w:val="006A3C72"/>
    <w:rsid w:val="006A6D1F"/>
    <w:rsid w:val="006A7392"/>
    <w:rsid w:val="006B03A1"/>
    <w:rsid w:val="006B14D7"/>
    <w:rsid w:val="006B67D9"/>
    <w:rsid w:val="006C17FC"/>
    <w:rsid w:val="006C21B7"/>
    <w:rsid w:val="006C48B1"/>
    <w:rsid w:val="006C5535"/>
    <w:rsid w:val="006D002D"/>
    <w:rsid w:val="006D0589"/>
    <w:rsid w:val="006D40CB"/>
    <w:rsid w:val="006E2B3C"/>
    <w:rsid w:val="006E33A7"/>
    <w:rsid w:val="006E564B"/>
    <w:rsid w:val="006E7154"/>
    <w:rsid w:val="006E7A53"/>
    <w:rsid w:val="007003CD"/>
    <w:rsid w:val="007017CC"/>
    <w:rsid w:val="00706887"/>
    <w:rsid w:val="0070701E"/>
    <w:rsid w:val="0070702F"/>
    <w:rsid w:val="00714254"/>
    <w:rsid w:val="00724C65"/>
    <w:rsid w:val="0072632A"/>
    <w:rsid w:val="00731AD4"/>
    <w:rsid w:val="0073500F"/>
    <w:rsid w:val="007358E8"/>
    <w:rsid w:val="00736ECE"/>
    <w:rsid w:val="00736FDF"/>
    <w:rsid w:val="0074291E"/>
    <w:rsid w:val="00742EC8"/>
    <w:rsid w:val="0074533B"/>
    <w:rsid w:val="00751B86"/>
    <w:rsid w:val="00752435"/>
    <w:rsid w:val="007529BF"/>
    <w:rsid w:val="0076432E"/>
    <w:rsid w:val="007643BC"/>
    <w:rsid w:val="00772FDE"/>
    <w:rsid w:val="0077342A"/>
    <w:rsid w:val="007942EA"/>
    <w:rsid w:val="007959FE"/>
    <w:rsid w:val="00796CD1"/>
    <w:rsid w:val="007A0CF1"/>
    <w:rsid w:val="007A2420"/>
    <w:rsid w:val="007A60FB"/>
    <w:rsid w:val="007A69D5"/>
    <w:rsid w:val="007A7CC0"/>
    <w:rsid w:val="007B6640"/>
    <w:rsid w:val="007B6A61"/>
    <w:rsid w:val="007B6BA5"/>
    <w:rsid w:val="007C0A8C"/>
    <w:rsid w:val="007C26C3"/>
    <w:rsid w:val="007C3390"/>
    <w:rsid w:val="007C42D8"/>
    <w:rsid w:val="007C4F4B"/>
    <w:rsid w:val="007C68C8"/>
    <w:rsid w:val="007C7034"/>
    <w:rsid w:val="007D46E2"/>
    <w:rsid w:val="007D620D"/>
    <w:rsid w:val="007D7362"/>
    <w:rsid w:val="007E4914"/>
    <w:rsid w:val="007E4958"/>
    <w:rsid w:val="007E4F92"/>
    <w:rsid w:val="007E5C38"/>
    <w:rsid w:val="007F4A78"/>
    <w:rsid w:val="007F54F8"/>
    <w:rsid w:val="007F5CE2"/>
    <w:rsid w:val="007F6611"/>
    <w:rsid w:val="007F7458"/>
    <w:rsid w:val="00800E32"/>
    <w:rsid w:val="0080240F"/>
    <w:rsid w:val="0080453F"/>
    <w:rsid w:val="00804EB7"/>
    <w:rsid w:val="00806786"/>
    <w:rsid w:val="00807636"/>
    <w:rsid w:val="00810BAC"/>
    <w:rsid w:val="00813872"/>
    <w:rsid w:val="00816F31"/>
    <w:rsid w:val="008175E9"/>
    <w:rsid w:val="00820437"/>
    <w:rsid w:val="008242D7"/>
    <w:rsid w:val="00825578"/>
    <w:rsid w:val="0082577B"/>
    <w:rsid w:val="00827C9D"/>
    <w:rsid w:val="0083503F"/>
    <w:rsid w:val="008446A8"/>
    <w:rsid w:val="00846160"/>
    <w:rsid w:val="0085288A"/>
    <w:rsid w:val="008558E7"/>
    <w:rsid w:val="00856E64"/>
    <w:rsid w:val="00860C14"/>
    <w:rsid w:val="00860E05"/>
    <w:rsid w:val="00861EF0"/>
    <w:rsid w:val="008640E3"/>
    <w:rsid w:val="00866367"/>
    <w:rsid w:val="00866893"/>
    <w:rsid w:val="00866C63"/>
    <w:rsid w:val="00866F02"/>
    <w:rsid w:val="00867D18"/>
    <w:rsid w:val="00871F9A"/>
    <w:rsid w:val="00871FD5"/>
    <w:rsid w:val="00875B98"/>
    <w:rsid w:val="00875DB2"/>
    <w:rsid w:val="00876B8E"/>
    <w:rsid w:val="00876DD0"/>
    <w:rsid w:val="0088128C"/>
    <w:rsid w:val="0088172E"/>
    <w:rsid w:val="00881EFA"/>
    <w:rsid w:val="00883E28"/>
    <w:rsid w:val="00884DA4"/>
    <w:rsid w:val="00885C96"/>
    <w:rsid w:val="008871C4"/>
    <w:rsid w:val="00890ABB"/>
    <w:rsid w:val="008946DC"/>
    <w:rsid w:val="008969F4"/>
    <w:rsid w:val="00896F12"/>
    <w:rsid w:val="008979B1"/>
    <w:rsid w:val="008A1A38"/>
    <w:rsid w:val="008A4001"/>
    <w:rsid w:val="008A5647"/>
    <w:rsid w:val="008A6B25"/>
    <w:rsid w:val="008A6C4F"/>
    <w:rsid w:val="008B35B6"/>
    <w:rsid w:val="008B389E"/>
    <w:rsid w:val="008B71AB"/>
    <w:rsid w:val="008C5BCB"/>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6C2"/>
    <w:rsid w:val="008F3882"/>
    <w:rsid w:val="008F3C40"/>
    <w:rsid w:val="008F4B7C"/>
    <w:rsid w:val="008F68DF"/>
    <w:rsid w:val="009022D5"/>
    <w:rsid w:val="009037A5"/>
    <w:rsid w:val="00912CD9"/>
    <w:rsid w:val="00914A38"/>
    <w:rsid w:val="00914DC3"/>
    <w:rsid w:val="00916231"/>
    <w:rsid w:val="00916A7D"/>
    <w:rsid w:val="00924B28"/>
    <w:rsid w:val="00926E47"/>
    <w:rsid w:val="00930123"/>
    <w:rsid w:val="0093309A"/>
    <w:rsid w:val="009331E7"/>
    <w:rsid w:val="00933501"/>
    <w:rsid w:val="0093690F"/>
    <w:rsid w:val="009461B9"/>
    <w:rsid w:val="00947162"/>
    <w:rsid w:val="00952D14"/>
    <w:rsid w:val="00953163"/>
    <w:rsid w:val="0095614F"/>
    <w:rsid w:val="009601FF"/>
    <w:rsid w:val="00960B28"/>
    <w:rsid w:val="00960D5D"/>
    <w:rsid w:val="009610D0"/>
    <w:rsid w:val="0096375C"/>
    <w:rsid w:val="009640B5"/>
    <w:rsid w:val="009651AD"/>
    <w:rsid w:val="009662E6"/>
    <w:rsid w:val="0096710F"/>
    <w:rsid w:val="0097095E"/>
    <w:rsid w:val="00970FB2"/>
    <w:rsid w:val="00980F57"/>
    <w:rsid w:val="0098363A"/>
    <w:rsid w:val="0098592B"/>
    <w:rsid w:val="00985FC4"/>
    <w:rsid w:val="00990766"/>
    <w:rsid w:val="00991261"/>
    <w:rsid w:val="00992C68"/>
    <w:rsid w:val="009933FB"/>
    <w:rsid w:val="00993C00"/>
    <w:rsid w:val="009964C4"/>
    <w:rsid w:val="009A17C1"/>
    <w:rsid w:val="009A1981"/>
    <w:rsid w:val="009A1AA6"/>
    <w:rsid w:val="009A387E"/>
    <w:rsid w:val="009A7B81"/>
    <w:rsid w:val="009B1167"/>
    <w:rsid w:val="009B412C"/>
    <w:rsid w:val="009B4ED6"/>
    <w:rsid w:val="009C0CA4"/>
    <w:rsid w:val="009C1852"/>
    <w:rsid w:val="009C469B"/>
    <w:rsid w:val="009C6857"/>
    <w:rsid w:val="009C76A4"/>
    <w:rsid w:val="009D01C0"/>
    <w:rsid w:val="009D332A"/>
    <w:rsid w:val="009D5A4F"/>
    <w:rsid w:val="009D6A08"/>
    <w:rsid w:val="009D73DF"/>
    <w:rsid w:val="009E0A16"/>
    <w:rsid w:val="009E2071"/>
    <w:rsid w:val="009E2A4F"/>
    <w:rsid w:val="009E3916"/>
    <w:rsid w:val="009E6886"/>
    <w:rsid w:val="009E6A33"/>
    <w:rsid w:val="009E7970"/>
    <w:rsid w:val="009F1873"/>
    <w:rsid w:val="009F193F"/>
    <w:rsid w:val="009F2EAC"/>
    <w:rsid w:val="009F46ED"/>
    <w:rsid w:val="009F57E3"/>
    <w:rsid w:val="009F7765"/>
    <w:rsid w:val="00A03642"/>
    <w:rsid w:val="00A050B1"/>
    <w:rsid w:val="00A10F4F"/>
    <w:rsid w:val="00A11067"/>
    <w:rsid w:val="00A1704A"/>
    <w:rsid w:val="00A21121"/>
    <w:rsid w:val="00A225C6"/>
    <w:rsid w:val="00A23E9E"/>
    <w:rsid w:val="00A26E3B"/>
    <w:rsid w:val="00A279CC"/>
    <w:rsid w:val="00A37B2F"/>
    <w:rsid w:val="00A425EB"/>
    <w:rsid w:val="00A4286E"/>
    <w:rsid w:val="00A45659"/>
    <w:rsid w:val="00A45CB7"/>
    <w:rsid w:val="00A47439"/>
    <w:rsid w:val="00A6534B"/>
    <w:rsid w:val="00A72F22"/>
    <w:rsid w:val="00A733BC"/>
    <w:rsid w:val="00A73E2C"/>
    <w:rsid w:val="00A748A6"/>
    <w:rsid w:val="00A749C1"/>
    <w:rsid w:val="00A76A69"/>
    <w:rsid w:val="00A779EA"/>
    <w:rsid w:val="00A77D0C"/>
    <w:rsid w:val="00A8243E"/>
    <w:rsid w:val="00A824E7"/>
    <w:rsid w:val="00A84033"/>
    <w:rsid w:val="00A879A4"/>
    <w:rsid w:val="00A87DD0"/>
    <w:rsid w:val="00A90FE7"/>
    <w:rsid w:val="00A96696"/>
    <w:rsid w:val="00AA0FF8"/>
    <w:rsid w:val="00AA1F83"/>
    <w:rsid w:val="00AA2178"/>
    <w:rsid w:val="00AA6950"/>
    <w:rsid w:val="00AB2271"/>
    <w:rsid w:val="00AB2A66"/>
    <w:rsid w:val="00AB54F9"/>
    <w:rsid w:val="00AC0F2C"/>
    <w:rsid w:val="00AC1B06"/>
    <w:rsid w:val="00AC284C"/>
    <w:rsid w:val="00AC2934"/>
    <w:rsid w:val="00AC502A"/>
    <w:rsid w:val="00AC66D9"/>
    <w:rsid w:val="00AD3C38"/>
    <w:rsid w:val="00AD3D9B"/>
    <w:rsid w:val="00AD5645"/>
    <w:rsid w:val="00AD70DA"/>
    <w:rsid w:val="00AD7C3B"/>
    <w:rsid w:val="00AE2A78"/>
    <w:rsid w:val="00AE4213"/>
    <w:rsid w:val="00AF2D03"/>
    <w:rsid w:val="00AF3A98"/>
    <w:rsid w:val="00AF58C1"/>
    <w:rsid w:val="00AF7182"/>
    <w:rsid w:val="00B03E68"/>
    <w:rsid w:val="00B04E8B"/>
    <w:rsid w:val="00B06643"/>
    <w:rsid w:val="00B070AF"/>
    <w:rsid w:val="00B12BD7"/>
    <w:rsid w:val="00B15055"/>
    <w:rsid w:val="00B17002"/>
    <w:rsid w:val="00B17FC5"/>
    <w:rsid w:val="00B30179"/>
    <w:rsid w:val="00B37647"/>
    <w:rsid w:val="00B37B15"/>
    <w:rsid w:val="00B43415"/>
    <w:rsid w:val="00B4482F"/>
    <w:rsid w:val="00B44E39"/>
    <w:rsid w:val="00B45457"/>
    <w:rsid w:val="00B45C02"/>
    <w:rsid w:val="00B47820"/>
    <w:rsid w:val="00B51636"/>
    <w:rsid w:val="00B55836"/>
    <w:rsid w:val="00B6020A"/>
    <w:rsid w:val="00B60F57"/>
    <w:rsid w:val="00B7143E"/>
    <w:rsid w:val="00B72A1E"/>
    <w:rsid w:val="00B81E12"/>
    <w:rsid w:val="00B863AD"/>
    <w:rsid w:val="00B9212E"/>
    <w:rsid w:val="00B95C16"/>
    <w:rsid w:val="00B9610A"/>
    <w:rsid w:val="00B96387"/>
    <w:rsid w:val="00BA339B"/>
    <w:rsid w:val="00BB0037"/>
    <w:rsid w:val="00BB09D5"/>
    <w:rsid w:val="00BB15E7"/>
    <w:rsid w:val="00BB212D"/>
    <w:rsid w:val="00BB39A7"/>
    <w:rsid w:val="00BB3A01"/>
    <w:rsid w:val="00BB793E"/>
    <w:rsid w:val="00BB7DE7"/>
    <w:rsid w:val="00BC037E"/>
    <w:rsid w:val="00BC1E7E"/>
    <w:rsid w:val="00BC218B"/>
    <w:rsid w:val="00BC2E45"/>
    <w:rsid w:val="00BC4B30"/>
    <w:rsid w:val="00BC66AE"/>
    <w:rsid w:val="00BC74E9"/>
    <w:rsid w:val="00BD1FF0"/>
    <w:rsid w:val="00BD47D8"/>
    <w:rsid w:val="00BE1D52"/>
    <w:rsid w:val="00BE36A9"/>
    <w:rsid w:val="00BE3C3A"/>
    <w:rsid w:val="00BE6001"/>
    <w:rsid w:val="00BE618E"/>
    <w:rsid w:val="00BE7BEC"/>
    <w:rsid w:val="00BF0A5A"/>
    <w:rsid w:val="00BF0E63"/>
    <w:rsid w:val="00BF12A3"/>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304FB"/>
    <w:rsid w:val="00C31D25"/>
    <w:rsid w:val="00C32355"/>
    <w:rsid w:val="00C35AD0"/>
    <w:rsid w:val="00C361B2"/>
    <w:rsid w:val="00C36C41"/>
    <w:rsid w:val="00C37FB7"/>
    <w:rsid w:val="00C436C1"/>
    <w:rsid w:val="00C443B0"/>
    <w:rsid w:val="00C44BB0"/>
    <w:rsid w:val="00C45BBB"/>
    <w:rsid w:val="00C463DD"/>
    <w:rsid w:val="00C4667E"/>
    <w:rsid w:val="00C515F4"/>
    <w:rsid w:val="00C5214F"/>
    <w:rsid w:val="00C54EFC"/>
    <w:rsid w:val="00C60828"/>
    <w:rsid w:val="00C6325B"/>
    <w:rsid w:val="00C64E90"/>
    <w:rsid w:val="00C70809"/>
    <w:rsid w:val="00C729AB"/>
    <w:rsid w:val="00C745C3"/>
    <w:rsid w:val="00C76B77"/>
    <w:rsid w:val="00C7762A"/>
    <w:rsid w:val="00C805A7"/>
    <w:rsid w:val="00C82B16"/>
    <w:rsid w:val="00C85F53"/>
    <w:rsid w:val="00CA10EF"/>
    <w:rsid w:val="00CA2221"/>
    <w:rsid w:val="00CA24A4"/>
    <w:rsid w:val="00CA3137"/>
    <w:rsid w:val="00CA3EFA"/>
    <w:rsid w:val="00CB1F74"/>
    <w:rsid w:val="00CB2995"/>
    <w:rsid w:val="00CB348D"/>
    <w:rsid w:val="00CB34BE"/>
    <w:rsid w:val="00CB763D"/>
    <w:rsid w:val="00CC6524"/>
    <w:rsid w:val="00CC67F3"/>
    <w:rsid w:val="00CD01D6"/>
    <w:rsid w:val="00CD46F5"/>
    <w:rsid w:val="00CD6C29"/>
    <w:rsid w:val="00CE47CE"/>
    <w:rsid w:val="00CE4A8F"/>
    <w:rsid w:val="00CE52ED"/>
    <w:rsid w:val="00CE6F0E"/>
    <w:rsid w:val="00CF009E"/>
    <w:rsid w:val="00CF071D"/>
    <w:rsid w:val="00CF0ACE"/>
    <w:rsid w:val="00CF116C"/>
    <w:rsid w:val="00CF4F5E"/>
    <w:rsid w:val="00CF6FCF"/>
    <w:rsid w:val="00D05497"/>
    <w:rsid w:val="00D05AF4"/>
    <w:rsid w:val="00D104BC"/>
    <w:rsid w:val="00D15B04"/>
    <w:rsid w:val="00D2031B"/>
    <w:rsid w:val="00D22B9F"/>
    <w:rsid w:val="00D22F8F"/>
    <w:rsid w:val="00D23EAC"/>
    <w:rsid w:val="00D25EC1"/>
    <w:rsid w:val="00D25FE2"/>
    <w:rsid w:val="00D26CA8"/>
    <w:rsid w:val="00D27303"/>
    <w:rsid w:val="00D37DA9"/>
    <w:rsid w:val="00D406A7"/>
    <w:rsid w:val="00D410E0"/>
    <w:rsid w:val="00D412AC"/>
    <w:rsid w:val="00D43252"/>
    <w:rsid w:val="00D44D86"/>
    <w:rsid w:val="00D45141"/>
    <w:rsid w:val="00D4564E"/>
    <w:rsid w:val="00D45D41"/>
    <w:rsid w:val="00D45E1C"/>
    <w:rsid w:val="00D465BD"/>
    <w:rsid w:val="00D46856"/>
    <w:rsid w:val="00D50B7D"/>
    <w:rsid w:val="00D514AA"/>
    <w:rsid w:val="00D52012"/>
    <w:rsid w:val="00D52523"/>
    <w:rsid w:val="00D55857"/>
    <w:rsid w:val="00D66FFA"/>
    <w:rsid w:val="00D704E5"/>
    <w:rsid w:val="00D70771"/>
    <w:rsid w:val="00D72727"/>
    <w:rsid w:val="00D72E93"/>
    <w:rsid w:val="00D72F03"/>
    <w:rsid w:val="00D731DD"/>
    <w:rsid w:val="00D76B9F"/>
    <w:rsid w:val="00D85BAE"/>
    <w:rsid w:val="00D8651E"/>
    <w:rsid w:val="00D92CF5"/>
    <w:rsid w:val="00D94715"/>
    <w:rsid w:val="00D95018"/>
    <w:rsid w:val="00D978C6"/>
    <w:rsid w:val="00DA049A"/>
    <w:rsid w:val="00DA0956"/>
    <w:rsid w:val="00DA357F"/>
    <w:rsid w:val="00DA3E12"/>
    <w:rsid w:val="00DA613D"/>
    <w:rsid w:val="00DB01F1"/>
    <w:rsid w:val="00DB66FA"/>
    <w:rsid w:val="00DC1369"/>
    <w:rsid w:val="00DC18AD"/>
    <w:rsid w:val="00DC49A3"/>
    <w:rsid w:val="00DC646C"/>
    <w:rsid w:val="00DD37F9"/>
    <w:rsid w:val="00DE0CB9"/>
    <w:rsid w:val="00DE171E"/>
    <w:rsid w:val="00DE2772"/>
    <w:rsid w:val="00DE3A31"/>
    <w:rsid w:val="00DE5105"/>
    <w:rsid w:val="00DE51D0"/>
    <w:rsid w:val="00DF1A1E"/>
    <w:rsid w:val="00DF6A82"/>
    <w:rsid w:val="00DF7CAE"/>
    <w:rsid w:val="00E011C6"/>
    <w:rsid w:val="00E019E5"/>
    <w:rsid w:val="00E02011"/>
    <w:rsid w:val="00E07935"/>
    <w:rsid w:val="00E11827"/>
    <w:rsid w:val="00E13838"/>
    <w:rsid w:val="00E1773B"/>
    <w:rsid w:val="00E22C84"/>
    <w:rsid w:val="00E31E66"/>
    <w:rsid w:val="00E32CDB"/>
    <w:rsid w:val="00E34FF6"/>
    <w:rsid w:val="00E423C0"/>
    <w:rsid w:val="00E50514"/>
    <w:rsid w:val="00E6414C"/>
    <w:rsid w:val="00E65A3A"/>
    <w:rsid w:val="00E6637D"/>
    <w:rsid w:val="00E66DA2"/>
    <w:rsid w:val="00E672D8"/>
    <w:rsid w:val="00E7260F"/>
    <w:rsid w:val="00E72F7E"/>
    <w:rsid w:val="00E7473C"/>
    <w:rsid w:val="00E76F62"/>
    <w:rsid w:val="00E77550"/>
    <w:rsid w:val="00E82C50"/>
    <w:rsid w:val="00E851A7"/>
    <w:rsid w:val="00E8533A"/>
    <w:rsid w:val="00E86772"/>
    <w:rsid w:val="00E8702D"/>
    <w:rsid w:val="00E916A9"/>
    <w:rsid w:val="00E916DE"/>
    <w:rsid w:val="00E9500C"/>
    <w:rsid w:val="00E962DA"/>
    <w:rsid w:val="00E96630"/>
    <w:rsid w:val="00EA667E"/>
    <w:rsid w:val="00EA7078"/>
    <w:rsid w:val="00EC52FF"/>
    <w:rsid w:val="00ED11EE"/>
    <w:rsid w:val="00ED18DC"/>
    <w:rsid w:val="00ED4024"/>
    <w:rsid w:val="00ED5158"/>
    <w:rsid w:val="00ED6201"/>
    <w:rsid w:val="00ED7A2A"/>
    <w:rsid w:val="00EE054F"/>
    <w:rsid w:val="00EE0802"/>
    <w:rsid w:val="00EE0A1B"/>
    <w:rsid w:val="00EE17D5"/>
    <w:rsid w:val="00EE2610"/>
    <w:rsid w:val="00EE327A"/>
    <w:rsid w:val="00EE4832"/>
    <w:rsid w:val="00EE688E"/>
    <w:rsid w:val="00EE7AEA"/>
    <w:rsid w:val="00EF1D7F"/>
    <w:rsid w:val="00EF1F44"/>
    <w:rsid w:val="00EF20DA"/>
    <w:rsid w:val="00EF4426"/>
    <w:rsid w:val="00EF5372"/>
    <w:rsid w:val="00EF76D4"/>
    <w:rsid w:val="00EF7B5F"/>
    <w:rsid w:val="00F0137E"/>
    <w:rsid w:val="00F04BFD"/>
    <w:rsid w:val="00F06E17"/>
    <w:rsid w:val="00F0767C"/>
    <w:rsid w:val="00F07C7F"/>
    <w:rsid w:val="00F1070E"/>
    <w:rsid w:val="00F1457B"/>
    <w:rsid w:val="00F16C3C"/>
    <w:rsid w:val="00F1745C"/>
    <w:rsid w:val="00F21786"/>
    <w:rsid w:val="00F217A6"/>
    <w:rsid w:val="00F32753"/>
    <w:rsid w:val="00F3742B"/>
    <w:rsid w:val="00F409F1"/>
    <w:rsid w:val="00F41FDB"/>
    <w:rsid w:val="00F449D7"/>
    <w:rsid w:val="00F46066"/>
    <w:rsid w:val="00F5337D"/>
    <w:rsid w:val="00F55E47"/>
    <w:rsid w:val="00F56D63"/>
    <w:rsid w:val="00F609A9"/>
    <w:rsid w:val="00F674AD"/>
    <w:rsid w:val="00F67A2B"/>
    <w:rsid w:val="00F73569"/>
    <w:rsid w:val="00F7747C"/>
    <w:rsid w:val="00F80C99"/>
    <w:rsid w:val="00F81788"/>
    <w:rsid w:val="00F81FD2"/>
    <w:rsid w:val="00F867EC"/>
    <w:rsid w:val="00F900B0"/>
    <w:rsid w:val="00F91B2B"/>
    <w:rsid w:val="00F95B56"/>
    <w:rsid w:val="00F961BC"/>
    <w:rsid w:val="00F9679D"/>
    <w:rsid w:val="00FA4C59"/>
    <w:rsid w:val="00FA69B8"/>
    <w:rsid w:val="00FB2FDA"/>
    <w:rsid w:val="00FB3E33"/>
    <w:rsid w:val="00FB7ADE"/>
    <w:rsid w:val="00FC03CD"/>
    <w:rsid w:val="00FC0646"/>
    <w:rsid w:val="00FC0826"/>
    <w:rsid w:val="00FC3B4F"/>
    <w:rsid w:val="00FC68B7"/>
    <w:rsid w:val="00FC7163"/>
    <w:rsid w:val="00FD50BB"/>
    <w:rsid w:val="00FD7515"/>
    <w:rsid w:val="00FD7671"/>
    <w:rsid w:val="00FE06CA"/>
    <w:rsid w:val="00FE12E3"/>
    <w:rsid w:val="00FE236E"/>
    <w:rsid w:val="00FE6985"/>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034"/>
    <w:pPr>
      <w:suppressAutoHyphens/>
      <w:spacing w:line="240" w:lineRule="atLeast"/>
    </w:pPr>
    <w:rPr>
      <w:rFonts w:eastAsia="Times New Roman"/>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qFormat/>
    <w:pPr>
      <w:spacing w:after="120"/>
      <w:ind w:left="1134" w:right="1134"/>
      <w:jc w:val="both"/>
    </w:pPr>
    <w:rPr>
      <w:rFonts w:eastAsia="MS Mincho"/>
      <w:lang w:eastAsia="ja-JP"/>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3"/>
      </w:numPr>
    </w:pPr>
  </w:style>
  <w:style w:type="character" w:customStyle="1" w:styleId="HChGChar">
    <w:name w:val="_ H _Ch_G Char"/>
    <w:link w:val="HChG"/>
    <w:rsid w:val="00D70771"/>
    <w:rPr>
      <w:rFonts w:eastAsia="Times New Roman"/>
      <w:b/>
      <w:sz w:val="28"/>
      <w:lang w:eastAsia="en-US"/>
    </w:rPr>
  </w:style>
  <w:style w:type="paragraph" w:styleId="ColorfulList-Accent1">
    <w:name w:val="Colorful List Accent 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034"/>
    <w:pPr>
      <w:suppressAutoHyphens/>
      <w:spacing w:line="240" w:lineRule="atLeast"/>
    </w:pPr>
    <w:rPr>
      <w:rFonts w:eastAsia="Times New Roman"/>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qFormat/>
    <w:pPr>
      <w:spacing w:after="120"/>
      <w:ind w:left="1134" w:right="1134"/>
      <w:jc w:val="both"/>
    </w:pPr>
    <w:rPr>
      <w:rFonts w:eastAsia="MS Mincho"/>
      <w:lang w:eastAsia="ja-JP"/>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3"/>
      </w:numPr>
    </w:pPr>
  </w:style>
  <w:style w:type="character" w:customStyle="1" w:styleId="HChGChar">
    <w:name w:val="_ H _Ch_G Char"/>
    <w:link w:val="HChG"/>
    <w:rsid w:val="00D70771"/>
    <w:rPr>
      <w:rFonts w:eastAsia="Times New Roman"/>
      <w:b/>
      <w:sz w:val="28"/>
      <w:lang w:eastAsia="en-US"/>
    </w:rPr>
  </w:style>
  <w:style w:type="paragraph" w:styleId="ColorfulList-Accent1">
    <w:name w:val="Colorful List Accent 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728C-35A6-4E3C-950D-7A7BBF8F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3435</Words>
  <Characters>19585</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UNECE</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3</cp:revision>
  <cp:lastPrinted>2015-03-26T06:28:00Z</cp:lastPrinted>
  <dcterms:created xsi:type="dcterms:W3CDTF">2015-09-23T15:12:00Z</dcterms:created>
  <dcterms:modified xsi:type="dcterms:W3CDTF">2015-09-23T15:14:00Z</dcterms:modified>
</cp:coreProperties>
</file>