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05" w:rsidRDefault="00F62A05" w:rsidP="00F62A05">
      <w:pPr>
        <w:spacing w:line="240" w:lineRule="auto"/>
        <w:rPr>
          <w:sz w:val="2"/>
        </w:rPr>
        <w:sectPr w:rsidR="00F62A05" w:rsidSect="00F62A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</w:p>
    <w:p w:rsidR="00F62A05" w:rsidRDefault="00F62A05" w:rsidP="005132F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Commission économique pour l</w:t>
      </w:r>
      <w:r w:rsidR="005132F9">
        <w:t>’</w:t>
      </w:r>
      <w:r>
        <w:t>Europe</w:t>
      </w:r>
    </w:p>
    <w:p w:rsidR="005132F9" w:rsidRPr="005132F9" w:rsidRDefault="005132F9" w:rsidP="005132F9">
      <w:pPr>
        <w:pStyle w:val="H1"/>
        <w:spacing w:line="120" w:lineRule="exact"/>
        <w:rPr>
          <w:b w:val="0"/>
          <w:sz w:val="10"/>
        </w:rPr>
      </w:pPr>
    </w:p>
    <w:p w:rsidR="00F62A05" w:rsidRPr="005132F9" w:rsidRDefault="00F62A05" w:rsidP="005132F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5132F9">
        <w:rPr>
          <w:b w:val="0"/>
        </w:rPr>
        <w:t>Comité des transports intérieurs</w:t>
      </w:r>
    </w:p>
    <w:p w:rsidR="005132F9" w:rsidRPr="005132F9" w:rsidRDefault="005132F9" w:rsidP="005132F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A24ED1" w:rsidRDefault="00A24ED1" w:rsidP="005132F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A24ED1">
        <w:rPr>
          <w:lang w:val="fr-FR"/>
        </w:rPr>
        <w:t xml:space="preserve">Groupe de travail des transports </w:t>
      </w:r>
      <w:r>
        <w:rPr>
          <w:lang w:val="fr-FR"/>
        </w:rPr>
        <w:br/>
      </w:r>
      <w:r w:rsidRPr="00A24ED1">
        <w:rPr>
          <w:lang w:val="fr-FR"/>
        </w:rPr>
        <w:t>de marchandises dangereuses</w:t>
      </w:r>
    </w:p>
    <w:p w:rsidR="0074132A" w:rsidRPr="005132F9" w:rsidRDefault="0074132A" w:rsidP="005132F9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A24ED1" w:rsidRDefault="00A24ED1" w:rsidP="00A24ED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A24ED1">
        <w:rPr>
          <w:lang w:val="fr-FR"/>
        </w:rPr>
        <w:t>Réunion commune de la Commission d</w:t>
      </w:r>
      <w:r w:rsidR="005132F9">
        <w:rPr>
          <w:lang w:val="fr-FR"/>
        </w:rPr>
        <w:t>’</w:t>
      </w:r>
      <w:r w:rsidRPr="00A24ED1">
        <w:rPr>
          <w:lang w:val="fr-FR"/>
        </w:rPr>
        <w:t xml:space="preserve">experts </w:t>
      </w:r>
      <w:r w:rsidR="007331F7">
        <w:rPr>
          <w:lang w:val="fr-FR"/>
        </w:rPr>
        <w:br/>
      </w:r>
      <w:r w:rsidRPr="00A24ED1">
        <w:rPr>
          <w:lang w:val="fr-FR"/>
        </w:rPr>
        <w:t>du RID</w:t>
      </w:r>
      <w:r>
        <w:rPr>
          <w:lang w:val="fr-FR"/>
        </w:rPr>
        <w:t xml:space="preserve"> </w:t>
      </w:r>
      <w:r w:rsidRPr="00A24ED1">
        <w:rPr>
          <w:lang w:val="fr-FR"/>
        </w:rPr>
        <w:t xml:space="preserve">et du Groupe de travail des transports </w:t>
      </w:r>
      <w:r>
        <w:rPr>
          <w:lang w:val="fr-FR"/>
        </w:rPr>
        <w:br/>
      </w:r>
      <w:r w:rsidRPr="00A24ED1">
        <w:rPr>
          <w:lang w:val="fr-FR"/>
        </w:rPr>
        <w:t>de marchandises dangereuses</w:t>
      </w:r>
    </w:p>
    <w:p w:rsidR="00A24ED1" w:rsidRPr="00A24ED1" w:rsidRDefault="00A24ED1" w:rsidP="00A24ED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A24ED1">
        <w:rPr>
          <w:lang w:val="fr-FR"/>
        </w:rPr>
        <w:t>Genève, 15-25 septembre 2015</w:t>
      </w:r>
    </w:p>
    <w:p w:rsidR="00A24ED1" w:rsidRPr="00A24ED1" w:rsidRDefault="00A24ED1" w:rsidP="00A24ED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A24ED1">
        <w:rPr>
          <w:lang w:val="fr-FR"/>
        </w:rPr>
        <w:t>Point 2 de l</w:t>
      </w:r>
      <w:r w:rsidR="005132F9">
        <w:rPr>
          <w:lang w:val="fr-FR"/>
        </w:rPr>
        <w:t>’</w:t>
      </w:r>
      <w:r w:rsidRPr="00A24ED1">
        <w:rPr>
          <w:lang w:val="fr-FR"/>
        </w:rPr>
        <w:t>ordre du jour provisoire</w:t>
      </w:r>
    </w:p>
    <w:p w:rsidR="00A24ED1" w:rsidRDefault="00A24ED1" w:rsidP="00A24E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A24ED1">
        <w:rPr>
          <w:lang w:val="fr-FR"/>
        </w:rPr>
        <w:t>Citernes</w:t>
      </w:r>
    </w:p>
    <w:p w:rsidR="00A24ED1" w:rsidRPr="00A24ED1" w:rsidRDefault="00A24ED1" w:rsidP="00A24ED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A24ED1" w:rsidRPr="00A24ED1" w:rsidRDefault="00A24ED1" w:rsidP="00A24ED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A24ED1" w:rsidRPr="00A24ED1" w:rsidRDefault="00A24ED1" w:rsidP="00A24ED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A24ED1" w:rsidRDefault="00A24ED1" w:rsidP="00A24E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24ED1">
        <w:tab/>
      </w:r>
      <w:r w:rsidRPr="00A24ED1">
        <w:tab/>
      </w:r>
      <w:r w:rsidRPr="00A24ED1">
        <w:rPr>
          <w:lang w:val="fr-CH"/>
        </w:rPr>
        <w:t>R</w:t>
      </w:r>
      <w:proofErr w:type="spellStart"/>
      <w:r w:rsidRPr="00A24ED1">
        <w:t>éservoirs</w:t>
      </w:r>
      <w:proofErr w:type="spellEnd"/>
      <w:r w:rsidRPr="00A24ED1">
        <w:t xml:space="preserve"> avec revêtement</w:t>
      </w:r>
      <w:r w:rsidRPr="00A24ED1">
        <w:rPr>
          <w:lang w:val="fr-CH"/>
        </w:rPr>
        <w:t>s</w:t>
      </w:r>
      <w:r w:rsidRPr="00A24ED1">
        <w:t xml:space="preserve"> protecteur</w:t>
      </w:r>
      <w:r w:rsidRPr="00A24ED1">
        <w:rPr>
          <w:lang w:val="fr-CH"/>
        </w:rPr>
        <w:t>s</w:t>
      </w:r>
    </w:p>
    <w:p w:rsidR="00A24ED1" w:rsidRPr="00A24ED1" w:rsidRDefault="00A24ED1" w:rsidP="00A24ED1">
      <w:pPr>
        <w:pStyle w:val="SingleTxt"/>
        <w:spacing w:after="0" w:line="120" w:lineRule="exact"/>
        <w:rPr>
          <w:sz w:val="10"/>
          <w:lang w:val="fr-CH"/>
        </w:rPr>
      </w:pPr>
    </w:p>
    <w:p w:rsidR="00A24ED1" w:rsidRPr="00A24ED1" w:rsidRDefault="00A24ED1" w:rsidP="00A24ED1">
      <w:pPr>
        <w:pStyle w:val="SingleTxt"/>
        <w:spacing w:after="0" w:line="120" w:lineRule="exact"/>
        <w:rPr>
          <w:sz w:val="10"/>
          <w:lang w:val="fr-CH"/>
        </w:rPr>
      </w:pPr>
    </w:p>
    <w:p w:rsidR="00A24ED1" w:rsidRPr="00F47154" w:rsidRDefault="00A24ED1" w:rsidP="00A24E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24ED1">
        <w:rPr>
          <w:lang w:val="fr-FR"/>
        </w:rPr>
        <w:tab/>
      </w:r>
      <w:r w:rsidRPr="00A24ED1">
        <w:rPr>
          <w:lang w:val="fr-FR"/>
        </w:rPr>
        <w:tab/>
        <w:t>Communication du Gouvernement des Pays-Bas</w:t>
      </w:r>
      <w:r w:rsidRPr="00A24ED1">
        <w:rPr>
          <w:rStyle w:val="FootnoteReference"/>
          <w:b w:val="0"/>
          <w:color w:val="auto"/>
          <w:sz w:val="17"/>
          <w:szCs w:val="20"/>
        </w:rPr>
        <w:footnoteReference w:id="1"/>
      </w:r>
      <w:r w:rsidRPr="00A24ED1">
        <w:rPr>
          <w:b w:val="0"/>
          <w:sz w:val="20"/>
          <w:szCs w:val="20"/>
          <w:vertAlign w:val="superscript"/>
          <w:lang w:val="fr-FR"/>
        </w:rPr>
        <w:t>,</w:t>
      </w:r>
      <w:r w:rsidRPr="00A24ED1">
        <w:rPr>
          <w:b w:val="0"/>
          <w:lang w:val="fr-FR"/>
        </w:rPr>
        <w:t xml:space="preserve"> </w:t>
      </w:r>
      <w:r w:rsidRPr="00A24ED1">
        <w:rPr>
          <w:rStyle w:val="FootnoteReference"/>
          <w:b w:val="0"/>
          <w:color w:val="auto"/>
          <w:sz w:val="17"/>
          <w:szCs w:val="20"/>
        </w:rPr>
        <w:footnoteReference w:id="2"/>
      </w:r>
    </w:p>
    <w:p w:rsidR="00F62A05" w:rsidRPr="00A24ED1" w:rsidRDefault="00F62A05" w:rsidP="00A24ED1">
      <w:pPr>
        <w:pStyle w:val="SingleTxt"/>
        <w:spacing w:after="0" w:line="120" w:lineRule="exact"/>
        <w:rPr>
          <w:sz w:val="10"/>
        </w:rPr>
      </w:pPr>
    </w:p>
    <w:p w:rsidR="00A24ED1" w:rsidRPr="00A24ED1" w:rsidRDefault="00A24ED1" w:rsidP="00A24ED1">
      <w:pPr>
        <w:pStyle w:val="SingleTxt"/>
        <w:spacing w:after="0" w:line="120" w:lineRule="exact"/>
        <w:rPr>
          <w:sz w:val="10"/>
        </w:rPr>
      </w:pPr>
    </w:p>
    <w:p w:rsidR="00A24ED1" w:rsidRPr="00A24ED1" w:rsidRDefault="00A24ED1" w:rsidP="00A24ED1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8C1D24" w:rsidTr="008C1D24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8C1D24" w:rsidRPr="008C1D24" w:rsidRDefault="008C1D24" w:rsidP="008C1D24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Résumé</w:t>
            </w:r>
          </w:p>
        </w:tc>
      </w:tr>
      <w:tr w:rsidR="008C1D24" w:rsidTr="008C1D24">
        <w:tc>
          <w:tcPr>
            <w:tcW w:w="10051" w:type="dxa"/>
            <w:shd w:val="clear" w:color="auto" w:fill="auto"/>
          </w:tcPr>
          <w:p w:rsidR="008C1D24" w:rsidRPr="008C1D24" w:rsidRDefault="007331F7" w:rsidP="009F0F1C">
            <w:pPr>
              <w:pStyle w:val="SingleTxt"/>
              <w:ind w:left="3658" w:hanging="2391"/>
            </w:pPr>
            <w:r>
              <w:rPr>
                <w:b/>
                <w:szCs w:val="24"/>
                <w:lang w:val="fr-FR"/>
              </w:rPr>
              <w:t>Résumé analytique :</w:t>
            </w:r>
            <w:r>
              <w:rPr>
                <w:szCs w:val="24"/>
                <w:lang w:val="fr-FR"/>
              </w:rPr>
              <w:tab/>
            </w:r>
            <w:r>
              <w:rPr>
                <w:szCs w:val="24"/>
                <w:lang w:val="fr-FR"/>
              </w:rPr>
              <w:tab/>
              <w:t>La présente proposition vise à limiter l</w:t>
            </w:r>
            <w:r w:rsidR="005132F9">
              <w:rPr>
                <w:szCs w:val="24"/>
                <w:lang w:val="fr-FR"/>
              </w:rPr>
              <w:t>’</w:t>
            </w:r>
            <w:r>
              <w:rPr>
                <w:szCs w:val="24"/>
                <w:lang w:val="fr-FR"/>
              </w:rPr>
              <w:t>utilisation de matériaux de construction pour les réservoirs avec revêtements protecteurs. En cas de dommage causé à ce revêtement, le réservoir doit faire preuve de résistance chimique à la matière transportée</w:t>
            </w:r>
            <w:r w:rsidR="005132F9">
              <w:rPr>
                <w:szCs w:val="24"/>
                <w:lang w:val="fr-FR"/>
              </w:rPr>
              <w:t>.</w:t>
            </w:r>
          </w:p>
        </w:tc>
      </w:tr>
      <w:tr w:rsidR="008C1D24" w:rsidTr="008C1D24">
        <w:tc>
          <w:tcPr>
            <w:tcW w:w="10051" w:type="dxa"/>
            <w:shd w:val="clear" w:color="auto" w:fill="auto"/>
          </w:tcPr>
          <w:p w:rsidR="008C1D24" w:rsidRPr="008C1D24" w:rsidRDefault="007331F7" w:rsidP="009F0F1C">
            <w:pPr>
              <w:pStyle w:val="SingleTxt"/>
              <w:ind w:left="3658" w:hanging="2391"/>
            </w:pPr>
            <w:r>
              <w:rPr>
                <w:b/>
                <w:szCs w:val="24"/>
                <w:lang w:val="fr-FR"/>
              </w:rPr>
              <w:t>Mesure à prendre</w:t>
            </w:r>
            <w:r w:rsidR="009F0F1C">
              <w:rPr>
                <w:b/>
                <w:szCs w:val="24"/>
                <w:lang w:val="fr-FR"/>
              </w:rPr>
              <w:t> </w:t>
            </w:r>
            <w:r>
              <w:rPr>
                <w:b/>
                <w:szCs w:val="24"/>
                <w:lang w:val="fr-FR"/>
              </w:rPr>
              <w:t>:</w:t>
            </w:r>
            <w:r w:rsidR="009F0F1C">
              <w:rPr>
                <w:b/>
                <w:szCs w:val="24"/>
                <w:lang w:val="fr-FR"/>
              </w:rPr>
              <w:tab/>
            </w:r>
            <w:r>
              <w:rPr>
                <w:szCs w:val="24"/>
                <w:lang w:val="fr-FR"/>
              </w:rPr>
              <w:tab/>
              <w:t>Modifier le paragraphe 6.8.2.1.9</w:t>
            </w:r>
            <w:r w:rsidR="005132F9">
              <w:rPr>
                <w:szCs w:val="24"/>
                <w:lang w:val="fr-FR"/>
              </w:rPr>
              <w:t>.</w:t>
            </w:r>
          </w:p>
        </w:tc>
      </w:tr>
      <w:tr w:rsidR="008C1D24" w:rsidTr="008C1D24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8C1D24" w:rsidRPr="008C1D24" w:rsidRDefault="007331F7" w:rsidP="001B5827">
            <w:pPr>
              <w:pStyle w:val="SingleTxt"/>
              <w:ind w:left="3658" w:hanging="2391"/>
              <w:jc w:val="left"/>
            </w:pPr>
            <w:r>
              <w:rPr>
                <w:b/>
                <w:szCs w:val="24"/>
                <w:lang w:val="fr-FR"/>
              </w:rPr>
              <w:t>Documents connexes</w:t>
            </w:r>
            <w:r w:rsidR="009F0F1C">
              <w:rPr>
                <w:b/>
                <w:szCs w:val="24"/>
                <w:lang w:val="fr-FR"/>
              </w:rPr>
              <w:t> </w:t>
            </w:r>
            <w:r>
              <w:rPr>
                <w:b/>
                <w:szCs w:val="24"/>
                <w:lang w:val="fr-FR"/>
              </w:rPr>
              <w:t>:</w:t>
            </w:r>
            <w:r>
              <w:rPr>
                <w:b/>
                <w:szCs w:val="24"/>
                <w:lang w:val="fr-FR"/>
              </w:rPr>
              <w:tab/>
            </w:r>
            <w:r>
              <w:rPr>
                <w:szCs w:val="24"/>
                <w:lang w:val="fr-FR"/>
              </w:rPr>
              <w:t>ECE/TRANS/WP.15/AC.1/2015/10</w:t>
            </w:r>
            <w:r w:rsidR="009F0F1C">
              <w:rPr>
                <w:szCs w:val="24"/>
                <w:lang w:val="fr-FR"/>
              </w:rPr>
              <w:t xml:space="preserve"> </w:t>
            </w:r>
            <w:r w:rsidR="009F0F1C">
              <w:rPr>
                <w:szCs w:val="24"/>
                <w:lang w:val="fr-FR"/>
              </w:rPr>
              <w:br/>
            </w:r>
            <w:r>
              <w:rPr>
                <w:szCs w:val="24"/>
                <w:lang w:val="fr-FR"/>
              </w:rPr>
              <w:t>Document informel INF.50 de la session de mars 2015, par.</w:t>
            </w:r>
            <w:r w:rsidR="009F0F1C">
              <w:rPr>
                <w:szCs w:val="24"/>
                <w:lang w:val="fr-FR"/>
              </w:rPr>
              <w:t> </w:t>
            </w:r>
            <w:r>
              <w:rPr>
                <w:szCs w:val="24"/>
                <w:lang w:val="fr-FR"/>
              </w:rPr>
              <w:t>12 à 14</w:t>
            </w:r>
            <w:r w:rsidR="009F0F1C">
              <w:rPr>
                <w:szCs w:val="24"/>
                <w:lang w:val="fr-FR"/>
              </w:rPr>
              <w:t xml:space="preserve"> </w:t>
            </w:r>
            <w:r w:rsidR="009F0F1C">
              <w:rPr>
                <w:szCs w:val="24"/>
                <w:lang w:val="fr-FR"/>
              </w:rPr>
              <w:br/>
            </w:r>
            <w:r>
              <w:rPr>
                <w:szCs w:val="24"/>
              </w:rPr>
              <w:t>ECE/TRANS/WP.15/AC.1/138, par.</w:t>
            </w:r>
            <w:r w:rsidR="009F0F1C">
              <w:rPr>
                <w:szCs w:val="24"/>
              </w:rPr>
              <w:t> </w:t>
            </w:r>
            <w:r>
              <w:rPr>
                <w:szCs w:val="24"/>
              </w:rPr>
              <w:t>9</w:t>
            </w:r>
            <w:r w:rsidR="005132F9">
              <w:rPr>
                <w:szCs w:val="24"/>
              </w:rPr>
              <w:t>.</w:t>
            </w:r>
          </w:p>
        </w:tc>
      </w:tr>
      <w:tr w:rsidR="008C1D24" w:rsidTr="008C1D24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8C1D24" w:rsidRPr="008C1D24" w:rsidRDefault="008C1D24" w:rsidP="008C1D24">
            <w:pPr>
              <w:pStyle w:val="SingleTxt"/>
            </w:pPr>
          </w:p>
        </w:tc>
      </w:tr>
    </w:tbl>
    <w:p w:rsidR="00A24ED1" w:rsidRDefault="00A24ED1" w:rsidP="00F62A05">
      <w:pPr>
        <w:pStyle w:val="SingleTxt"/>
      </w:pPr>
    </w:p>
    <w:p w:rsidR="009F0F1C" w:rsidRDefault="009F0F1C">
      <w:pPr>
        <w:spacing w:line="240" w:lineRule="auto"/>
      </w:pPr>
      <w:r>
        <w:br w:type="page"/>
      </w:r>
    </w:p>
    <w:p w:rsidR="009F0F1C" w:rsidRDefault="009F0F1C" w:rsidP="009F0F1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ab/>
      </w:r>
      <w:r>
        <w:tab/>
        <w:t>Introduction</w:t>
      </w:r>
    </w:p>
    <w:p w:rsidR="009F0F1C" w:rsidRPr="009F0F1C" w:rsidRDefault="009F0F1C" w:rsidP="009F0F1C">
      <w:pPr>
        <w:spacing w:line="120" w:lineRule="exact"/>
        <w:rPr>
          <w:sz w:val="10"/>
        </w:rPr>
      </w:pPr>
    </w:p>
    <w:p w:rsidR="009F0F1C" w:rsidRPr="009F0F1C" w:rsidRDefault="009F0F1C" w:rsidP="009F0F1C">
      <w:pPr>
        <w:spacing w:line="120" w:lineRule="exact"/>
        <w:rPr>
          <w:sz w:val="10"/>
        </w:rPr>
      </w:pPr>
    </w:p>
    <w:p w:rsidR="009F0F1C" w:rsidRDefault="009F0F1C" w:rsidP="009F0F1C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lang w:val="x-none"/>
        </w:rPr>
      </w:pPr>
      <w:r>
        <w:t>Le d</w:t>
      </w:r>
      <w:proofErr w:type="spellStart"/>
      <w:r>
        <w:rPr>
          <w:lang w:val="x-none"/>
        </w:rPr>
        <w:t>ocument</w:t>
      </w:r>
      <w:proofErr w:type="spellEnd"/>
      <w:r>
        <w:rPr>
          <w:lang w:val="x-none"/>
        </w:rPr>
        <w:t xml:space="preserve"> ECE/TRANS/WP.15/AC.1/2015/10 </w:t>
      </w:r>
      <w:r>
        <w:t>des Pays-Bas concernant l</w:t>
      </w:r>
      <w:r w:rsidR="005132F9">
        <w:t>’</w:t>
      </w:r>
      <w:r>
        <w:t>utilisation de réservoirs en alliage d</w:t>
      </w:r>
      <w:r w:rsidR="005132F9">
        <w:t>’</w:t>
      </w:r>
      <w:r>
        <w:t xml:space="preserve">aluminium avec revêtements protecteurs a été examiné en mars 2015 par le groupe de travail sur les citernes. Le groupe de travail a approuvé le principe et invité les Pays-Bas à présenter une nouvelle proposition. Il est fait référence aux </w:t>
      </w:r>
      <w:proofErr w:type="spellStart"/>
      <w:r>
        <w:rPr>
          <w:lang w:val="x-none"/>
        </w:rPr>
        <w:t>paragraph</w:t>
      </w:r>
      <w:r>
        <w:t>es</w:t>
      </w:r>
      <w:proofErr w:type="spellEnd"/>
      <w:r>
        <w:rPr>
          <w:lang w:val="x-none"/>
        </w:rPr>
        <w:t xml:space="preserve"> 12 </w:t>
      </w:r>
      <w:r>
        <w:t xml:space="preserve">à </w:t>
      </w:r>
      <w:r>
        <w:rPr>
          <w:lang w:val="x-none"/>
        </w:rPr>
        <w:t xml:space="preserve">14 </w:t>
      </w:r>
      <w:r>
        <w:t xml:space="preserve">du document </w:t>
      </w:r>
      <w:r>
        <w:rPr>
          <w:lang w:val="fr-FR"/>
        </w:rPr>
        <w:t xml:space="preserve">informel </w:t>
      </w:r>
      <w:r>
        <w:rPr>
          <w:lang w:val="x-none"/>
        </w:rPr>
        <w:t>INF</w:t>
      </w:r>
      <w:r>
        <w:rPr>
          <w:lang w:val="fr-FR"/>
        </w:rPr>
        <w:t>.</w:t>
      </w:r>
      <w:r>
        <w:rPr>
          <w:lang w:val="x-none"/>
        </w:rPr>
        <w:t xml:space="preserve">50 </w:t>
      </w:r>
      <w:r>
        <w:t xml:space="preserve">de la Réunion commune de mars </w:t>
      </w:r>
      <w:r>
        <w:rPr>
          <w:lang w:val="x-none"/>
        </w:rPr>
        <w:t>2015.</w:t>
      </w:r>
    </w:p>
    <w:p w:rsidR="009F0F1C" w:rsidRPr="009F0F1C" w:rsidRDefault="009F0F1C" w:rsidP="009F0F1C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szCs w:val="24"/>
          <w:lang w:val="x-none"/>
        </w:rPr>
      </w:pPr>
      <w:r>
        <w:rPr>
          <w:szCs w:val="24"/>
        </w:rPr>
        <w:t xml:space="preserve">Cette question a également été examinée en séance plénière et a suscité quelques </w:t>
      </w:r>
      <w:r w:rsidRPr="009F0F1C">
        <w:rPr>
          <w:spacing w:val="-2"/>
          <w:szCs w:val="24"/>
        </w:rPr>
        <w:t xml:space="preserve">observations complémentaires </w:t>
      </w:r>
      <w:r w:rsidRPr="009F0F1C">
        <w:rPr>
          <w:spacing w:val="-2"/>
          <w:szCs w:val="24"/>
          <w:lang w:val="x-none"/>
        </w:rPr>
        <w:t>(</w:t>
      </w:r>
      <w:proofErr w:type="spellStart"/>
      <w:r w:rsidRPr="009F0F1C">
        <w:rPr>
          <w:spacing w:val="-2"/>
          <w:szCs w:val="24"/>
        </w:rPr>
        <w:t>voir</w:t>
      </w:r>
      <w:proofErr w:type="spellEnd"/>
      <w:r w:rsidRPr="009F0F1C">
        <w:rPr>
          <w:spacing w:val="-2"/>
          <w:szCs w:val="24"/>
        </w:rPr>
        <w:t xml:space="preserve"> </w:t>
      </w:r>
      <w:r w:rsidRPr="009F0F1C">
        <w:rPr>
          <w:spacing w:val="-2"/>
          <w:szCs w:val="24"/>
          <w:lang w:val="x-none"/>
        </w:rPr>
        <w:t>par</w:t>
      </w:r>
      <w:r w:rsidRPr="009F0F1C">
        <w:rPr>
          <w:spacing w:val="-2"/>
          <w:szCs w:val="24"/>
        </w:rPr>
        <w:t>. </w:t>
      </w:r>
      <w:r w:rsidRPr="009F0F1C">
        <w:rPr>
          <w:spacing w:val="-2"/>
          <w:szCs w:val="24"/>
          <w:lang w:val="x-none"/>
        </w:rPr>
        <w:t xml:space="preserve">9 </w:t>
      </w:r>
      <w:r w:rsidRPr="009F0F1C">
        <w:rPr>
          <w:spacing w:val="-2"/>
          <w:szCs w:val="24"/>
        </w:rPr>
        <w:t>du document</w:t>
      </w:r>
      <w:r w:rsidRPr="009F0F1C">
        <w:rPr>
          <w:spacing w:val="-2"/>
          <w:szCs w:val="24"/>
          <w:lang w:val="x-none"/>
        </w:rPr>
        <w:t xml:space="preserve"> ECE/TRANS/WP.15/AC.1/138).</w:t>
      </w:r>
      <w:r>
        <w:rPr>
          <w:szCs w:val="24"/>
          <w:lang w:val="x-none"/>
        </w:rPr>
        <w:t xml:space="preserve"> </w:t>
      </w:r>
      <w:r>
        <w:rPr>
          <w:szCs w:val="24"/>
          <w:lang w:val="fr-FR"/>
        </w:rPr>
        <w:t>Aucun observation ni information supplémentaire sur les citernes susceptibles d</w:t>
      </w:r>
      <w:r w:rsidR="005132F9">
        <w:rPr>
          <w:szCs w:val="24"/>
          <w:lang w:val="fr-FR"/>
        </w:rPr>
        <w:t>’</w:t>
      </w:r>
      <w:r>
        <w:rPr>
          <w:szCs w:val="24"/>
          <w:lang w:val="fr-FR"/>
        </w:rPr>
        <w:t>être concernées n</w:t>
      </w:r>
      <w:r w:rsidR="005132F9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 été soumise aux Pays-Bas depuis la dernière session. Sur la base des discussions qui ont eu lieu au sein du groupe de travail et en plénière, les Pays-Bas ont révisé leur proposition, en tenant compte du texte similaire qui existe dans la partie 4 du </w:t>
      </w:r>
      <w:r>
        <w:rPr>
          <w:szCs w:val="24"/>
          <w:lang w:val="x-none"/>
        </w:rPr>
        <w:t>RID/ADR.</w:t>
      </w:r>
    </w:p>
    <w:p w:rsidR="009F0F1C" w:rsidRPr="009F0F1C" w:rsidRDefault="009F0F1C" w:rsidP="009F0F1C">
      <w:pPr>
        <w:pStyle w:val="SingleTxt"/>
        <w:spacing w:after="0" w:line="120" w:lineRule="exact"/>
        <w:rPr>
          <w:sz w:val="10"/>
          <w:szCs w:val="24"/>
          <w:lang w:val="fr-CH"/>
        </w:rPr>
      </w:pPr>
    </w:p>
    <w:p w:rsidR="009F0F1C" w:rsidRPr="009F0F1C" w:rsidRDefault="009F0F1C" w:rsidP="009F0F1C">
      <w:pPr>
        <w:pStyle w:val="SingleTxt"/>
        <w:spacing w:after="0" w:line="120" w:lineRule="exact"/>
        <w:rPr>
          <w:sz w:val="10"/>
          <w:szCs w:val="24"/>
          <w:lang w:val="x-none"/>
        </w:rPr>
      </w:pPr>
    </w:p>
    <w:p w:rsidR="009F0F1C" w:rsidRDefault="009F0F1C" w:rsidP="009F0F1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Discussion</w:t>
      </w:r>
    </w:p>
    <w:p w:rsidR="005132F9" w:rsidRPr="005132F9" w:rsidRDefault="005132F9" w:rsidP="005132F9">
      <w:pPr>
        <w:spacing w:line="120" w:lineRule="exact"/>
        <w:rPr>
          <w:sz w:val="10"/>
        </w:rPr>
      </w:pPr>
    </w:p>
    <w:p w:rsidR="005132F9" w:rsidRPr="005132F9" w:rsidRDefault="005132F9" w:rsidP="005132F9">
      <w:pPr>
        <w:spacing w:line="120" w:lineRule="exact"/>
        <w:rPr>
          <w:sz w:val="10"/>
        </w:rPr>
      </w:pPr>
    </w:p>
    <w:p w:rsidR="009F0F1C" w:rsidRDefault="009F0F1C" w:rsidP="009F0F1C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szCs w:val="24"/>
          <w:lang w:val="x-none"/>
        </w:rPr>
      </w:pPr>
      <w:r>
        <w:rPr>
          <w:szCs w:val="24"/>
        </w:rPr>
        <w:t xml:space="preserve">Le </w:t>
      </w:r>
      <w:r>
        <w:rPr>
          <w:szCs w:val="24"/>
          <w:lang w:val="x-none"/>
        </w:rPr>
        <w:t>3</w:t>
      </w:r>
      <w:r>
        <w:rPr>
          <w:szCs w:val="24"/>
          <w:lang w:val="fr-CH"/>
        </w:rPr>
        <w:t> </w:t>
      </w:r>
      <w:r>
        <w:rPr>
          <w:szCs w:val="24"/>
        </w:rPr>
        <w:t xml:space="preserve">juillet </w:t>
      </w:r>
      <w:r>
        <w:rPr>
          <w:szCs w:val="24"/>
          <w:lang w:val="x-none"/>
        </w:rPr>
        <w:t xml:space="preserve">2013, </w:t>
      </w:r>
      <w:r>
        <w:rPr>
          <w:szCs w:val="24"/>
        </w:rPr>
        <w:t>le revêtement protecteur d</w:t>
      </w:r>
      <w:r w:rsidR="005132F9">
        <w:rPr>
          <w:szCs w:val="24"/>
        </w:rPr>
        <w:t>’</w:t>
      </w:r>
      <w:r>
        <w:rPr>
          <w:szCs w:val="24"/>
        </w:rPr>
        <w:t>un navire-citerne transportant de l</w:t>
      </w:r>
      <w:r w:rsidR="005132F9">
        <w:rPr>
          <w:szCs w:val="24"/>
        </w:rPr>
        <w:t>’</w:t>
      </w:r>
      <w:r>
        <w:rPr>
          <w:szCs w:val="24"/>
        </w:rPr>
        <w:t>acide chlorhydrique a été endommagé, ce qui a provoqué un trou dans le réservoir. Ce réservoir</w:t>
      </w:r>
      <w:r>
        <w:t xml:space="preserve"> </w:t>
      </w:r>
      <w:r>
        <w:rPr>
          <w:szCs w:val="24"/>
        </w:rPr>
        <w:t>était en alliage d</w:t>
      </w:r>
      <w:r w:rsidR="005132F9">
        <w:rPr>
          <w:szCs w:val="24"/>
        </w:rPr>
        <w:t>’</w:t>
      </w:r>
      <w:r>
        <w:rPr>
          <w:szCs w:val="24"/>
        </w:rPr>
        <w:t>aluminium et l</w:t>
      </w:r>
      <w:r w:rsidR="005132F9">
        <w:rPr>
          <w:szCs w:val="24"/>
        </w:rPr>
        <w:t>’</w:t>
      </w:r>
      <w:r>
        <w:rPr>
          <w:szCs w:val="24"/>
        </w:rPr>
        <w:t>acide chlorhydrique s</w:t>
      </w:r>
      <w:r w:rsidR="005132F9">
        <w:rPr>
          <w:szCs w:val="24"/>
        </w:rPr>
        <w:t>’</w:t>
      </w:r>
      <w:r>
        <w:rPr>
          <w:szCs w:val="24"/>
        </w:rPr>
        <w:t>écoulant de la citerne a dissous en très peu de temps le matériau du réservoir sur près du quart de son diamètre, ainsi qu</w:t>
      </w:r>
      <w:r w:rsidR="005132F9">
        <w:rPr>
          <w:szCs w:val="24"/>
        </w:rPr>
        <w:t>’</w:t>
      </w:r>
      <w:r>
        <w:rPr>
          <w:szCs w:val="24"/>
        </w:rPr>
        <w:t xml:space="preserve">une partie du renfort. Pour de plus amples détails, se reporter au document </w:t>
      </w:r>
      <w:r>
        <w:rPr>
          <w:szCs w:val="24"/>
          <w:lang w:val="x-none"/>
        </w:rPr>
        <w:t>ECE/TRANS/WP.15/AC.1/2015/10.</w:t>
      </w:r>
    </w:p>
    <w:p w:rsidR="009F0F1C" w:rsidRDefault="009F0F1C" w:rsidP="009F0F1C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szCs w:val="24"/>
          <w:lang w:val="x-none"/>
        </w:rPr>
      </w:pPr>
      <w:r>
        <w:rPr>
          <w:szCs w:val="24"/>
        </w:rPr>
        <w:t xml:space="preserve">Le premier alinéa du </w:t>
      </w:r>
      <w:r w:rsidRPr="0079519E">
        <w:rPr>
          <w:szCs w:val="24"/>
          <w:lang w:val="fr-CH"/>
        </w:rPr>
        <w:t>paragraphe</w:t>
      </w:r>
      <w:r>
        <w:rPr>
          <w:szCs w:val="24"/>
          <w:lang w:val="fr-FR"/>
        </w:rPr>
        <w:t xml:space="preserve"> </w:t>
      </w:r>
      <w:r>
        <w:rPr>
          <w:szCs w:val="24"/>
          <w:lang w:val="x-none"/>
        </w:rPr>
        <w:t xml:space="preserve">6.8.2.1.9 </w:t>
      </w:r>
      <w:r>
        <w:rPr>
          <w:szCs w:val="24"/>
        </w:rPr>
        <w:t>indique que </w:t>
      </w:r>
      <w:r>
        <w:rPr>
          <w:szCs w:val="24"/>
          <w:lang w:val="x-none"/>
        </w:rPr>
        <w:t>:</w:t>
      </w:r>
    </w:p>
    <w:p w:rsidR="009F0F1C" w:rsidRDefault="009F0F1C" w:rsidP="009F0F1C">
      <w:pPr>
        <w:spacing w:after="120"/>
        <w:ind w:left="1701" w:right="1134"/>
        <w:jc w:val="both"/>
        <w:rPr>
          <w:i/>
          <w:szCs w:val="24"/>
          <w:lang w:val="fr-FR"/>
        </w:rPr>
      </w:pPr>
      <w:r w:rsidRPr="009F0F1C">
        <w:rPr>
          <w:szCs w:val="24"/>
          <w:lang w:val="fr-CH"/>
        </w:rPr>
        <w:t>« </w:t>
      </w:r>
      <w:r>
        <w:rPr>
          <w:i/>
          <w:szCs w:val="24"/>
          <w:lang w:val="x-none"/>
        </w:rPr>
        <w:t xml:space="preserve">Les </w:t>
      </w:r>
      <w:proofErr w:type="spellStart"/>
      <w:r>
        <w:rPr>
          <w:i/>
          <w:szCs w:val="24"/>
          <w:lang w:val="x-none"/>
        </w:rPr>
        <w:t>matériaux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dont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sont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faits</w:t>
      </w:r>
      <w:proofErr w:type="spellEnd"/>
      <w:r>
        <w:rPr>
          <w:i/>
          <w:szCs w:val="24"/>
          <w:lang w:val="x-none"/>
        </w:rPr>
        <w:t xml:space="preserve"> les </w:t>
      </w:r>
      <w:proofErr w:type="spellStart"/>
      <w:r>
        <w:rPr>
          <w:i/>
          <w:szCs w:val="24"/>
          <w:lang w:val="x-none"/>
        </w:rPr>
        <w:t>réservoirs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ou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leurs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revêtements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protecteurs</w:t>
      </w:r>
      <w:proofErr w:type="spellEnd"/>
      <w:r>
        <w:rPr>
          <w:i/>
          <w:szCs w:val="24"/>
          <w:lang w:val="x-none"/>
        </w:rPr>
        <w:t xml:space="preserve"> en contact avec le </w:t>
      </w:r>
      <w:proofErr w:type="spellStart"/>
      <w:r>
        <w:rPr>
          <w:i/>
          <w:szCs w:val="24"/>
          <w:lang w:val="x-none"/>
        </w:rPr>
        <w:t>contenu</w:t>
      </w:r>
      <w:proofErr w:type="spellEnd"/>
      <w:r>
        <w:rPr>
          <w:i/>
          <w:szCs w:val="24"/>
          <w:lang w:val="x-none"/>
        </w:rPr>
        <w:t xml:space="preserve"> ne </w:t>
      </w:r>
      <w:proofErr w:type="spellStart"/>
      <w:r>
        <w:rPr>
          <w:i/>
          <w:szCs w:val="24"/>
          <w:lang w:val="x-none"/>
        </w:rPr>
        <w:t>doivent</w:t>
      </w:r>
      <w:proofErr w:type="spellEnd"/>
      <w:r>
        <w:rPr>
          <w:i/>
          <w:szCs w:val="24"/>
          <w:lang w:val="x-none"/>
        </w:rPr>
        <w:t xml:space="preserve"> pas </w:t>
      </w:r>
      <w:proofErr w:type="spellStart"/>
      <w:r>
        <w:rPr>
          <w:i/>
          <w:szCs w:val="24"/>
          <w:lang w:val="x-none"/>
        </w:rPr>
        <w:t>comporter</w:t>
      </w:r>
      <w:proofErr w:type="spellEnd"/>
      <w:r>
        <w:rPr>
          <w:i/>
          <w:szCs w:val="24"/>
          <w:lang w:val="x-none"/>
        </w:rPr>
        <w:t xml:space="preserve"> de </w:t>
      </w:r>
      <w:proofErr w:type="spellStart"/>
      <w:r>
        <w:rPr>
          <w:i/>
          <w:szCs w:val="24"/>
          <w:lang w:val="x-none"/>
        </w:rPr>
        <w:t>matières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susceptibles</w:t>
      </w:r>
      <w:proofErr w:type="spellEnd"/>
      <w:r>
        <w:rPr>
          <w:i/>
          <w:szCs w:val="24"/>
          <w:lang w:val="x-none"/>
        </w:rPr>
        <w:t xml:space="preserve"> de </w:t>
      </w:r>
      <w:proofErr w:type="spellStart"/>
      <w:r>
        <w:rPr>
          <w:i/>
          <w:szCs w:val="24"/>
          <w:lang w:val="x-none"/>
        </w:rPr>
        <w:t>réagir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dangereusement</w:t>
      </w:r>
      <w:proofErr w:type="spellEnd"/>
      <w:r>
        <w:rPr>
          <w:i/>
          <w:szCs w:val="24"/>
          <w:lang w:val="x-none"/>
        </w:rPr>
        <w:t xml:space="preserve"> (</w:t>
      </w:r>
      <w:proofErr w:type="spellStart"/>
      <w:r>
        <w:rPr>
          <w:i/>
          <w:szCs w:val="24"/>
          <w:lang w:val="x-none"/>
        </w:rPr>
        <w:t>voir</w:t>
      </w:r>
      <w:proofErr w:type="spellEnd"/>
      <w:r>
        <w:rPr>
          <w:i/>
          <w:szCs w:val="24"/>
          <w:lang w:val="x-none"/>
        </w:rPr>
        <w:t xml:space="preserve"> “</w:t>
      </w:r>
      <w:proofErr w:type="spellStart"/>
      <w:r>
        <w:rPr>
          <w:i/>
          <w:szCs w:val="24"/>
          <w:lang w:val="x-none"/>
        </w:rPr>
        <w:t>réaction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dangereuse</w:t>
      </w:r>
      <w:proofErr w:type="spellEnd"/>
      <w:r w:rsidRPr="009F0F1C">
        <w:rPr>
          <w:i/>
          <w:szCs w:val="24"/>
          <w:lang w:val="x-none"/>
        </w:rPr>
        <w:t>”</w:t>
      </w:r>
      <w:r>
        <w:rPr>
          <w:i/>
          <w:szCs w:val="24"/>
          <w:lang w:val="x-none"/>
        </w:rPr>
        <w:t xml:space="preserve"> à la section 1.2.1) avec le </w:t>
      </w:r>
      <w:proofErr w:type="spellStart"/>
      <w:r>
        <w:rPr>
          <w:i/>
          <w:szCs w:val="24"/>
          <w:lang w:val="x-none"/>
        </w:rPr>
        <w:t>contenu</w:t>
      </w:r>
      <w:proofErr w:type="spellEnd"/>
      <w:r>
        <w:rPr>
          <w:i/>
          <w:szCs w:val="24"/>
          <w:lang w:val="x-none"/>
        </w:rPr>
        <w:t xml:space="preserve">, de former des </w:t>
      </w:r>
      <w:proofErr w:type="spellStart"/>
      <w:r>
        <w:rPr>
          <w:i/>
          <w:szCs w:val="24"/>
          <w:lang w:val="x-none"/>
        </w:rPr>
        <w:t>produits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dangereux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ou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d</w:t>
      </w:r>
      <w:r w:rsidR="005132F9">
        <w:rPr>
          <w:i/>
          <w:szCs w:val="24"/>
          <w:lang w:val="x-none"/>
        </w:rPr>
        <w:t>’</w:t>
      </w:r>
      <w:r>
        <w:rPr>
          <w:i/>
          <w:szCs w:val="24"/>
          <w:lang w:val="x-none"/>
        </w:rPr>
        <w:t>affaiblir</w:t>
      </w:r>
      <w:proofErr w:type="spellEnd"/>
      <w:r>
        <w:rPr>
          <w:i/>
          <w:szCs w:val="24"/>
          <w:lang w:val="x-none"/>
        </w:rPr>
        <w:t xml:space="preserve"> le </w:t>
      </w:r>
      <w:proofErr w:type="spellStart"/>
      <w:r>
        <w:rPr>
          <w:i/>
          <w:szCs w:val="24"/>
          <w:lang w:val="x-none"/>
        </w:rPr>
        <w:t>matériau</w:t>
      </w:r>
      <w:proofErr w:type="spellEnd"/>
      <w:r>
        <w:rPr>
          <w:i/>
          <w:szCs w:val="24"/>
          <w:lang w:val="x-none"/>
        </w:rPr>
        <w:t xml:space="preserve"> de </w:t>
      </w:r>
      <w:proofErr w:type="spellStart"/>
      <w:r>
        <w:rPr>
          <w:i/>
          <w:szCs w:val="24"/>
          <w:lang w:val="x-none"/>
        </w:rPr>
        <w:t>manière</w:t>
      </w:r>
      <w:proofErr w:type="spellEnd"/>
      <w:r>
        <w:rPr>
          <w:i/>
          <w:szCs w:val="24"/>
          <w:lang w:val="x-none"/>
        </w:rPr>
        <w:t xml:space="preserve"> </w:t>
      </w:r>
      <w:proofErr w:type="spellStart"/>
      <w:r>
        <w:rPr>
          <w:i/>
          <w:szCs w:val="24"/>
          <w:lang w:val="x-none"/>
        </w:rPr>
        <w:t>appréciable</w:t>
      </w:r>
      <w:proofErr w:type="spellEnd"/>
      <w:r>
        <w:rPr>
          <w:i/>
          <w:szCs w:val="24"/>
          <w:lang w:val="x-none"/>
        </w:rPr>
        <w:t>.</w:t>
      </w:r>
      <w:r>
        <w:rPr>
          <w:i/>
          <w:szCs w:val="24"/>
          <w:lang w:val="fr-CH"/>
        </w:rPr>
        <w:t> </w:t>
      </w:r>
      <w:r w:rsidRPr="009F0F1C">
        <w:rPr>
          <w:szCs w:val="24"/>
          <w:lang w:val="fr-CH"/>
        </w:rPr>
        <w:t>»</w:t>
      </w:r>
      <w:r w:rsidRPr="009F0F1C">
        <w:rPr>
          <w:szCs w:val="24"/>
          <w:lang w:val="fr-FR"/>
        </w:rPr>
        <w:t>.</w:t>
      </w:r>
    </w:p>
    <w:p w:rsidR="009F0F1C" w:rsidRDefault="009F0F1C" w:rsidP="009F0F1C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szCs w:val="24"/>
          <w:lang w:val="fr-CH"/>
        </w:rPr>
      </w:pPr>
      <w:r>
        <w:rPr>
          <w:szCs w:val="24"/>
        </w:rPr>
        <w:t>Lors de l</w:t>
      </w:r>
      <w:r w:rsidR="005132F9">
        <w:rPr>
          <w:szCs w:val="24"/>
        </w:rPr>
        <w:t>’</w:t>
      </w:r>
      <w:r>
        <w:rPr>
          <w:szCs w:val="24"/>
        </w:rPr>
        <w:t>accident évoqué plus haut, la citerne était en aluminium et grâce à son revêtement protecteur le matériau constituant la citerne n</w:t>
      </w:r>
      <w:r w:rsidR="005132F9">
        <w:rPr>
          <w:szCs w:val="24"/>
        </w:rPr>
        <w:t>’</w:t>
      </w:r>
      <w:r>
        <w:rPr>
          <w:szCs w:val="24"/>
        </w:rPr>
        <w:t xml:space="preserve">était </w:t>
      </w:r>
      <w:r>
        <w:rPr>
          <w:b/>
          <w:szCs w:val="24"/>
        </w:rPr>
        <w:t>pas</w:t>
      </w:r>
      <w:r>
        <w:rPr>
          <w:szCs w:val="24"/>
        </w:rPr>
        <w:t xml:space="preserve"> en contact avec son contenu. Cependant, lorsque le revêtement a été endommagé ce contact a eu lieu et a provoqué un trou dans le réservoir. </w:t>
      </w:r>
    </w:p>
    <w:p w:rsidR="009F0F1C" w:rsidRDefault="009F0F1C" w:rsidP="009F0F1C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szCs w:val="24"/>
          <w:lang w:val="x-none"/>
        </w:rPr>
      </w:pPr>
      <w:r>
        <w:rPr>
          <w:szCs w:val="24"/>
        </w:rPr>
        <w:t xml:space="preserve">Il existe au paragraphe </w:t>
      </w:r>
      <w:r>
        <w:rPr>
          <w:szCs w:val="24"/>
          <w:lang w:val="x-none"/>
        </w:rPr>
        <w:t xml:space="preserve">4.3.2.1.5 </w:t>
      </w:r>
      <w:r>
        <w:rPr>
          <w:szCs w:val="24"/>
        </w:rPr>
        <w:t>de la partie 4 de l</w:t>
      </w:r>
      <w:r w:rsidR="005132F9">
        <w:rPr>
          <w:szCs w:val="24"/>
        </w:rPr>
        <w:t>’</w:t>
      </w:r>
      <w:r>
        <w:rPr>
          <w:szCs w:val="24"/>
          <w:lang w:val="x-none"/>
        </w:rPr>
        <w:t>ADR/RID</w:t>
      </w:r>
      <w:r>
        <w:rPr>
          <w:lang w:val="x-none"/>
        </w:rPr>
        <w:t xml:space="preserve"> </w:t>
      </w:r>
      <w:r>
        <w:rPr>
          <w:szCs w:val="24"/>
          <w:lang w:val="x-none"/>
        </w:rPr>
        <w:t xml:space="preserve">des dispositions </w:t>
      </w:r>
      <w:proofErr w:type="spellStart"/>
      <w:r>
        <w:rPr>
          <w:szCs w:val="24"/>
          <w:lang w:val="x-none"/>
        </w:rPr>
        <w:t>similaires</w:t>
      </w:r>
      <w:proofErr w:type="spellEnd"/>
      <w:r>
        <w:rPr>
          <w:szCs w:val="24"/>
        </w:rPr>
        <w:t xml:space="preserve"> qui disent ceci :</w:t>
      </w:r>
    </w:p>
    <w:p w:rsidR="009F0F1C" w:rsidRDefault="009F0F1C" w:rsidP="009F0F1C">
      <w:pPr>
        <w:spacing w:after="120"/>
        <w:ind w:left="1701" w:right="1134"/>
        <w:jc w:val="both"/>
        <w:rPr>
          <w:i/>
          <w:szCs w:val="24"/>
          <w:lang w:val="fr-FR"/>
        </w:rPr>
      </w:pPr>
      <w:r w:rsidRPr="009F0F1C">
        <w:rPr>
          <w:szCs w:val="24"/>
          <w:lang w:val="fr-FR"/>
        </w:rPr>
        <w:t>« </w:t>
      </w:r>
      <w:r>
        <w:rPr>
          <w:i/>
          <w:lang w:val="fr-FR"/>
        </w:rPr>
        <w:t>Les</w:t>
      </w:r>
      <w:r>
        <w:rPr>
          <w:lang w:val="fr-FR"/>
        </w:rPr>
        <w:t xml:space="preserve"> </w:t>
      </w:r>
      <w:r>
        <w:rPr>
          <w:i/>
          <w:szCs w:val="24"/>
          <w:lang w:val="fr-FR"/>
        </w:rPr>
        <w:t xml:space="preserve">citernes, véhicules-batteries et CGEM doivent être chargés avec les seules matières pour le transport desquelles ils ont été agréés conformément au paragraphe </w:t>
      </w:r>
      <w:r>
        <w:rPr>
          <w:i/>
          <w:szCs w:val="24"/>
          <w:lang w:val="x-none"/>
        </w:rPr>
        <w:t xml:space="preserve">6.8.2.3.1 </w:t>
      </w:r>
      <w:r>
        <w:rPr>
          <w:i/>
          <w:szCs w:val="24"/>
        </w:rPr>
        <w:t>et qui, au contact des matériaux du réservoir, des joints d</w:t>
      </w:r>
      <w:r w:rsidR="005132F9">
        <w:rPr>
          <w:i/>
          <w:szCs w:val="24"/>
        </w:rPr>
        <w:t>’</w:t>
      </w:r>
      <w:r>
        <w:rPr>
          <w:i/>
          <w:szCs w:val="24"/>
        </w:rPr>
        <w:t>étanchéité, des équipements ainsi que des revêtements protecteurs ne sont pas susceptibles de réagir dangereusement avec eux</w:t>
      </w:r>
      <w:r>
        <w:rPr>
          <w:i/>
          <w:szCs w:val="24"/>
          <w:lang w:val="x-none"/>
        </w:rPr>
        <w:t xml:space="preserve"> (</w:t>
      </w:r>
      <w:proofErr w:type="spellStart"/>
      <w:r>
        <w:rPr>
          <w:i/>
          <w:szCs w:val="24"/>
        </w:rPr>
        <w:t>voir</w:t>
      </w:r>
      <w:proofErr w:type="spellEnd"/>
      <w:r>
        <w:rPr>
          <w:i/>
          <w:szCs w:val="24"/>
          <w:lang w:val="x-none"/>
        </w:rPr>
        <w:t xml:space="preserve"> “</w:t>
      </w:r>
      <w:proofErr w:type="spellStart"/>
      <w:r>
        <w:rPr>
          <w:i/>
          <w:szCs w:val="24"/>
        </w:rPr>
        <w:t>réaction</w:t>
      </w:r>
      <w:proofErr w:type="spellEnd"/>
      <w:r w:rsidRPr="0079519E">
        <w:rPr>
          <w:i/>
          <w:szCs w:val="24"/>
          <w:lang w:val="fr-CH"/>
        </w:rPr>
        <w:t xml:space="preserve"> dangereuse</w:t>
      </w:r>
      <w:r>
        <w:rPr>
          <w:i/>
          <w:szCs w:val="24"/>
          <w:lang w:val="x-none"/>
        </w:rPr>
        <w:t xml:space="preserve">” </w:t>
      </w:r>
      <w:r>
        <w:rPr>
          <w:i/>
          <w:szCs w:val="24"/>
        </w:rPr>
        <w:t xml:space="preserve">à la section </w:t>
      </w:r>
      <w:r>
        <w:rPr>
          <w:i/>
          <w:szCs w:val="24"/>
          <w:lang w:val="x-none"/>
        </w:rPr>
        <w:t xml:space="preserve">1.2.1), </w:t>
      </w:r>
      <w:r>
        <w:rPr>
          <w:i/>
          <w:szCs w:val="24"/>
        </w:rPr>
        <w:t>de former des produits dangereux ou d</w:t>
      </w:r>
      <w:r w:rsidR="005132F9">
        <w:rPr>
          <w:i/>
          <w:szCs w:val="24"/>
        </w:rPr>
        <w:t>’</w:t>
      </w:r>
      <w:r>
        <w:rPr>
          <w:i/>
          <w:szCs w:val="24"/>
        </w:rPr>
        <w:t>affaiblir ces matériaux de manière appréciable</w:t>
      </w:r>
      <w:r>
        <w:rPr>
          <w:i/>
          <w:szCs w:val="24"/>
          <w:lang w:val="x-none"/>
        </w:rPr>
        <w:t>.</w:t>
      </w:r>
      <w:r>
        <w:rPr>
          <w:i/>
          <w:szCs w:val="24"/>
          <w:lang w:val="fr-FR"/>
        </w:rPr>
        <w:t> </w:t>
      </w:r>
      <w:r w:rsidRPr="009F0F1C">
        <w:rPr>
          <w:szCs w:val="24"/>
          <w:lang w:val="fr-FR"/>
        </w:rPr>
        <w:t>».</w:t>
      </w:r>
    </w:p>
    <w:p w:rsidR="009F0F1C" w:rsidRDefault="009F0F1C" w:rsidP="009F0F1C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szCs w:val="24"/>
          <w:lang w:val="fr-FR"/>
        </w:rPr>
      </w:pPr>
      <w:r>
        <w:rPr>
          <w:szCs w:val="24"/>
          <w:lang w:val="fr-FR"/>
        </w:rPr>
        <w:t xml:space="preserve">Malgré la phrase </w:t>
      </w:r>
      <w:r>
        <w:rPr>
          <w:szCs w:val="24"/>
          <w:lang w:val="fr-CH"/>
        </w:rPr>
        <w:t>« </w:t>
      </w:r>
      <w:r>
        <w:rPr>
          <w:szCs w:val="24"/>
          <w:lang w:val="x-none"/>
        </w:rPr>
        <w:t>…</w:t>
      </w:r>
      <w:r>
        <w:rPr>
          <w:i/>
          <w:szCs w:val="24"/>
          <w:lang w:val="x-none"/>
        </w:rPr>
        <w:t xml:space="preserve">au contact des </w:t>
      </w:r>
      <w:proofErr w:type="spellStart"/>
      <w:r>
        <w:rPr>
          <w:i/>
          <w:szCs w:val="24"/>
          <w:lang w:val="x-none"/>
        </w:rPr>
        <w:t>matériaux</w:t>
      </w:r>
      <w:proofErr w:type="spellEnd"/>
      <w:r>
        <w:rPr>
          <w:i/>
          <w:szCs w:val="24"/>
          <w:lang w:val="x-none"/>
        </w:rPr>
        <w:t xml:space="preserve"> du </w:t>
      </w:r>
      <w:proofErr w:type="spellStart"/>
      <w:r>
        <w:rPr>
          <w:i/>
          <w:szCs w:val="24"/>
          <w:lang w:val="x-none"/>
        </w:rPr>
        <w:t>réservoir</w:t>
      </w:r>
      <w:proofErr w:type="spellEnd"/>
      <w:r>
        <w:rPr>
          <w:szCs w:val="24"/>
          <w:lang w:val="x-none"/>
        </w:rPr>
        <w:t>...</w:t>
      </w:r>
      <w:r>
        <w:rPr>
          <w:szCs w:val="24"/>
          <w:lang w:val="fr-CH"/>
        </w:rPr>
        <w:t> »</w:t>
      </w:r>
      <w:r>
        <w:rPr>
          <w:szCs w:val="24"/>
          <w:lang w:val="x-none"/>
        </w:rPr>
        <w:t xml:space="preserve">, </w:t>
      </w:r>
      <w:r>
        <w:rPr>
          <w:szCs w:val="24"/>
        </w:rPr>
        <w:t>ce texte peut être interprété comme voulant dire que les matériaux du réservoir, des joints d</w:t>
      </w:r>
      <w:r w:rsidR="005132F9">
        <w:rPr>
          <w:szCs w:val="24"/>
        </w:rPr>
        <w:t>’</w:t>
      </w:r>
      <w:r>
        <w:rPr>
          <w:szCs w:val="24"/>
        </w:rPr>
        <w:t>étanchéité, des équipements ainsi que des revêtements protecteurs ne doivent pas être susceptibles de réagir dangereusement (voir “réaction dangereuse” à la section 1.2.1),</w:t>
      </w:r>
      <w:r>
        <w:t xml:space="preserve"> </w:t>
      </w:r>
      <w:r>
        <w:rPr>
          <w:szCs w:val="24"/>
        </w:rPr>
        <w:t>ou d</w:t>
      </w:r>
      <w:r w:rsidR="005132F9">
        <w:rPr>
          <w:szCs w:val="24"/>
        </w:rPr>
        <w:t>’</w:t>
      </w:r>
      <w:r>
        <w:rPr>
          <w:szCs w:val="24"/>
        </w:rPr>
        <w:t xml:space="preserve">affaiblir ces matériaux de manière appréciable, que la matière transportée soit ou non en contact direct avec le réservoir. Selon ce texte, les citernes </w:t>
      </w:r>
      <w:r>
        <w:rPr>
          <w:szCs w:val="24"/>
        </w:rPr>
        <w:lastRenderedPageBreak/>
        <w:t>en alliage d</w:t>
      </w:r>
      <w:r w:rsidR="005132F9">
        <w:rPr>
          <w:szCs w:val="24"/>
        </w:rPr>
        <w:t>’</w:t>
      </w:r>
      <w:r>
        <w:rPr>
          <w:szCs w:val="24"/>
        </w:rPr>
        <w:t xml:space="preserve">aluminium avec revêtements protecteurs ne sont </w:t>
      </w:r>
      <w:r>
        <w:rPr>
          <w:b/>
          <w:szCs w:val="24"/>
        </w:rPr>
        <w:t>pas</w:t>
      </w:r>
      <w:r>
        <w:rPr>
          <w:szCs w:val="24"/>
        </w:rPr>
        <w:t xml:space="preserve"> autorisées à transporter de l</w:t>
      </w:r>
      <w:r w:rsidR="005132F9">
        <w:rPr>
          <w:szCs w:val="24"/>
        </w:rPr>
        <w:t>’</w:t>
      </w:r>
      <w:r>
        <w:rPr>
          <w:szCs w:val="24"/>
        </w:rPr>
        <w:t>acide chlorhydrique</w:t>
      </w:r>
      <w:r>
        <w:rPr>
          <w:szCs w:val="24"/>
          <w:lang w:val="x-none"/>
        </w:rPr>
        <w:t>.</w:t>
      </w:r>
    </w:p>
    <w:p w:rsidR="009F0F1C" w:rsidRPr="008F752D" w:rsidRDefault="009F0F1C" w:rsidP="003D7EF0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lang w:val="x-none"/>
        </w:rPr>
      </w:pPr>
      <w:r>
        <w:t>L</w:t>
      </w:r>
      <w:r w:rsidR="005132F9">
        <w:t>’</w:t>
      </w:r>
      <w:r>
        <w:t>expert des Pays-Bas est d</w:t>
      </w:r>
      <w:r w:rsidR="005132F9">
        <w:t>’</w:t>
      </w:r>
      <w:r>
        <w:t>avis que les réservoirs en alliage d</w:t>
      </w:r>
      <w:r w:rsidR="005132F9">
        <w:t>’</w:t>
      </w:r>
      <w:r>
        <w:t>aluminium avec revêtement protecteur ne devraient pas être autorisés pour des matières telles que l</w:t>
      </w:r>
      <w:r w:rsidR="005132F9">
        <w:t>’</w:t>
      </w:r>
      <w:r>
        <w:t>acide chlorhydrique</w:t>
      </w:r>
      <w:r>
        <w:rPr>
          <w:lang w:val="x-none"/>
        </w:rPr>
        <w:t xml:space="preserve">. </w:t>
      </w:r>
      <w:r>
        <w:t xml:space="preserve">En outre, </w:t>
      </w:r>
      <w:r>
        <w:rPr>
          <w:b/>
        </w:rPr>
        <w:t>qu</w:t>
      </w:r>
      <w:r w:rsidR="005132F9">
        <w:rPr>
          <w:b/>
        </w:rPr>
        <w:t>’</w:t>
      </w:r>
      <w:r>
        <w:rPr>
          <w:b/>
        </w:rPr>
        <w:t>il s</w:t>
      </w:r>
      <w:r w:rsidR="005132F9">
        <w:rPr>
          <w:b/>
        </w:rPr>
        <w:t>’</w:t>
      </w:r>
      <w:r>
        <w:rPr>
          <w:b/>
        </w:rPr>
        <w:t>agisse d</w:t>
      </w:r>
      <w:r w:rsidR="005132F9">
        <w:rPr>
          <w:b/>
        </w:rPr>
        <w:t>’</w:t>
      </w:r>
      <w:r>
        <w:rPr>
          <w:b/>
        </w:rPr>
        <w:t>aluminium ou d</w:t>
      </w:r>
      <w:r w:rsidR="005132F9">
        <w:rPr>
          <w:b/>
        </w:rPr>
        <w:t>’</w:t>
      </w:r>
      <w:r>
        <w:rPr>
          <w:b/>
        </w:rPr>
        <w:t>un autre matériau, une situation susceptible de provoquer une réaction dangereuse ou d</w:t>
      </w:r>
      <w:r w:rsidR="005132F9">
        <w:rPr>
          <w:b/>
        </w:rPr>
        <w:t>’</w:t>
      </w:r>
      <w:r>
        <w:rPr>
          <w:b/>
        </w:rPr>
        <w:t xml:space="preserve">affaiblir ce matériau de manière appréciable devrait être </w:t>
      </w:r>
      <w:proofErr w:type="gramStart"/>
      <w:r>
        <w:rPr>
          <w:b/>
        </w:rPr>
        <w:t>évitée</w:t>
      </w:r>
      <w:proofErr w:type="gramEnd"/>
      <w:r>
        <w:rPr>
          <w:b/>
        </w:rPr>
        <w:t xml:space="preserve"> dans tous les cas.</w:t>
      </w:r>
    </w:p>
    <w:p w:rsidR="008F752D" w:rsidRPr="008F752D" w:rsidRDefault="008F752D" w:rsidP="008F752D">
      <w:pPr>
        <w:pStyle w:val="SingleTxt"/>
        <w:spacing w:after="0" w:line="120" w:lineRule="exact"/>
        <w:rPr>
          <w:b/>
          <w:sz w:val="10"/>
          <w:szCs w:val="24"/>
        </w:rPr>
      </w:pPr>
    </w:p>
    <w:p w:rsidR="008F752D" w:rsidRPr="008F752D" w:rsidRDefault="008F752D" w:rsidP="008F752D">
      <w:pPr>
        <w:pStyle w:val="SingleTxt"/>
        <w:spacing w:after="0" w:line="120" w:lineRule="exact"/>
        <w:rPr>
          <w:sz w:val="10"/>
          <w:szCs w:val="24"/>
          <w:lang w:val="x-none"/>
        </w:rPr>
      </w:pPr>
    </w:p>
    <w:p w:rsidR="009F0F1C" w:rsidRDefault="009F0F1C" w:rsidP="003D7EF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rPr>
          <w:lang w:val="x-none"/>
        </w:rPr>
        <w:tab/>
      </w:r>
      <w:r>
        <w:rPr>
          <w:lang w:val="x-none"/>
        </w:rPr>
        <w:tab/>
      </w:r>
      <w:r>
        <w:t>Observation complémentaire</w:t>
      </w:r>
    </w:p>
    <w:p w:rsidR="00D90D1D" w:rsidRPr="00D90D1D" w:rsidRDefault="00D90D1D" w:rsidP="00D90D1D">
      <w:pPr>
        <w:spacing w:line="120" w:lineRule="exact"/>
        <w:rPr>
          <w:sz w:val="10"/>
        </w:rPr>
      </w:pPr>
    </w:p>
    <w:p w:rsidR="00D90D1D" w:rsidRDefault="00D90D1D" w:rsidP="00D90D1D">
      <w:pPr>
        <w:spacing w:line="120" w:lineRule="exact"/>
        <w:rPr>
          <w:sz w:val="10"/>
        </w:rPr>
      </w:pPr>
    </w:p>
    <w:p w:rsidR="009F0F1C" w:rsidRPr="00D90D1D" w:rsidRDefault="009F0F1C" w:rsidP="003D7EF0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sz w:val="24"/>
        </w:rPr>
      </w:pPr>
      <w:proofErr w:type="gramStart"/>
      <w:r w:rsidRPr="008F752D">
        <w:t>Nous estimons</w:t>
      </w:r>
      <w:proofErr w:type="gramEnd"/>
      <w:r w:rsidRPr="008F752D">
        <w:t xml:space="preserve"> que la </w:t>
      </w:r>
      <w:r>
        <w:t xml:space="preserve">situation </w:t>
      </w:r>
      <w:r w:rsidRPr="008F752D">
        <w:t>décrite dans le deuxième alinéa du</w:t>
      </w:r>
      <w:r>
        <w:t xml:space="preserve"> paragraphe 6.8.2.1.9</w:t>
      </w:r>
      <w:r w:rsidR="003D7EF0">
        <w:t> </w:t>
      </w:r>
      <w:r>
        <w:t>:</w:t>
      </w:r>
    </w:p>
    <w:p w:rsidR="009F0F1C" w:rsidRPr="003D7EF0" w:rsidRDefault="003D7EF0" w:rsidP="009F0F1C">
      <w:pPr>
        <w:spacing w:after="120"/>
        <w:ind w:left="1701" w:right="1134"/>
        <w:jc w:val="both"/>
        <w:rPr>
          <w:i/>
          <w:szCs w:val="24"/>
          <w:lang w:val="fr-CH"/>
        </w:rPr>
      </w:pPr>
      <w:r w:rsidRPr="003D7EF0">
        <w:rPr>
          <w:szCs w:val="24"/>
          <w:lang w:val="fr-CH"/>
        </w:rPr>
        <w:t>« </w:t>
      </w:r>
      <w:r w:rsidR="009F0F1C">
        <w:rPr>
          <w:i/>
          <w:szCs w:val="24"/>
          <w:lang w:val="x-none"/>
        </w:rPr>
        <w:t xml:space="preserve">Si le contact entre la </w:t>
      </w:r>
      <w:proofErr w:type="spellStart"/>
      <w:r w:rsidR="009F0F1C">
        <w:rPr>
          <w:i/>
          <w:szCs w:val="24"/>
          <w:lang w:val="x-none"/>
        </w:rPr>
        <w:t>matière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transportée</w:t>
      </w:r>
      <w:proofErr w:type="spellEnd"/>
      <w:r w:rsidR="009F0F1C">
        <w:rPr>
          <w:i/>
          <w:szCs w:val="24"/>
          <w:lang w:val="x-none"/>
        </w:rPr>
        <w:t xml:space="preserve"> et le </w:t>
      </w:r>
      <w:proofErr w:type="spellStart"/>
      <w:r w:rsidR="009F0F1C">
        <w:rPr>
          <w:i/>
          <w:szCs w:val="24"/>
          <w:lang w:val="x-none"/>
        </w:rPr>
        <w:t>matériau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utilisé</w:t>
      </w:r>
      <w:proofErr w:type="spellEnd"/>
      <w:r w:rsidR="009F0F1C">
        <w:rPr>
          <w:i/>
          <w:szCs w:val="24"/>
          <w:lang w:val="x-none"/>
        </w:rPr>
        <w:t xml:space="preserve"> pour la construction du</w:t>
      </w:r>
      <w:r w:rsidR="009F0F1C" w:rsidRPr="0079519E">
        <w:rPr>
          <w:i/>
          <w:szCs w:val="24"/>
          <w:lang w:val="fr-CH"/>
        </w:rPr>
        <w:t xml:space="preserve"> réservoir entraîne</w:t>
      </w:r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une</w:t>
      </w:r>
      <w:proofErr w:type="spellEnd"/>
      <w:r w:rsidR="009F0F1C">
        <w:rPr>
          <w:i/>
          <w:szCs w:val="24"/>
          <w:lang w:val="x-none"/>
        </w:rPr>
        <w:t xml:space="preserve"> diminution progressive de </w:t>
      </w:r>
      <w:proofErr w:type="spellStart"/>
      <w:r w:rsidR="009F0F1C">
        <w:rPr>
          <w:i/>
          <w:szCs w:val="24"/>
          <w:lang w:val="x-none"/>
        </w:rPr>
        <w:t>l</w:t>
      </w:r>
      <w:r w:rsidR="005132F9">
        <w:rPr>
          <w:i/>
          <w:szCs w:val="24"/>
          <w:lang w:val="x-none"/>
        </w:rPr>
        <w:t>’</w:t>
      </w:r>
      <w:r w:rsidR="009F0F1C">
        <w:rPr>
          <w:i/>
          <w:szCs w:val="24"/>
          <w:lang w:val="x-none"/>
        </w:rPr>
        <w:t>épaisseur</w:t>
      </w:r>
      <w:proofErr w:type="spellEnd"/>
      <w:r w:rsidR="009F0F1C">
        <w:rPr>
          <w:i/>
          <w:szCs w:val="24"/>
          <w:lang w:val="x-none"/>
        </w:rPr>
        <w:t xml:space="preserve"> du </w:t>
      </w:r>
      <w:proofErr w:type="spellStart"/>
      <w:r w:rsidR="009F0F1C">
        <w:rPr>
          <w:i/>
          <w:szCs w:val="24"/>
          <w:lang w:val="x-none"/>
        </w:rPr>
        <w:t>réservoir</w:t>
      </w:r>
      <w:proofErr w:type="spellEnd"/>
      <w:r w:rsidR="009F0F1C">
        <w:rPr>
          <w:i/>
          <w:szCs w:val="24"/>
          <w:lang w:val="x-none"/>
        </w:rPr>
        <w:t xml:space="preserve">, </w:t>
      </w:r>
      <w:proofErr w:type="spellStart"/>
      <w:r w:rsidR="009F0F1C">
        <w:rPr>
          <w:i/>
          <w:szCs w:val="24"/>
          <w:lang w:val="x-none"/>
        </w:rPr>
        <w:t>cette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épaisseur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doit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être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compensée</w:t>
      </w:r>
      <w:proofErr w:type="spellEnd"/>
      <w:r w:rsidR="009F0F1C">
        <w:rPr>
          <w:i/>
          <w:szCs w:val="24"/>
          <w:lang w:val="x-none"/>
        </w:rPr>
        <w:t xml:space="preserve"> de </w:t>
      </w:r>
      <w:proofErr w:type="spellStart"/>
      <w:r w:rsidR="009F0F1C">
        <w:rPr>
          <w:i/>
          <w:szCs w:val="24"/>
          <w:lang w:val="x-none"/>
        </w:rPr>
        <w:t>manière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appropriée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lors</w:t>
      </w:r>
      <w:proofErr w:type="spellEnd"/>
      <w:r w:rsidR="009F0F1C">
        <w:rPr>
          <w:i/>
          <w:szCs w:val="24"/>
          <w:lang w:val="x-none"/>
        </w:rPr>
        <w:t xml:space="preserve"> de la fabrication.</w:t>
      </w:r>
      <w:r w:rsidR="009F0F1C">
        <w:rPr>
          <w:lang w:val="x-none"/>
        </w:rPr>
        <w:t xml:space="preserve"> </w:t>
      </w:r>
      <w:r w:rsidR="009F0F1C">
        <w:rPr>
          <w:i/>
          <w:szCs w:val="24"/>
          <w:lang w:val="x-none"/>
        </w:rPr>
        <w:t xml:space="preserve">Ce </w:t>
      </w:r>
      <w:proofErr w:type="spellStart"/>
      <w:r w:rsidR="009F0F1C">
        <w:rPr>
          <w:i/>
          <w:szCs w:val="24"/>
          <w:lang w:val="x-none"/>
        </w:rPr>
        <w:t>surcroît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d</w:t>
      </w:r>
      <w:r w:rsidR="005132F9">
        <w:rPr>
          <w:i/>
          <w:szCs w:val="24"/>
          <w:lang w:val="x-none"/>
        </w:rPr>
        <w:t>’</w:t>
      </w:r>
      <w:r w:rsidR="009F0F1C">
        <w:rPr>
          <w:i/>
          <w:szCs w:val="24"/>
          <w:lang w:val="x-none"/>
        </w:rPr>
        <w:t>épaisseur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destiné</w:t>
      </w:r>
      <w:proofErr w:type="spellEnd"/>
      <w:r w:rsidR="009F0F1C">
        <w:rPr>
          <w:i/>
          <w:szCs w:val="24"/>
          <w:lang w:val="x-none"/>
        </w:rPr>
        <w:t xml:space="preserve"> à </w:t>
      </w:r>
      <w:proofErr w:type="spellStart"/>
      <w:r w:rsidR="009F0F1C">
        <w:rPr>
          <w:i/>
          <w:szCs w:val="24"/>
          <w:lang w:val="x-none"/>
        </w:rPr>
        <w:t>tenir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compte</w:t>
      </w:r>
      <w:proofErr w:type="spellEnd"/>
      <w:r w:rsidR="009F0F1C">
        <w:rPr>
          <w:i/>
          <w:szCs w:val="24"/>
          <w:lang w:val="x-none"/>
        </w:rPr>
        <w:t xml:space="preserve"> de la corrosion ne </w:t>
      </w:r>
      <w:proofErr w:type="spellStart"/>
      <w:r w:rsidR="009F0F1C">
        <w:rPr>
          <w:i/>
          <w:szCs w:val="24"/>
          <w:lang w:val="x-none"/>
        </w:rPr>
        <w:t>doit</w:t>
      </w:r>
      <w:proofErr w:type="spellEnd"/>
      <w:r w:rsidR="009F0F1C">
        <w:rPr>
          <w:i/>
          <w:szCs w:val="24"/>
          <w:lang w:val="x-none"/>
        </w:rPr>
        <w:t xml:space="preserve"> pas </w:t>
      </w:r>
      <w:proofErr w:type="spellStart"/>
      <w:r w:rsidR="009F0F1C">
        <w:rPr>
          <w:i/>
          <w:szCs w:val="24"/>
          <w:lang w:val="x-none"/>
        </w:rPr>
        <w:t>être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pris</w:t>
      </w:r>
      <w:proofErr w:type="spellEnd"/>
      <w:r w:rsidR="009F0F1C">
        <w:rPr>
          <w:i/>
          <w:szCs w:val="24"/>
          <w:lang w:val="x-none"/>
        </w:rPr>
        <w:t xml:space="preserve"> en </w:t>
      </w:r>
      <w:proofErr w:type="spellStart"/>
      <w:r w:rsidR="009F0F1C">
        <w:rPr>
          <w:i/>
          <w:szCs w:val="24"/>
          <w:lang w:val="x-none"/>
        </w:rPr>
        <w:t>considération</w:t>
      </w:r>
      <w:proofErr w:type="spellEnd"/>
      <w:r w:rsidR="009F0F1C">
        <w:rPr>
          <w:i/>
          <w:szCs w:val="24"/>
          <w:lang w:val="x-none"/>
        </w:rPr>
        <w:t xml:space="preserve"> </w:t>
      </w:r>
      <w:proofErr w:type="spellStart"/>
      <w:r w:rsidR="009F0F1C">
        <w:rPr>
          <w:i/>
          <w:szCs w:val="24"/>
          <w:lang w:val="x-none"/>
        </w:rPr>
        <w:t>lors</w:t>
      </w:r>
      <w:proofErr w:type="spellEnd"/>
      <w:r w:rsidR="009F0F1C">
        <w:rPr>
          <w:i/>
          <w:szCs w:val="24"/>
          <w:lang w:val="x-none"/>
        </w:rPr>
        <w:t xml:space="preserve"> du </w:t>
      </w:r>
      <w:proofErr w:type="spellStart"/>
      <w:r w:rsidR="009F0F1C">
        <w:rPr>
          <w:i/>
          <w:szCs w:val="24"/>
          <w:lang w:val="x-none"/>
        </w:rPr>
        <w:t>calcul</w:t>
      </w:r>
      <w:proofErr w:type="spellEnd"/>
      <w:r w:rsidR="009F0F1C">
        <w:rPr>
          <w:i/>
          <w:szCs w:val="24"/>
          <w:lang w:val="x-none"/>
        </w:rPr>
        <w:t xml:space="preserve"> de </w:t>
      </w:r>
      <w:proofErr w:type="spellStart"/>
      <w:r w:rsidR="009F0F1C">
        <w:rPr>
          <w:i/>
          <w:szCs w:val="24"/>
          <w:lang w:val="x-none"/>
        </w:rPr>
        <w:t>l</w:t>
      </w:r>
      <w:r w:rsidR="005132F9">
        <w:rPr>
          <w:i/>
          <w:szCs w:val="24"/>
          <w:lang w:val="x-none"/>
        </w:rPr>
        <w:t>’</w:t>
      </w:r>
      <w:r w:rsidR="009F0F1C">
        <w:rPr>
          <w:i/>
          <w:szCs w:val="24"/>
          <w:lang w:val="x-none"/>
        </w:rPr>
        <w:t>épaisseur</w:t>
      </w:r>
      <w:proofErr w:type="spellEnd"/>
      <w:r w:rsidR="009F0F1C">
        <w:rPr>
          <w:i/>
          <w:szCs w:val="24"/>
          <w:lang w:val="x-none"/>
        </w:rPr>
        <w:t xml:space="preserve"> du </w:t>
      </w:r>
      <w:proofErr w:type="spellStart"/>
      <w:r w:rsidR="009F0F1C">
        <w:rPr>
          <w:i/>
          <w:szCs w:val="24"/>
          <w:lang w:val="x-none"/>
        </w:rPr>
        <w:t>réservoir</w:t>
      </w:r>
      <w:proofErr w:type="spellEnd"/>
      <w:r w:rsidR="009F0F1C" w:rsidRPr="003D7EF0">
        <w:rPr>
          <w:szCs w:val="24"/>
          <w:lang w:val="x-none"/>
        </w:rPr>
        <w:t>.</w:t>
      </w:r>
      <w:r w:rsidRPr="003D7EF0">
        <w:rPr>
          <w:szCs w:val="24"/>
          <w:lang w:val="fr-CH"/>
        </w:rPr>
        <w:t> »</w:t>
      </w:r>
    </w:p>
    <w:p w:rsidR="009F0F1C" w:rsidRDefault="009F0F1C" w:rsidP="009F0F1C">
      <w:pPr>
        <w:pStyle w:val="SingleTxt"/>
      </w:pPr>
      <w:proofErr w:type="gramStart"/>
      <w:r>
        <w:rPr>
          <w:lang w:val="fr-FR"/>
        </w:rPr>
        <w:t>n</w:t>
      </w:r>
      <w:r w:rsidR="005132F9">
        <w:rPr>
          <w:lang w:val="fr-FR"/>
        </w:rPr>
        <w:t>’</w:t>
      </w:r>
      <w:r>
        <w:rPr>
          <w:lang w:val="fr-FR"/>
        </w:rPr>
        <w:t>est</w:t>
      </w:r>
      <w:proofErr w:type="gramEnd"/>
      <w:r>
        <w:rPr>
          <w:lang w:val="fr-FR"/>
        </w:rPr>
        <w:t xml:space="preserve"> pas concernée car une lente diminution de l</w:t>
      </w:r>
      <w:r w:rsidR="005132F9">
        <w:rPr>
          <w:lang w:val="fr-FR"/>
        </w:rPr>
        <w:t>’</w:t>
      </w:r>
      <w:r>
        <w:rPr>
          <w:lang w:val="fr-FR"/>
        </w:rPr>
        <w:t>épaisseur de la paroi du réservoir sous l</w:t>
      </w:r>
      <w:r w:rsidR="005132F9">
        <w:rPr>
          <w:lang w:val="fr-FR"/>
        </w:rPr>
        <w:t>’</w:t>
      </w:r>
      <w:r>
        <w:rPr>
          <w:lang w:val="fr-FR"/>
        </w:rPr>
        <w:t xml:space="preserve">effet de la réaction entre le contenu et le réservoir ne saurait être considérée comme une </w:t>
      </w:r>
      <w:r w:rsidR="005132F9">
        <w:rPr>
          <w:lang w:val="fr-FR"/>
        </w:rPr>
        <w:t>« </w:t>
      </w:r>
      <w:r>
        <w:t>réaction dangereuse</w:t>
      </w:r>
      <w:r w:rsidR="005132F9">
        <w:t> »</w:t>
      </w:r>
      <w:r>
        <w:t xml:space="preserve"> au sens de la définition de la section 1.2.1 ni comme un affaiblissement appréciable du matériau du réservoir.</w:t>
      </w:r>
    </w:p>
    <w:p w:rsidR="003D7EF0" w:rsidRPr="003D7EF0" w:rsidRDefault="003D7EF0" w:rsidP="003D7EF0">
      <w:pPr>
        <w:pStyle w:val="SingleTxt"/>
        <w:spacing w:after="0" w:line="120" w:lineRule="exact"/>
        <w:rPr>
          <w:sz w:val="10"/>
        </w:rPr>
      </w:pPr>
    </w:p>
    <w:p w:rsidR="003D7EF0" w:rsidRPr="003D7EF0" w:rsidRDefault="003D7EF0" w:rsidP="003D7EF0">
      <w:pPr>
        <w:pStyle w:val="SingleTxt"/>
        <w:spacing w:after="0" w:line="120" w:lineRule="exact"/>
        <w:rPr>
          <w:sz w:val="10"/>
        </w:rPr>
      </w:pPr>
    </w:p>
    <w:p w:rsidR="009F0F1C" w:rsidRDefault="009F0F1C" w:rsidP="003D7EF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Cs w:val="24"/>
        </w:rPr>
      </w:pPr>
      <w:r>
        <w:tab/>
      </w:r>
      <w:r>
        <w:tab/>
        <w:t>Propos</w:t>
      </w:r>
      <w:proofErr w:type="spellStart"/>
      <w:r>
        <w:rPr>
          <w:lang w:val="en-US"/>
        </w:rPr>
        <w:t>ition</w:t>
      </w:r>
      <w:proofErr w:type="spellEnd"/>
    </w:p>
    <w:p w:rsidR="003D7EF0" w:rsidRPr="003D7EF0" w:rsidRDefault="003D7EF0" w:rsidP="003D7EF0">
      <w:pPr>
        <w:spacing w:line="120" w:lineRule="exact"/>
        <w:rPr>
          <w:sz w:val="10"/>
        </w:rPr>
      </w:pPr>
    </w:p>
    <w:p w:rsidR="003D7EF0" w:rsidRPr="003D7EF0" w:rsidRDefault="003D7EF0" w:rsidP="003D7EF0">
      <w:pPr>
        <w:spacing w:line="120" w:lineRule="exact"/>
        <w:rPr>
          <w:sz w:val="10"/>
        </w:rPr>
      </w:pPr>
    </w:p>
    <w:p w:rsidR="009F0F1C" w:rsidRPr="00225F2E" w:rsidRDefault="003D7EF0" w:rsidP="00D90D1D">
      <w:pPr>
        <w:pStyle w:val="SingleTxt"/>
        <w:numPr>
          <w:ilvl w:val="0"/>
          <w:numId w:val="10"/>
        </w:numPr>
        <w:tabs>
          <w:tab w:val="clear" w:pos="475"/>
          <w:tab w:val="num" w:pos="1742"/>
        </w:tabs>
        <w:ind w:left="1267"/>
        <w:rPr>
          <w:szCs w:val="24"/>
          <w:u w:val="single"/>
          <w:lang w:val="x-none"/>
        </w:rPr>
      </w:pPr>
      <w:r>
        <w:rPr>
          <w:szCs w:val="24"/>
          <w:lang w:val="fr-FR"/>
        </w:rPr>
        <w:t>À</w:t>
      </w:r>
      <w:r w:rsidR="009F0F1C">
        <w:rPr>
          <w:szCs w:val="24"/>
          <w:lang w:val="fr-FR"/>
        </w:rPr>
        <w:t xml:space="preserve"> la lumière de ce qui précède, nous proposons d</w:t>
      </w:r>
      <w:r w:rsidR="005132F9">
        <w:rPr>
          <w:szCs w:val="24"/>
          <w:lang w:val="fr-FR"/>
        </w:rPr>
        <w:t>’</w:t>
      </w:r>
      <w:r w:rsidR="009F0F1C">
        <w:rPr>
          <w:szCs w:val="24"/>
          <w:lang w:val="fr-FR"/>
        </w:rPr>
        <w:t xml:space="preserve">introduire la modification suivante au premier alinéa du paragraphe 6.8.2.1.9, les ajouts étant indiqués en caractères </w:t>
      </w:r>
      <w:r w:rsidR="009F0F1C">
        <w:rPr>
          <w:b/>
          <w:szCs w:val="24"/>
          <w:lang w:val="fr-FR"/>
        </w:rPr>
        <w:t>gras</w:t>
      </w:r>
      <w:r w:rsidR="009F0F1C">
        <w:rPr>
          <w:szCs w:val="24"/>
          <w:lang w:val="fr-FR"/>
        </w:rPr>
        <w:t xml:space="preserve"> et les suppressions en caractères </w:t>
      </w:r>
      <w:r w:rsidR="009F0F1C">
        <w:rPr>
          <w:strike/>
          <w:szCs w:val="24"/>
          <w:lang w:val="fr-FR"/>
        </w:rPr>
        <w:t>biffés</w:t>
      </w:r>
      <w:r w:rsidR="009F0F1C">
        <w:rPr>
          <w:szCs w:val="24"/>
          <w:lang w:val="fr-FR"/>
        </w:rPr>
        <w:t>. Le deuxième alinéa du par</w:t>
      </w:r>
      <w:proofErr w:type="spellStart"/>
      <w:r w:rsidR="009F0F1C">
        <w:rPr>
          <w:szCs w:val="24"/>
          <w:lang w:val="x-none"/>
        </w:rPr>
        <w:t>agraph</w:t>
      </w:r>
      <w:r w:rsidR="009F0F1C">
        <w:rPr>
          <w:szCs w:val="24"/>
        </w:rPr>
        <w:t>e</w:t>
      </w:r>
      <w:proofErr w:type="spellEnd"/>
      <w:r w:rsidR="009F0F1C">
        <w:rPr>
          <w:szCs w:val="24"/>
        </w:rPr>
        <w:t xml:space="preserve"> </w:t>
      </w:r>
      <w:r w:rsidR="009F0F1C">
        <w:rPr>
          <w:szCs w:val="24"/>
          <w:lang w:val="fr-FR"/>
        </w:rPr>
        <w:t>6.8.2.1.9 restera inchangé.</w:t>
      </w:r>
    </w:p>
    <w:p w:rsidR="00225F2E" w:rsidRPr="00EB5CA3" w:rsidRDefault="00225F2E" w:rsidP="005132F9">
      <w:pPr>
        <w:pStyle w:val="SingleTxt"/>
        <w:ind w:left="2693" w:hanging="1426"/>
        <w:rPr>
          <w:i/>
          <w:szCs w:val="24"/>
          <w:u w:val="single"/>
          <w:lang w:val="x-none"/>
        </w:rPr>
      </w:pPr>
      <w:r w:rsidRPr="00225F2E">
        <w:rPr>
          <w:szCs w:val="24"/>
          <w:lang w:val="fr-FR"/>
        </w:rPr>
        <w:t>« </w:t>
      </w:r>
      <w:r w:rsidRPr="00225F2E">
        <w:rPr>
          <w:i/>
          <w:szCs w:val="24"/>
          <w:lang w:val="x-none"/>
        </w:rPr>
        <w:t>6.8.2.1.9</w:t>
      </w:r>
      <w:r w:rsidRPr="00225F2E">
        <w:rPr>
          <w:i/>
          <w:szCs w:val="24"/>
          <w:lang w:val="fr-CH"/>
        </w:rPr>
        <w:tab/>
      </w:r>
      <w:r w:rsidRPr="00225F2E">
        <w:rPr>
          <w:b/>
          <w:i/>
          <w:szCs w:val="24"/>
          <w:lang w:val="x-none"/>
        </w:rPr>
        <w:tab/>
      </w:r>
      <w:r w:rsidRPr="00225F2E">
        <w:rPr>
          <w:i/>
          <w:szCs w:val="24"/>
          <w:lang w:val="x-none"/>
        </w:rPr>
        <w:t xml:space="preserve">Les </w:t>
      </w:r>
      <w:proofErr w:type="spellStart"/>
      <w:r w:rsidRPr="00225F2E">
        <w:rPr>
          <w:i/>
          <w:szCs w:val="24"/>
          <w:lang w:val="x-none"/>
        </w:rPr>
        <w:t>matériaux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zCs w:val="24"/>
          <w:lang w:val="x-none"/>
        </w:rPr>
        <w:t>dont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zCs w:val="24"/>
          <w:lang w:val="x-none"/>
        </w:rPr>
        <w:t>sont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zCs w:val="24"/>
          <w:lang w:val="x-none"/>
        </w:rPr>
        <w:t>faits</w:t>
      </w:r>
      <w:proofErr w:type="spellEnd"/>
      <w:r w:rsidRPr="00225F2E">
        <w:rPr>
          <w:i/>
          <w:szCs w:val="24"/>
          <w:lang w:val="x-none"/>
        </w:rPr>
        <w:t xml:space="preserve"> les </w:t>
      </w:r>
      <w:proofErr w:type="spellStart"/>
      <w:r w:rsidRPr="00225F2E">
        <w:rPr>
          <w:i/>
          <w:szCs w:val="24"/>
          <w:lang w:val="x-none"/>
        </w:rPr>
        <w:t>réservoirs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trike/>
          <w:szCs w:val="24"/>
          <w:lang w:val="x-none"/>
        </w:rPr>
        <w:t>ou</w:t>
      </w:r>
      <w:proofErr w:type="spellEnd"/>
      <w:r w:rsidRPr="00225F2E">
        <w:rPr>
          <w:i/>
          <w:szCs w:val="24"/>
          <w:lang w:val="x-none"/>
        </w:rPr>
        <w:t xml:space="preserve"> </w:t>
      </w:r>
      <w:r w:rsidRPr="00225F2E">
        <w:rPr>
          <w:b/>
          <w:i/>
          <w:szCs w:val="24"/>
        </w:rPr>
        <w:t>y compris</w:t>
      </w:r>
      <w:r w:rsidRPr="00225F2E">
        <w:rPr>
          <w:i/>
          <w:szCs w:val="24"/>
        </w:rPr>
        <w:t xml:space="preserve"> </w:t>
      </w:r>
      <w:proofErr w:type="spellStart"/>
      <w:r w:rsidRPr="00225F2E">
        <w:rPr>
          <w:i/>
          <w:szCs w:val="24"/>
          <w:lang w:val="x-none"/>
        </w:rPr>
        <w:t>leurs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zCs w:val="24"/>
          <w:lang w:val="x-none"/>
        </w:rPr>
        <w:t>revêtements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zCs w:val="24"/>
          <w:lang w:val="x-none"/>
        </w:rPr>
        <w:t>protecteurs</w:t>
      </w:r>
      <w:proofErr w:type="spellEnd"/>
      <w:r w:rsidRPr="00225F2E">
        <w:rPr>
          <w:i/>
          <w:szCs w:val="24"/>
        </w:rPr>
        <w:t xml:space="preserve">, </w:t>
      </w:r>
      <w:r w:rsidRPr="00225F2E">
        <w:rPr>
          <w:b/>
          <w:i/>
          <w:szCs w:val="24"/>
        </w:rPr>
        <w:t>le cas échéant</w:t>
      </w:r>
      <w:r w:rsidRPr="005132F9">
        <w:rPr>
          <w:b/>
          <w:i/>
          <w:szCs w:val="24"/>
        </w:rPr>
        <w:t>,</w:t>
      </w:r>
      <w:r w:rsidRPr="00225F2E">
        <w:rPr>
          <w:i/>
          <w:szCs w:val="24"/>
        </w:rPr>
        <w:t xml:space="preserve"> </w:t>
      </w:r>
      <w:r w:rsidRPr="00225F2E">
        <w:rPr>
          <w:i/>
          <w:strike/>
          <w:szCs w:val="24"/>
          <w:lang w:val="x-none"/>
        </w:rPr>
        <w:t xml:space="preserve">en contact avec le </w:t>
      </w:r>
      <w:proofErr w:type="spellStart"/>
      <w:r w:rsidRPr="00225F2E">
        <w:rPr>
          <w:i/>
          <w:strike/>
          <w:szCs w:val="24"/>
          <w:lang w:val="x-none"/>
        </w:rPr>
        <w:t>contenu</w:t>
      </w:r>
      <w:proofErr w:type="spellEnd"/>
      <w:r w:rsidRPr="00225F2E">
        <w:rPr>
          <w:i/>
          <w:szCs w:val="24"/>
          <w:lang w:val="x-none"/>
        </w:rPr>
        <w:t xml:space="preserve"> ne </w:t>
      </w:r>
      <w:proofErr w:type="spellStart"/>
      <w:r w:rsidRPr="00225F2E">
        <w:rPr>
          <w:i/>
          <w:szCs w:val="24"/>
          <w:lang w:val="x-none"/>
        </w:rPr>
        <w:t>doivent</w:t>
      </w:r>
      <w:proofErr w:type="spellEnd"/>
      <w:r w:rsidRPr="00225F2E">
        <w:rPr>
          <w:i/>
          <w:szCs w:val="24"/>
          <w:lang w:val="x-none"/>
        </w:rPr>
        <w:t xml:space="preserve"> pas </w:t>
      </w:r>
      <w:proofErr w:type="spellStart"/>
      <w:r w:rsidRPr="00225F2E">
        <w:rPr>
          <w:i/>
          <w:szCs w:val="24"/>
          <w:lang w:val="x-none"/>
        </w:rPr>
        <w:t>comporter</w:t>
      </w:r>
      <w:proofErr w:type="spellEnd"/>
      <w:r w:rsidRPr="00225F2E">
        <w:rPr>
          <w:i/>
          <w:szCs w:val="24"/>
          <w:lang w:val="x-none"/>
        </w:rPr>
        <w:t xml:space="preserve"> de </w:t>
      </w:r>
      <w:proofErr w:type="spellStart"/>
      <w:r w:rsidRPr="00225F2E">
        <w:rPr>
          <w:i/>
          <w:szCs w:val="24"/>
          <w:lang w:val="x-none"/>
        </w:rPr>
        <w:t>matières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zCs w:val="24"/>
          <w:lang w:val="x-none"/>
        </w:rPr>
        <w:t>susceptibles</w:t>
      </w:r>
      <w:proofErr w:type="spellEnd"/>
      <w:r w:rsidRPr="00225F2E">
        <w:rPr>
          <w:i/>
          <w:szCs w:val="24"/>
          <w:lang w:val="x-none"/>
        </w:rPr>
        <w:t xml:space="preserve"> de </w:t>
      </w:r>
      <w:proofErr w:type="spellStart"/>
      <w:r w:rsidRPr="00225F2E">
        <w:rPr>
          <w:i/>
          <w:szCs w:val="24"/>
          <w:lang w:val="x-none"/>
        </w:rPr>
        <w:t>réagir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zCs w:val="24"/>
          <w:lang w:val="x-none"/>
        </w:rPr>
        <w:t>dangereusement</w:t>
      </w:r>
      <w:proofErr w:type="spellEnd"/>
      <w:r w:rsidRPr="00225F2E">
        <w:rPr>
          <w:i/>
          <w:szCs w:val="24"/>
          <w:lang w:val="x-none"/>
        </w:rPr>
        <w:t xml:space="preserve"> (</w:t>
      </w:r>
      <w:proofErr w:type="spellStart"/>
      <w:r w:rsidRPr="00225F2E">
        <w:rPr>
          <w:i/>
          <w:szCs w:val="24"/>
          <w:lang w:val="x-none"/>
        </w:rPr>
        <w:t>voir</w:t>
      </w:r>
      <w:proofErr w:type="spellEnd"/>
      <w:r w:rsidRPr="00225F2E">
        <w:rPr>
          <w:i/>
          <w:szCs w:val="24"/>
          <w:lang w:val="x-none"/>
        </w:rPr>
        <w:t xml:space="preserve"> “</w:t>
      </w:r>
      <w:proofErr w:type="spellStart"/>
      <w:r w:rsidRPr="00225F2E">
        <w:rPr>
          <w:i/>
          <w:szCs w:val="24"/>
          <w:lang w:val="x-none"/>
        </w:rPr>
        <w:t>réaction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zCs w:val="24"/>
          <w:lang w:val="x-none"/>
        </w:rPr>
        <w:t>dangereuse</w:t>
      </w:r>
      <w:proofErr w:type="spellEnd"/>
      <w:r w:rsidRPr="00225F2E">
        <w:rPr>
          <w:i/>
          <w:szCs w:val="24"/>
        </w:rPr>
        <w:t>”</w:t>
      </w:r>
      <w:r w:rsidRPr="00225F2E">
        <w:rPr>
          <w:i/>
          <w:szCs w:val="24"/>
          <w:lang w:val="x-none"/>
        </w:rPr>
        <w:t xml:space="preserve"> à la section</w:t>
      </w:r>
      <w:r w:rsidR="00BC6AE8">
        <w:rPr>
          <w:i/>
          <w:szCs w:val="24"/>
          <w:lang w:val="fr-CH"/>
        </w:rPr>
        <w:t xml:space="preserve"> </w:t>
      </w:r>
      <w:r w:rsidRPr="00225F2E">
        <w:rPr>
          <w:i/>
          <w:szCs w:val="24"/>
          <w:lang w:val="x-none"/>
        </w:rPr>
        <w:t xml:space="preserve">1.2.1) avec le </w:t>
      </w:r>
      <w:proofErr w:type="spellStart"/>
      <w:r w:rsidRPr="00225F2E">
        <w:rPr>
          <w:i/>
          <w:szCs w:val="24"/>
          <w:lang w:val="x-none"/>
        </w:rPr>
        <w:t>contenu</w:t>
      </w:r>
      <w:proofErr w:type="spellEnd"/>
      <w:r w:rsidRPr="00225F2E">
        <w:rPr>
          <w:i/>
          <w:szCs w:val="24"/>
          <w:lang w:val="x-none"/>
        </w:rPr>
        <w:t xml:space="preserve">, de former des </w:t>
      </w:r>
      <w:proofErr w:type="spellStart"/>
      <w:r w:rsidRPr="00225F2E">
        <w:rPr>
          <w:i/>
          <w:szCs w:val="24"/>
          <w:lang w:val="x-none"/>
        </w:rPr>
        <w:t>produits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zCs w:val="24"/>
          <w:lang w:val="x-none"/>
        </w:rPr>
        <w:t>dangereux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zCs w:val="24"/>
          <w:lang w:val="x-none"/>
        </w:rPr>
        <w:t>ou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zCs w:val="24"/>
          <w:lang w:val="x-none"/>
        </w:rPr>
        <w:t>d</w:t>
      </w:r>
      <w:r w:rsidR="005132F9">
        <w:rPr>
          <w:i/>
          <w:szCs w:val="24"/>
          <w:lang w:val="x-none"/>
        </w:rPr>
        <w:t>’</w:t>
      </w:r>
      <w:r w:rsidRPr="00225F2E">
        <w:rPr>
          <w:i/>
          <w:szCs w:val="24"/>
          <w:lang w:val="x-none"/>
        </w:rPr>
        <w:t>affaiblir</w:t>
      </w:r>
      <w:proofErr w:type="spellEnd"/>
      <w:r w:rsidRPr="00225F2E">
        <w:rPr>
          <w:i/>
          <w:szCs w:val="24"/>
          <w:lang w:val="x-none"/>
        </w:rPr>
        <w:t xml:space="preserve"> le </w:t>
      </w:r>
      <w:proofErr w:type="spellStart"/>
      <w:r w:rsidRPr="00225F2E">
        <w:rPr>
          <w:i/>
          <w:szCs w:val="24"/>
          <w:lang w:val="x-none"/>
        </w:rPr>
        <w:t>matériau</w:t>
      </w:r>
      <w:proofErr w:type="spellEnd"/>
      <w:r w:rsidRPr="00225F2E">
        <w:rPr>
          <w:i/>
          <w:szCs w:val="24"/>
          <w:lang w:val="x-none"/>
        </w:rPr>
        <w:t xml:space="preserve"> de </w:t>
      </w:r>
      <w:proofErr w:type="spellStart"/>
      <w:r w:rsidRPr="00225F2E">
        <w:rPr>
          <w:i/>
          <w:szCs w:val="24"/>
          <w:lang w:val="x-none"/>
        </w:rPr>
        <w:t>manière</w:t>
      </w:r>
      <w:proofErr w:type="spellEnd"/>
      <w:r w:rsidRPr="00225F2E">
        <w:rPr>
          <w:i/>
          <w:szCs w:val="24"/>
          <w:lang w:val="x-none"/>
        </w:rPr>
        <w:t xml:space="preserve"> </w:t>
      </w:r>
      <w:proofErr w:type="spellStart"/>
      <w:r w:rsidRPr="00225F2E">
        <w:rPr>
          <w:i/>
          <w:szCs w:val="24"/>
          <w:lang w:val="x-none"/>
        </w:rPr>
        <w:t>appréciable</w:t>
      </w:r>
      <w:proofErr w:type="spellEnd"/>
      <w:r w:rsidRPr="00225F2E">
        <w:rPr>
          <w:szCs w:val="24"/>
          <w:lang w:val="x-none"/>
        </w:rPr>
        <w:t>.</w:t>
      </w:r>
      <w:r w:rsidRPr="00225F2E">
        <w:rPr>
          <w:szCs w:val="24"/>
          <w:lang w:val="fr-FR"/>
        </w:rPr>
        <w:t> »</w:t>
      </w:r>
      <w:r>
        <w:rPr>
          <w:szCs w:val="24"/>
          <w:lang w:val="fr-FR"/>
        </w:rPr>
        <w:t>.</w:t>
      </w:r>
      <w:bookmarkStart w:id="0" w:name="_GoBack"/>
    </w:p>
    <w:bookmarkEnd w:id="0"/>
    <w:p w:rsidR="00A24ED1" w:rsidRPr="002870ED" w:rsidRDefault="009F0F1C" w:rsidP="00D90D1D">
      <w:pPr>
        <w:pStyle w:val="SingleTxt"/>
        <w:numPr>
          <w:ilvl w:val="0"/>
          <w:numId w:val="10"/>
        </w:numPr>
        <w:tabs>
          <w:tab w:val="clear" w:pos="475"/>
          <w:tab w:val="num" w:pos="1742"/>
        </w:tabs>
        <w:ind w:left="1267"/>
      </w:pPr>
      <w:r>
        <w:rPr>
          <w:szCs w:val="24"/>
        </w:rPr>
        <w:t xml:space="preserve">Le texte du paragraphe </w:t>
      </w:r>
      <w:r>
        <w:rPr>
          <w:szCs w:val="24"/>
          <w:lang w:val="x-none"/>
        </w:rPr>
        <w:t xml:space="preserve">4.3.2.1.5 </w:t>
      </w:r>
      <w:r>
        <w:rPr>
          <w:szCs w:val="24"/>
        </w:rPr>
        <w:t>peut rester inchangé.</w:t>
      </w:r>
    </w:p>
    <w:p w:rsidR="002870ED" w:rsidRPr="002870ED" w:rsidRDefault="002870ED" w:rsidP="002870E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2870ED" w:rsidRPr="002870ED" w:rsidSect="00F62A05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8D" w:rsidRDefault="00320B8D" w:rsidP="00F3330B">
      <w:pPr>
        <w:spacing w:line="240" w:lineRule="auto"/>
      </w:pPr>
      <w:r>
        <w:separator/>
      </w:r>
    </w:p>
  </w:endnote>
  <w:endnote w:type="continuationSeparator" w:id="0">
    <w:p w:rsidR="00320B8D" w:rsidRDefault="00320B8D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62A05" w:rsidTr="00F62A05">
      <w:trPr>
        <w:jc w:val="center"/>
      </w:trPr>
      <w:tc>
        <w:tcPr>
          <w:tcW w:w="5126" w:type="dxa"/>
          <w:shd w:val="clear" w:color="auto" w:fill="auto"/>
        </w:tcPr>
        <w:p w:rsidR="00F62A05" w:rsidRPr="00F62A05" w:rsidRDefault="00F62A05" w:rsidP="00F62A05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37715">
            <w:rPr>
              <w:b w:val="0"/>
              <w:w w:val="103"/>
              <w:sz w:val="14"/>
            </w:rPr>
            <w:t>GE.15-11123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62A05" w:rsidRPr="00F62A05" w:rsidRDefault="00F62A05" w:rsidP="00F62A0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3771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37715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F62A05" w:rsidRPr="00F62A05" w:rsidRDefault="00F62A05" w:rsidP="00F62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62A05" w:rsidTr="00F62A05">
      <w:trPr>
        <w:jc w:val="center"/>
      </w:trPr>
      <w:tc>
        <w:tcPr>
          <w:tcW w:w="5126" w:type="dxa"/>
          <w:shd w:val="clear" w:color="auto" w:fill="auto"/>
        </w:tcPr>
        <w:p w:rsidR="00F62A05" w:rsidRPr="00F62A05" w:rsidRDefault="00F62A05" w:rsidP="00F62A0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37715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37715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62A05" w:rsidRPr="00F62A05" w:rsidRDefault="00F62A05" w:rsidP="00F62A05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37715">
            <w:rPr>
              <w:b w:val="0"/>
              <w:w w:val="103"/>
              <w:sz w:val="14"/>
            </w:rPr>
            <w:t>GE.15-11123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62A05" w:rsidRPr="00F62A05" w:rsidRDefault="00F62A05" w:rsidP="00F62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05" w:rsidRDefault="00F62A0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06DB7CA" wp14:editId="0C306F84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1/2015/5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1/2015/5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F62A05" w:rsidTr="00F62A05">
      <w:tc>
        <w:tcPr>
          <w:tcW w:w="3859" w:type="dxa"/>
        </w:tcPr>
        <w:p w:rsidR="00F62A05" w:rsidRDefault="00F62A05" w:rsidP="00F62A0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37715">
            <w:rPr>
              <w:b w:val="0"/>
              <w:sz w:val="20"/>
            </w:rPr>
            <w:t>GE.15-11123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</w:t>
          </w:r>
          <w:r w:rsidR="00E56215">
            <w:rPr>
              <w:b w:val="0"/>
              <w:sz w:val="20"/>
            </w:rPr>
            <w:t>3</w:t>
          </w:r>
          <w:r>
            <w:rPr>
              <w:b w:val="0"/>
              <w:sz w:val="20"/>
            </w:rPr>
            <w:t>0815    140815</w:t>
          </w:r>
        </w:p>
        <w:p w:rsidR="00F62A05" w:rsidRPr="00F62A05" w:rsidRDefault="00F62A05" w:rsidP="00F62A05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37715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*1511123*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F62A05" w:rsidRDefault="00F62A05" w:rsidP="00F62A0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932D819" wp14:editId="6E98FE73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2A05" w:rsidRPr="00F62A05" w:rsidRDefault="00F62A05" w:rsidP="00F62A05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8D" w:rsidRPr="00A24ED1" w:rsidRDefault="00A24ED1" w:rsidP="00A24ED1">
      <w:pPr>
        <w:pStyle w:val="Footer"/>
        <w:spacing w:after="80"/>
        <w:ind w:left="792"/>
        <w:rPr>
          <w:sz w:val="16"/>
        </w:rPr>
      </w:pPr>
      <w:r w:rsidRPr="00A24ED1">
        <w:rPr>
          <w:sz w:val="16"/>
        </w:rPr>
        <w:t>__________________</w:t>
      </w:r>
    </w:p>
  </w:footnote>
  <w:footnote w:type="continuationSeparator" w:id="0">
    <w:p w:rsidR="00320B8D" w:rsidRPr="00A24ED1" w:rsidRDefault="00A24ED1" w:rsidP="00A24ED1">
      <w:pPr>
        <w:pStyle w:val="Footer"/>
        <w:spacing w:after="80"/>
        <w:ind w:left="792"/>
        <w:rPr>
          <w:sz w:val="16"/>
        </w:rPr>
      </w:pPr>
      <w:r w:rsidRPr="00A24ED1">
        <w:rPr>
          <w:sz w:val="16"/>
        </w:rPr>
        <w:t>__________________</w:t>
      </w:r>
    </w:p>
  </w:footnote>
  <w:footnote w:id="1">
    <w:p w:rsidR="00A24ED1" w:rsidRPr="00EF5916" w:rsidRDefault="00A24ED1" w:rsidP="00A24ED1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 w:rsidRPr="00EF5916">
        <w:tab/>
      </w:r>
      <w:r w:rsidRPr="00EF5916">
        <w:rPr>
          <w:rStyle w:val="FootnoteReference"/>
          <w:color w:val="auto"/>
        </w:rPr>
        <w:footnoteRef/>
      </w:r>
      <w:r w:rsidRPr="00EF5916">
        <w:rPr>
          <w:lang w:val="fr-FR"/>
        </w:rPr>
        <w:tab/>
        <w:t>Conformément au programme de travail du Comité des transports intérieurs pour 2014-2015 (ECE/TRANS/240, par. 100, ECE/TRANS/2014/23, module 9, par. 9.2).</w:t>
      </w:r>
    </w:p>
  </w:footnote>
  <w:footnote w:id="2">
    <w:p w:rsidR="00A24ED1" w:rsidRPr="00EF5916" w:rsidRDefault="00A24ED1" w:rsidP="00A24ED1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 w:rsidRPr="00EF5916">
        <w:rPr>
          <w:lang w:val="fr-FR"/>
        </w:rPr>
        <w:tab/>
      </w:r>
      <w:r w:rsidRPr="00EF5916">
        <w:rPr>
          <w:rStyle w:val="FootnoteReference"/>
          <w:color w:val="auto"/>
        </w:rPr>
        <w:footnoteRef/>
      </w:r>
      <w:r w:rsidRPr="00EF5916">
        <w:rPr>
          <w:lang w:val="fr-FR"/>
        </w:rPr>
        <w:tab/>
        <w:t>Diffusée par l</w:t>
      </w:r>
      <w:r w:rsidR="005132F9">
        <w:rPr>
          <w:lang w:val="fr-FR"/>
        </w:rPr>
        <w:t>’</w:t>
      </w:r>
      <w:r w:rsidRPr="00EF5916">
        <w:rPr>
          <w:lang w:val="fr-FR"/>
        </w:rPr>
        <w:t>Organisation intergouvernementale pour les transports internationaux ferroviaires (OTIF) sous la cote OTIF/RID/RC/2015/51.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62A05" w:rsidTr="00F62A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62A05" w:rsidRPr="00F62A05" w:rsidRDefault="00F62A05" w:rsidP="00F62A05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37715">
            <w:rPr>
              <w:b/>
              <w:color w:val="000000"/>
            </w:rPr>
            <w:t>ECE/TRANS/WP.15/AC.1/2015/51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62A05" w:rsidRDefault="00F62A05" w:rsidP="00F62A05">
          <w:pPr>
            <w:pStyle w:val="Header"/>
          </w:pPr>
        </w:p>
      </w:tc>
    </w:tr>
  </w:tbl>
  <w:p w:rsidR="00F62A05" w:rsidRPr="00F62A05" w:rsidRDefault="00F62A05" w:rsidP="00F62A0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62A05" w:rsidTr="00F62A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62A05" w:rsidRDefault="00F62A05" w:rsidP="00F62A0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62A05" w:rsidRPr="00F62A05" w:rsidRDefault="00F62A05" w:rsidP="00F62A05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37715">
            <w:rPr>
              <w:b/>
              <w:color w:val="000000"/>
            </w:rPr>
            <w:t>ECE/TRANS/WP.15/AC.1/2015/51</w:t>
          </w:r>
          <w:r>
            <w:rPr>
              <w:b/>
              <w:color w:val="000000"/>
            </w:rPr>
            <w:fldChar w:fldCharType="end"/>
          </w:r>
        </w:p>
      </w:tc>
    </w:tr>
  </w:tbl>
  <w:p w:rsidR="00F62A05" w:rsidRPr="00F62A05" w:rsidRDefault="00F62A05" w:rsidP="00F62A0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F62A05" w:rsidTr="00F62A05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2A05" w:rsidRDefault="00F62A05" w:rsidP="00F62A05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2A05" w:rsidRPr="00F62A05" w:rsidRDefault="00F62A05" w:rsidP="00F62A05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2A05" w:rsidRDefault="00F62A05" w:rsidP="00F62A05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F62A05" w:rsidRPr="00F62A05" w:rsidRDefault="00F62A05" w:rsidP="00F62A0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/TRANS/WP.15/AC.1/2015/51</w:t>
          </w:r>
        </w:p>
      </w:tc>
    </w:tr>
    <w:tr w:rsidR="00F62A05" w:rsidRPr="00F62A05" w:rsidTr="00F62A05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2A05" w:rsidRPr="00F62A05" w:rsidRDefault="00F62A05" w:rsidP="00F62A05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E56ADEF" wp14:editId="2E5B5236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2A05" w:rsidRPr="00F62A05" w:rsidRDefault="00F62A05" w:rsidP="00F62A05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2A05" w:rsidRPr="00F62A05" w:rsidRDefault="00F62A05" w:rsidP="00F62A0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62A05" w:rsidRPr="006A049E" w:rsidRDefault="00F62A05" w:rsidP="00F62A05">
          <w:pPr>
            <w:pStyle w:val="Distribution"/>
            <w:rPr>
              <w:color w:val="000000"/>
              <w:lang w:val="fr-CH"/>
            </w:rPr>
          </w:pPr>
          <w:proofErr w:type="spellStart"/>
          <w:r w:rsidRPr="006A049E">
            <w:rPr>
              <w:color w:val="000000"/>
              <w:lang w:val="fr-CH"/>
            </w:rPr>
            <w:t>Distr</w:t>
          </w:r>
          <w:proofErr w:type="spellEnd"/>
          <w:r w:rsidRPr="006A049E">
            <w:rPr>
              <w:color w:val="000000"/>
              <w:lang w:val="fr-CH"/>
            </w:rPr>
            <w:t>. générale</w:t>
          </w:r>
        </w:p>
        <w:p w:rsidR="00F62A05" w:rsidRPr="006A049E" w:rsidRDefault="00F22A1B" w:rsidP="00F62A05">
          <w:pPr>
            <w:pStyle w:val="Publication"/>
            <w:rPr>
              <w:color w:val="000000"/>
              <w:lang w:val="fr-CH"/>
            </w:rPr>
          </w:pPr>
          <w:r w:rsidRPr="006A049E">
            <w:rPr>
              <w:color w:val="000000"/>
              <w:lang w:val="fr-CH"/>
            </w:rPr>
            <w:t xml:space="preserve">2 juillet </w:t>
          </w:r>
          <w:r w:rsidR="00F62A05" w:rsidRPr="006A049E">
            <w:rPr>
              <w:color w:val="000000"/>
              <w:lang w:val="fr-CH"/>
            </w:rPr>
            <w:t>2015</w:t>
          </w:r>
        </w:p>
        <w:p w:rsidR="00F62A05" w:rsidRPr="006A049E" w:rsidRDefault="00F62A05" w:rsidP="00F62A05">
          <w:pPr>
            <w:rPr>
              <w:lang w:val="fr-CH"/>
            </w:rPr>
          </w:pPr>
          <w:r w:rsidRPr="006A049E">
            <w:rPr>
              <w:lang w:val="fr-CH"/>
            </w:rPr>
            <w:t>Français</w:t>
          </w:r>
        </w:p>
        <w:p w:rsidR="00F62A05" w:rsidRPr="006A049E" w:rsidRDefault="00F62A05" w:rsidP="00F62A05">
          <w:pPr>
            <w:pStyle w:val="Original"/>
            <w:rPr>
              <w:color w:val="000000"/>
              <w:lang w:val="fr-CH"/>
            </w:rPr>
          </w:pPr>
          <w:r w:rsidRPr="006A049E">
            <w:rPr>
              <w:color w:val="000000"/>
              <w:lang w:val="fr-CH"/>
            </w:rPr>
            <w:t>Original : anglais</w:t>
          </w:r>
        </w:p>
      </w:tc>
    </w:tr>
  </w:tbl>
  <w:p w:rsidR="00F62A05" w:rsidRPr="006A049E" w:rsidRDefault="00F62A05" w:rsidP="00F62A05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4F1D"/>
    <w:multiLevelType w:val="singleLevel"/>
    <w:tmpl w:val="9E022E7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  <w:sz w:val="20"/>
        <w:szCs w:val="20"/>
      </w:rPr>
    </w:lvl>
  </w:abstractNum>
  <w:abstractNum w:abstractNumId="5">
    <w:nsid w:val="304E6221"/>
    <w:multiLevelType w:val="singleLevel"/>
    <w:tmpl w:val="E73ECD82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6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7463B"/>
    <w:multiLevelType w:val="hybridMultilevel"/>
    <w:tmpl w:val="898A11CE"/>
    <w:lvl w:ilvl="0" w:tplc="925EC3A8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 w:numId="9">
    <w:abstractNumId w:val="4"/>
  </w:num>
  <w:num w:numId="10">
    <w:abstractNumId w:val="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123*"/>
    <w:docVar w:name="CreationDt" w:val="8/14/2015 8:40: AM"/>
    <w:docVar w:name="DocCategory" w:val="Doc"/>
    <w:docVar w:name="DocType" w:val="Final"/>
    <w:docVar w:name="DutyStation" w:val="Geneva"/>
    <w:docVar w:name="FooterJN" w:val="GE.15-11123"/>
    <w:docVar w:name="jobn" w:val="GE.15-11123 (F)"/>
    <w:docVar w:name="jobnDT" w:val="GE.15-11123 (F)   140815"/>
    <w:docVar w:name="jobnDTDT" w:val="GE.15-11123 (F)   140815   140815"/>
    <w:docVar w:name="JobNo" w:val="GE.1511123F"/>
    <w:docVar w:name="JobNo2" w:val="GE.1514403F"/>
    <w:docVar w:name="LocalDrive" w:val="0"/>
    <w:docVar w:name="OandT" w:val="C. ROBERT"/>
    <w:docVar w:name="PaperSize" w:val="A4"/>
    <w:docVar w:name="sss1" w:val="ECE/TRANS/WP.15/AC.1/2015/51"/>
    <w:docVar w:name="sss2" w:val="-"/>
    <w:docVar w:name="Symbol1" w:val="ECE/TRANS/WP.15/AC.1/2015/51"/>
    <w:docVar w:name="Symbol2" w:val="-"/>
  </w:docVars>
  <w:rsids>
    <w:rsidRoot w:val="00320B8D"/>
    <w:rsid w:val="000015B8"/>
    <w:rsid w:val="000046A5"/>
    <w:rsid w:val="000055FB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36D6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827"/>
    <w:rsid w:val="001B5A24"/>
    <w:rsid w:val="001C0599"/>
    <w:rsid w:val="001C3C57"/>
    <w:rsid w:val="001C4664"/>
    <w:rsid w:val="001C4EBE"/>
    <w:rsid w:val="001C5B90"/>
    <w:rsid w:val="001C5F70"/>
    <w:rsid w:val="001D0E60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4846"/>
    <w:rsid w:val="00205199"/>
    <w:rsid w:val="0020521E"/>
    <w:rsid w:val="00206598"/>
    <w:rsid w:val="00207CAA"/>
    <w:rsid w:val="0021168F"/>
    <w:rsid w:val="002178A7"/>
    <w:rsid w:val="002220FF"/>
    <w:rsid w:val="00225F2E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870ED"/>
    <w:rsid w:val="0029018C"/>
    <w:rsid w:val="002A07EF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0B8D"/>
    <w:rsid w:val="003235C7"/>
    <w:rsid w:val="00326270"/>
    <w:rsid w:val="0032728E"/>
    <w:rsid w:val="00332A87"/>
    <w:rsid w:val="003342DF"/>
    <w:rsid w:val="00334FEB"/>
    <w:rsid w:val="00337015"/>
    <w:rsid w:val="003377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D7EF0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32F9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33B2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9E"/>
    <w:rsid w:val="006A04E6"/>
    <w:rsid w:val="006A0B3D"/>
    <w:rsid w:val="006A2F71"/>
    <w:rsid w:val="006A5910"/>
    <w:rsid w:val="006B1ABC"/>
    <w:rsid w:val="006B2C80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31F7"/>
    <w:rsid w:val="00735F3A"/>
    <w:rsid w:val="00735FB1"/>
    <w:rsid w:val="007367E1"/>
    <w:rsid w:val="007379A0"/>
    <w:rsid w:val="0074132A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19E"/>
    <w:rsid w:val="00795AD7"/>
    <w:rsid w:val="007961E2"/>
    <w:rsid w:val="007A345A"/>
    <w:rsid w:val="007A5EC7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43F"/>
    <w:rsid w:val="007D6FCB"/>
    <w:rsid w:val="007D7FD4"/>
    <w:rsid w:val="007E2FEB"/>
    <w:rsid w:val="007E74E9"/>
    <w:rsid w:val="007F0ED6"/>
    <w:rsid w:val="007F3A4A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D24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6630"/>
    <w:rsid w:val="008F752D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0F1C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4ED1"/>
    <w:rsid w:val="00A264B0"/>
    <w:rsid w:val="00A2768E"/>
    <w:rsid w:val="00A33E3C"/>
    <w:rsid w:val="00A3426E"/>
    <w:rsid w:val="00A353ED"/>
    <w:rsid w:val="00A375D9"/>
    <w:rsid w:val="00A37FBB"/>
    <w:rsid w:val="00A4236C"/>
    <w:rsid w:val="00A43CAC"/>
    <w:rsid w:val="00A44AAB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0C06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544B"/>
    <w:rsid w:val="00B06C4C"/>
    <w:rsid w:val="00B10BF5"/>
    <w:rsid w:val="00B145B5"/>
    <w:rsid w:val="00B152AC"/>
    <w:rsid w:val="00B16C8B"/>
    <w:rsid w:val="00B20969"/>
    <w:rsid w:val="00B22BE8"/>
    <w:rsid w:val="00B2356B"/>
    <w:rsid w:val="00B24614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C6AE8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1F10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78E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0D1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4D5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215"/>
    <w:rsid w:val="00E56911"/>
    <w:rsid w:val="00E56D2F"/>
    <w:rsid w:val="00E60ACC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086"/>
    <w:rsid w:val="00EB4EB6"/>
    <w:rsid w:val="00EB535D"/>
    <w:rsid w:val="00EB5CA3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EF5916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2A1B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47154"/>
    <w:rsid w:val="00F51EF7"/>
    <w:rsid w:val="00F52A72"/>
    <w:rsid w:val="00F54C59"/>
    <w:rsid w:val="00F609CB"/>
    <w:rsid w:val="00F62A05"/>
    <w:rsid w:val="00F62E08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F6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A05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A05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F6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A05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A05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9EBC-A79D-4349-A6DF-43CFBB63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Robert Corinne</dc:creator>
  <cp:lastModifiedBy>barrio-champeau</cp:lastModifiedBy>
  <cp:revision>5</cp:revision>
  <cp:lastPrinted>2015-08-14T08:48:00Z</cp:lastPrinted>
  <dcterms:created xsi:type="dcterms:W3CDTF">2015-08-14T08:46:00Z</dcterms:created>
  <dcterms:modified xsi:type="dcterms:W3CDTF">2015-08-14T08:48:00Z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1511123F</vt:lpwstr>
  </property>
  <property fmtid="{D5CDD505-2E9C-101B-9397-08002B2CF9AE}" pid="3" name="ODSRefJobNo">
    <vt:lpwstr>1514403F</vt:lpwstr>
  </property>
  <property fmtid="{D5CDD505-2E9C-101B-9397-08002B2CF9AE}" pid="4" name="Symbol1">
    <vt:lpwstr>ECE/TRANS/WP.15/AC.1/2015/51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C. ROBERT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14 août 2015</vt:lpwstr>
  </property>
  <property fmtid="{D5CDD505-2E9C-101B-9397-08002B2CF9AE}" pid="12" name="Original">
    <vt:lpwstr>anglais</vt:lpwstr>
  </property>
  <property fmtid="{D5CDD505-2E9C-101B-9397-08002B2CF9AE}" pid="13" name="Release Date">
    <vt:lpwstr>140815</vt:lpwstr>
  </property>
</Properties>
</file>