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1E" w:rsidRDefault="00582B1E" w:rsidP="00582B1E">
      <w:pPr>
        <w:spacing w:line="240" w:lineRule="auto"/>
        <w:rPr>
          <w:sz w:val="2"/>
        </w:rPr>
        <w:sectPr w:rsidR="00582B1E" w:rsidSect="00582B1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</w:p>
    <w:p w:rsidR="00582B1E" w:rsidRDefault="00582B1E" w:rsidP="00582B1E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582B1E" w:rsidRDefault="00582B1E" w:rsidP="00582B1E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0B05A3" w:rsidRDefault="000B05A3" w:rsidP="00A819A6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0B05A3">
        <w:rPr>
          <w:lang w:val="fr-CH"/>
        </w:rPr>
        <w:t>Groupe de travail des transports</w:t>
      </w:r>
      <w:r w:rsidR="00A819A6">
        <w:rPr>
          <w:lang w:val="fr-CH"/>
        </w:rPr>
        <w:t xml:space="preserve"> </w:t>
      </w:r>
      <w:r w:rsidR="00A819A6">
        <w:rPr>
          <w:lang w:val="fr-CH"/>
        </w:rPr>
        <w:br/>
      </w:r>
      <w:r w:rsidRPr="000B05A3">
        <w:rPr>
          <w:lang w:val="fr-CH"/>
        </w:rPr>
        <w:t>de marchandises dangereuses</w:t>
      </w:r>
    </w:p>
    <w:p w:rsidR="00A819A6" w:rsidRPr="00A819A6" w:rsidRDefault="00A819A6" w:rsidP="00A819A6">
      <w:pPr>
        <w:spacing w:line="120" w:lineRule="exact"/>
        <w:rPr>
          <w:sz w:val="10"/>
          <w:lang w:val="fr-CH"/>
        </w:rPr>
      </w:pPr>
    </w:p>
    <w:p w:rsidR="000B05A3" w:rsidRDefault="000B05A3" w:rsidP="00A819A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0B05A3">
        <w:rPr>
          <w:lang w:val="fr-CH"/>
        </w:rPr>
        <w:t>Réunion commune de la Commission d’experts</w:t>
      </w:r>
      <w:r w:rsidR="00A819A6">
        <w:rPr>
          <w:lang w:val="fr-CH"/>
        </w:rPr>
        <w:t xml:space="preserve"> </w:t>
      </w:r>
      <w:r w:rsidRPr="000B05A3">
        <w:rPr>
          <w:lang w:val="fr-CH"/>
        </w:rPr>
        <w:br/>
        <w:t>du RID et du Groupe de travail des transports</w:t>
      </w:r>
      <w:r w:rsidR="00A819A6">
        <w:rPr>
          <w:lang w:val="fr-CH"/>
        </w:rPr>
        <w:t xml:space="preserve"> </w:t>
      </w:r>
      <w:r w:rsidRPr="000B05A3">
        <w:rPr>
          <w:lang w:val="fr-CH"/>
        </w:rPr>
        <w:br/>
        <w:t>de marchandises dangereuses</w:t>
      </w:r>
    </w:p>
    <w:p w:rsidR="00A819A6" w:rsidRPr="00A819A6" w:rsidRDefault="00A819A6" w:rsidP="00A819A6">
      <w:pPr>
        <w:spacing w:line="120" w:lineRule="exact"/>
        <w:rPr>
          <w:sz w:val="10"/>
          <w:lang w:val="fr-CH"/>
        </w:rPr>
      </w:pPr>
    </w:p>
    <w:p w:rsidR="000B05A3" w:rsidRPr="000B05A3" w:rsidRDefault="000B05A3" w:rsidP="00A819A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0B05A3">
        <w:rPr>
          <w:lang w:val="fr-CH"/>
        </w:rPr>
        <w:t>Genève, 15</w:t>
      </w:r>
      <w:r w:rsidR="00A819A6">
        <w:rPr>
          <w:lang w:val="fr-CH"/>
        </w:rPr>
        <w:t>-</w:t>
      </w:r>
      <w:r w:rsidRPr="000B05A3">
        <w:rPr>
          <w:lang w:val="fr-CH"/>
        </w:rPr>
        <w:t>25</w:t>
      </w:r>
      <w:r w:rsidR="00A819A6">
        <w:rPr>
          <w:lang w:val="fr-CH"/>
        </w:rPr>
        <w:t> </w:t>
      </w:r>
      <w:r w:rsidRPr="000B05A3">
        <w:rPr>
          <w:lang w:val="fr-CH"/>
        </w:rPr>
        <w:t>sep</w:t>
      </w:r>
      <w:bookmarkStart w:id="0" w:name="insstart"/>
      <w:bookmarkEnd w:id="0"/>
      <w:r w:rsidRPr="000B05A3">
        <w:rPr>
          <w:lang w:val="fr-CH"/>
        </w:rPr>
        <w:t>tembre 2015</w:t>
      </w:r>
    </w:p>
    <w:p w:rsidR="000B05A3" w:rsidRPr="000B05A3" w:rsidRDefault="000B05A3" w:rsidP="00A819A6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right="1260"/>
        <w:rPr>
          <w:lang w:val="fr-CH"/>
        </w:rPr>
      </w:pPr>
      <w:r w:rsidRPr="000B05A3">
        <w:rPr>
          <w:lang w:val="fr-CH"/>
        </w:rPr>
        <w:t>Point 3 b) de l’ordre du jour provisoire</w:t>
      </w:r>
    </w:p>
    <w:p w:rsidR="000B05A3" w:rsidRDefault="000B05A3" w:rsidP="00A819A6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lang w:val="fr-CH"/>
        </w:rPr>
      </w:pPr>
      <w:r w:rsidRPr="000B05A3">
        <w:rPr>
          <w:lang w:val="fr-CH"/>
        </w:rPr>
        <w:t>Propositions diverses d’amendements au RID/ADR/ADN</w:t>
      </w:r>
      <w:r w:rsidR="00BB34AD">
        <w:rPr>
          <w:lang w:val="fr-CH"/>
        </w:rPr>
        <w:t> :</w:t>
      </w:r>
      <w:r w:rsidR="00A819A6">
        <w:rPr>
          <w:lang w:val="fr-CH"/>
        </w:rPr>
        <w:t xml:space="preserve"> </w:t>
      </w:r>
      <w:r w:rsidR="00A819A6">
        <w:rPr>
          <w:lang w:val="fr-CH"/>
        </w:rPr>
        <w:br/>
      </w:r>
      <w:r w:rsidRPr="000B05A3">
        <w:rPr>
          <w:lang w:val="fr-CH"/>
        </w:rPr>
        <w:t>Nouvelles propositions</w:t>
      </w:r>
    </w:p>
    <w:p w:rsidR="00A819A6" w:rsidRPr="00A819A6" w:rsidRDefault="00A819A6" w:rsidP="00A819A6">
      <w:pPr>
        <w:spacing w:line="120" w:lineRule="exact"/>
        <w:rPr>
          <w:sz w:val="10"/>
          <w:lang w:val="fr-CH"/>
        </w:rPr>
      </w:pPr>
    </w:p>
    <w:p w:rsidR="00A819A6" w:rsidRPr="00A819A6" w:rsidRDefault="00A819A6" w:rsidP="00A819A6">
      <w:pPr>
        <w:spacing w:line="120" w:lineRule="exact"/>
        <w:rPr>
          <w:sz w:val="10"/>
          <w:lang w:val="fr-CH"/>
        </w:rPr>
      </w:pPr>
    </w:p>
    <w:p w:rsidR="00A819A6" w:rsidRPr="00A819A6" w:rsidRDefault="00A819A6" w:rsidP="00A819A6">
      <w:pPr>
        <w:spacing w:line="120" w:lineRule="exact"/>
        <w:rPr>
          <w:sz w:val="10"/>
          <w:lang w:val="fr-CH"/>
        </w:rPr>
      </w:pPr>
    </w:p>
    <w:p w:rsidR="000B05A3" w:rsidRDefault="00A819A6" w:rsidP="00A819A6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F07F03">
        <w:rPr>
          <w:lang w:val="fr-CH"/>
        </w:rPr>
        <w:t xml:space="preserve">Amendement </w:t>
      </w:r>
      <w:r w:rsidR="000B05A3" w:rsidRPr="000B05A3">
        <w:rPr>
          <w:lang w:val="fr-CH"/>
        </w:rPr>
        <w:t xml:space="preserve">des dispositions relatives </w:t>
      </w:r>
      <w:r w:rsidR="00F07F03">
        <w:rPr>
          <w:lang w:val="fr-CH"/>
        </w:rPr>
        <w:br/>
      </w:r>
      <w:r w:rsidR="000B05A3" w:rsidRPr="000B05A3">
        <w:rPr>
          <w:lang w:val="fr-CH"/>
        </w:rPr>
        <w:t xml:space="preserve">aux cartouches à gaz </w:t>
      </w:r>
      <w:r w:rsidR="00F07F03">
        <w:rPr>
          <w:lang w:val="fr-CH"/>
        </w:rPr>
        <w:t>au</w:t>
      </w:r>
      <w:r w:rsidR="000B05A3" w:rsidRPr="000B05A3">
        <w:rPr>
          <w:lang w:val="fr-CH"/>
        </w:rPr>
        <w:t xml:space="preserve"> 6.2.6.4</w:t>
      </w:r>
    </w:p>
    <w:p w:rsidR="00A819A6" w:rsidRPr="00A819A6" w:rsidRDefault="00A819A6" w:rsidP="00A819A6">
      <w:pPr>
        <w:spacing w:line="120" w:lineRule="exact"/>
        <w:rPr>
          <w:sz w:val="10"/>
          <w:lang w:val="fr-CH"/>
        </w:rPr>
      </w:pPr>
    </w:p>
    <w:p w:rsidR="00A819A6" w:rsidRPr="00A819A6" w:rsidRDefault="00A819A6" w:rsidP="00A819A6">
      <w:pPr>
        <w:spacing w:line="120" w:lineRule="exact"/>
        <w:rPr>
          <w:sz w:val="10"/>
          <w:lang w:val="fr-CH"/>
        </w:rPr>
      </w:pPr>
    </w:p>
    <w:p w:rsidR="00582B1E" w:rsidRDefault="00A819A6" w:rsidP="00A819A6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0B05A3" w:rsidRPr="000B05A3">
        <w:rPr>
          <w:lang w:val="fr-CH"/>
        </w:rPr>
        <w:t>Communication de l’</w:t>
      </w:r>
      <w:r w:rsidR="000B05A3" w:rsidRPr="000B05A3">
        <w:rPr>
          <w:lang w:val="en-US"/>
        </w:rPr>
        <w:t xml:space="preserve">European Cylinder Makers </w:t>
      </w:r>
      <w:r>
        <w:rPr>
          <w:lang w:val="en-US"/>
        </w:rPr>
        <w:br/>
        <w:t>Association (ECMA</w:t>
      </w:r>
      <w:bookmarkStart w:id="1" w:name="_GoBack"/>
      <w:bookmarkEnd w:id="1"/>
      <w:r>
        <w:rPr>
          <w:lang w:val="en-US"/>
        </w:rPr>
        <w:t>)</w:t>
      </w:r>
      <w:r w:rsidRPr="00F40B13">
        <w:rPr>
          <w:rStyle w:val="Appelnotedebasdep"/>
          <w:b w:val="0"/>
          <w:color w:val="auto"/>
          <w:sz w:val="20"/>
          <w:szCs w:val="20"/>
          <w:lang w:val="en-US"/>
        </w:rPr>
        <w:footnoteReference w:id="1"/>
      </w:r>
      <w:r w:rsidRPr="00F40B13">
        <w:rPr>
          <w:b w:val="0"/>
          <w:sz w:val="20"/>
          <w:szCs w:val="20"/>
          <w:vertAlign w:val="superscript"/>
          <w:lang w:val="en-US"/>
        </w:rPr>
        <w:t>,</w:t>
      </w:r>
      <w:r w:rsidRPr="00F40B13">
        <w:rPr>
          <w:rStyle w:val="Appelnotedebasdep"/>
          <w:b w:val="0"/>
          <w:color w:val="auto"/>
          <w:sz w:val="20"/>
          <w:szCs w:val="20"/>
          <w:lang w:val="en-US"/>
        </w:rPr>
        <w:footnoteReference w:id="2"/>
      </w:r>
    </w:p>
    <w:p w:rsidR="000B05A3" w:rsidRPr="000B05A3" w:rsidRDefault="000B05A3" w:rsidP="000B05A3">
      <w:pPr>
        <w:pStyle w:val="SingleTxt"/>
        <w:spacing w:after="0" w:line="120" w:lineRule="exact"/>
        <w:rPr>
          <w:b/>
          <w:sz w:val="10"/>
          <w:u w:val="dash"/>
          <w:lang w:val="fr-CH"/>
        </w:rPr>
      </w:pPr>
    </w:p>
    <w:p w:rsidR="000B05A3" w:rsidRPr="000B05A3" w:rsidRDefault="000B05A3" w:rsidP="000B05A3">
      <w:pPr>
        <w:pStyle w:val="SingleTxt"/>
        <w:spacing w:after="0" w:line="120" w:lineRule="exact"/>
        <w:rPr>
          <w:sz w:val="10"/>
        </w:rPr>
      </w:pPr>
    </w:p>
    <w:p w:rsidR="000B05A3" w:rsidRPr="000B05A3" w:rsidRDefault="000B05A3" w:rsidP="000B05A3">
      <w:pPr>
        <w:pStyle w:val="SingleTxt"/>
        <w:spacing w:after="0" w:line="120" w:lineRule="exact"/>
        <w:rPr>
          <w:sz w:val="10"/>
        </w:rPr>
      </w:pPr>
    </w:p>
    <w:tbl>
      <w:tblPr>
        <w:tblW w:w="10051" w:type="dxa"/>
        <w:tblBorders>
          <w:left w:val="single" w:sz="2" w:space="0" w:color="auto"/>
          <w:right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051"/>
      </w:tblGrid>
      <w:tr w:rsidR="000B05A3" w:rsidTr="000B05A3">
        <w:tc>
          <w:tcPr>
            <w:tcW w:w="10051" w:type="dxa"/>
            <w:tcBorders>
              <w:top w:val="single" w:sz="2" w:space="0" w:color="auto"/>
            </w:tcBorders>
            <w:shd w:val="clear" w:color="auto" w:fill="auto"/>
          </w:tcPr>
          <w:p w:rsidR="000B05A3" w:rsidRPr="000B05A3" w:rsidRDefault="000B05A3" w:rsidP="005208CD">
            <w:pPr>
              <w:tabs>
                <w:tab w:val="left" w:pos="240"/>
              </w:tabs>
              <w:spacing w:before="240" w:after="120"/>
              <w:rPr>
                <w:i/>
                <w:sz w:val="24"/>
              </w:rPr>
            </w:pPr>
            <w:r>
              <w:rPr>
                <w:i/>
                <w:sz w:val="24"/>
              </w:rPr>
              <w:tab/>
              <w:t>Résumé</w:t>
            </w:r>
          </w:p>
        </w:tc>
      </w:tr>
      <w:tr w:rsidR="000B05A3" w:rsidTr="000B05A3">
        <w:tc>
          <w:tcPr>
            <w:tcW w:w="10051" w:type="dxa"/>
            <w:shd w:val="clear" w:color="auto" w:fill="auto"/>
          </w:tcPr>
          <w:p w:rsidR="000B05A3" w:rsidRPr="000B05A3" w:rsidRDefault="000B05A3" w:rsidP="00F07F03">
            <w:pPr>
              <w:pStyle w:val="SingleTxt"/>
              <w:tabs>
                <w:tab w:val="left" w:pos="245"/>
              </w:tabs>
              <w:ind w:left="2693" w:hanging="2420"/>
            </w:pPr>
            <w:r w:rsidRPr="008240F1">
              <w:rPr>
                <w:b/>
                <w:lang w:val="fr-CH"/>
              </w:rPr>
              <w:t>Résumé analytique</w:t>
            </w:r>
            <w:r w:rsidR="00412FFE" w:rsidRPr="008240F1">
              <w:rPr>
                <w:lang w:val="fr-CH"/>
              </w:rPr>
              <w:t> </w:t>
            </w:r>
            <w:r w:rsidRPr="008240F1">
              <w:rPr>
                <w:lang w:val="fr-CH"/>
              </w:rPr>
              <w:t>:</w:t>
            </w:r>
            <w:r w:rsidR="008240F1">
              <w:rPr>
                <w:b/>
                <w:lang w:val="fr-CH"/>
              </w:rPr>
              <w:tab/>
            </w:r>
            <w:r w:rsidR="004F54A5">
              <w:rPr>
                <w:b/>
                <w:lang w:val="fr-CH"/>
              </w:rPr>
              <w:tab/>
            </w:r>
            <w:r w:rsidRPr="008240F1">
              <w:rPr>
                <w:lang w:val="fr-CH"/>
              </w:rPr>
              <w:t>La</w:t>
            </w:r>
            <w:r w:rsidRPr="000B05A3">
              <w:rPr>
                <w:lang w:val="fr-CH"/>
              </w:rPr>
              <w:t xml:space="preserve"> présente proposition vise à modifier les prescriptions de marquage </w:t>
            </w:r>
            <w:r w:rsidR="00F07F03">
              <w:rPr>
                <w:lang w:val="fr-CH"/>
              </w:rPr>
              <w:t>de</w:t>
            </w:r>
            <w:r w:rsidRPr="000B05A3">
              <w:rPr>
                <w:lang w:val="fr-CH"/>
              </w:rPr>
              <w:t xml:space="preserve"> la norme EN 16509 pour qu’elles soient conformes à celles du RID</w:t>
            </w:r>
            <w:r w:rsidR="00F07F03">
              <w:rPr>
                <w:lang w:val="fr-CH"/>
              </w:rPr>
              <w:t xml:space="preserve"> et de l’</w:t>
            </w:r>
            <w:r w:rsidRPr="000B05A3">
              <w:rPr>
                <w:lang w:val="fr-CH"/>
              </w:rPr>
              <w:t>ADR.</w:t>
            </w:r>
          </w:p>
        </w:tc>
      </w:tr>
      <w:tr w:rsidR="000B05A3" w:rsidTr="000B05A3">
        <w:tc>
          <w:tcPr>
            <w:tcW w:w="10051" w:type="dxa"/>
            <w:shd w:val="clear" w:color="auto" w:fill="auto"/>
          </w:tcPr>
          <w:p w:rsidR="000B05A3" w:rsidRPr="000B05A3" w:rsidRDefault="000B05A3" w:rsidP="00F07F03">
            <w:pPr>
              <w:pStyle w:val="SingleTxt"/>
              <w:tabs>
                <w:tab w:val="left" w:pos="245"/>
              </w:tabs>
              <w:ind w:left="2693" w:hanging="2420"/>
            </w:pPr>
            <w:r w:rsidRPr="008240F1">
              <w:rPr>
                <w:b/>
                <w:lang w:val="fr-CH"/>
              </w:rPr>
              <w:t>Mesures à prendre</w:t>
            </w:r>
            <w:r w:rsidR="00412FFE" w:rsidRPr="008240F1">
              <w:rPr>
                <w:lang w:val="fr-CH"/>
              </w:rPr>
              <w:t> </w:t>
            </w:r>
            <w:r w:rsidRPr="008240F1">
              <w:rPr>
                <w:lang w:val="fr-CH"/>
              </w:rPr>
              <w:t>:</w:t>
            </w:r>
            <w:r w:rsidRPr="008240F1">
              <w:rPr>
                <w:b/>
                <w:lang w:val="fr-CH"/>
              </w:rPr>
              <w:tab/>
            </w:r>
            <w:r w:rsidR="004F54A5">
              <w:rPr>
                <w:b/>
                <w:lang w:val="fr-CH"/>
              </w:rPr>
              <w:tab/>
            </w:r>
            <w:r w:rsidRPr="000B05A3">
              <w:rPr>
                <w:lang w:val="fr-CH"/>
              </w:rPr>
              <w:t>Modifier l</w:t>
            </w:r>
            <w:r w:rsidR="00F07F03">
              <w:rPr>
                <w:lang w:val="fr-CH"/>
              </w:rPr>
              <w:t>e texte du paragraphe 6.2.6.4 adopté</w:t>
            </w:r>
            <w:r w:rsidRPr="000B05A3">
              <w:rPr>
                <w:lang w:val="fr-CH"/>
              </w:rPr>
              <w:t xml:space="preserve"> par la Réunion commune lors de sa session de printemps 2015 pour </w:t>
            </w:r>
            <w:r w:rsidR="00F07F03">
              <w:rPr>
                <w:lang w:val="fr-CH"/>
              </w:rPr>
              <w:t xml:space="preserve">remédier aux </w:t>
            </w:r>
            <w:r w:rsidRPr="000B05A3">
              <w:rPr>
                <w:lang w:val="fr-CH"/>
              </w:rPr>
              <w:t>divergences entre les prescriptions énoncées dans la norme EN 16509 et celles du paragraphe 1.8.8.4.1 e).</w:t>
            </w:r>
          </w:p>
        </w:tc>
      </w:tr>
      <w:tr w:rsidR="000B05A3" w:rsidTr="000B05A3">
        <w:tc>
          <w:tcPr>
            <w:tcW w:w="10051" w:type="dxa"/>
            <w:tcBorders>
              <w:bottom w:val="nil"/>
            </w:tcBorders>
            <w:shd w:val="clear" w:color="auto" w:fill="auto"/>
          </w:tcPr>
          <w:p w:rsidR="000B05A3" w:rsidRPr="000B05A3" w:rsidRDefault="000B05A3" w:rsidP="00F07F03">
            <w:pPr>
              <w:pStyle w:val="SingleTxt"/>
              <w:tabs>
                <w:tab w:val="left" w:pos="245"/>
              </w:tabs>
              <w:ind w:left="2693" w:hanging="2420"/>
            </w:pPr>
            <w:r w:rsidRPr="008240F1">
              <w:rPr>
                <w:b/>
                <w:lang w:val="fr-CH"/>
              </w:rPr>
              <w:t>Documents connexes</w:t>
            </w:r>
            <w:r w:rsidR="00412FFE" w:rsidRPr="008240F1">
              <w:rPr>
                <w:lang w:val="fr-CH"/>
              </w:rPr>
              <w:t> </w:t>
            </w:r>
            <w:r w:rsidRPr="008240F1">
              <w:rPr>
                <w:lang w:val="fr-CH"/>
              </w:rPr>
              <w:t>:</w:t>
            </w:r>
            <w:r w:rsidR="004F54A5">
              <w:rPr>
                <w:lang w:val="fr-CH"/>
              </w:rPr>
              <w:tab/>
              <w:t>E</w:t>
            </w:r>
            <w:r w:rsidRPr="000B05A3">
              <w:rPr>
                <w:lang w:val="fr-CH"/>
              </w:rPr>
              <w:t>CE/TRANS/WP.15/AC.1/138, par.</w:t>
            </w:r>
            <w:r w:rsidR="008240F1">
              <w:rPr>
                <w:lang w:val="fr-CH"/>
              </w:rPr>
              <w:t> </w:t>
            </w:r>
            <w:r w:rsidRPr="000B05A3">
              <w:rPr>
                <w:lang w:val="fr-CH"/>
              </w:rPr>
              <w:t>20 et annexe II</w:t>
            </w:r>
            <w:r w:rsidR="00F07F03">
              <w:rPr>
                <w:lang w:val="fr-CH"/>
              </w:rPr>
              <w:t>;</w:t>
            </w:r>
            <w:r w:rsidRPr="000B05A3">
              <w:rPr>
                <w:lang w:val="fr-CH"/>
              </w:rPr>
              <w:t xml:space="preserve"> </w:t>
            </w:r>
            <w:r w:rsidR="00F07F03">
              <w:rPr>
                <w:lang w:val="fr-CH"/>
              </w:rPr>
              <w:t>d</w:t>
            </w:r>
            <w:r w:rsidRPr="000B05A3">
              <w:rPr>
                <w:lang w:val="fr-CH"/>
              </w:rPr>
              <w:t>ocument informel INF.48 (session de printemps 2015)</w:t>
            </w:r>
            <w:r w:rsidR="008240F1">
              <w:rPr>
                <w:lang w:val="fr-CH"/>
              </w:rPr>
              <w:t>.</w:t>
            </w:r>
          </w:p>
        </w:tc>
      </w:tr>
      <w:tr w:rsidR="000B05A3" w:rsidTr="000B05A3">
        <w:tc>
          <w:tcPr>
            <w:tcW w:w="10051" w:type="dxa"/>
            <w:tcBorders>
              <w:bottom w:val="single" w:sz="2" w:space="0" w:color="auto"/>
            </w:tcBorders>
            <w:shd w:val="clear" w:color="auto" w:fill="auto"/>
          </w:tcPr>
          <w:p w:rsidR="000B05A3" w:rsidRPr="000B05A3" w:rsidRDefault="000B05A3" w:rsidP="000B05A3">
            <w:pPr>
              <w:pStyle w:val="SingleTxt"/>
            </w:pPr>
          </w:p>
        </w:tc>
      </w:tr>
    </w:tbl>
    <w:p w:rsidR="000B05A3" w:rsidRDefault="000B05A3">
      <w:pPr>
        <w:spacing w:line="240" w:lineRule="auto"/>
      </w:pPr>
      <w:r>
        <w:br w:type="page"/>
      </w:r>
    </w:p>
    <w:p w:rsidR="000B05A3" w:rsidRDefault="008240F1" w:rsidP="008240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lastRenderedPageBreak/>
        <w:tab/>
      </w:r>
      <w:r>
        <w:rPr>
          <w:lang w:val="fr-CH"/>
        </w:rPr>
        <w:tab/>
        <w:t>Introduction</w:t>
      </w: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0B05A3" w:rsidRPr="000B05A3" w:rsidRDefault="000B05A3" w:rsidP="00B5297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0B05A3">
        <w:rPr>
          <w:lang w:val="fr-CH"/>
        </w:rPr>
        <w:t>À sa session de printemps 2015, la Réunion commune a adopté la proposition</w:t>
      </w:r>
      <w:r w:rsidR="00F07F03">
        <w:rPr>
          <w:lang w:val="fr-CH"/>
        </w:rPr>
        <w:t> </w:t>
      </w:r>
      <w:r w:rsidRPr="000B05A3">
        <w:rPr>
          <w:lang w:val="fr-CH"/>
        </w:rPr>
        <w:t xml:space="preserve">5 du Groupe de travail sur les normes. Cette proposition visait à ajouter la norme </w:t>
      </w:r>
      <w:r w:rsidR="00F07F03">
        <w:rPr>
          <w:lang w:val="fr-CH"/>
        </w:rPr>
        <w:t>EN </w:t>
      </w:r>
      <w:r w:rsidRPr="000B05A3">
        <w:rPr>
          <w:lang w:val="fr-CH"/>
        </w:rPr>
        <w:t>16509 sans sa clause 9 aux normes citées en référence dans le paragraphe</w:t>
      </w:r>
      <w:r w:rsidR="00F07F03">
        <w:rPr>
          <w:lang w:val="fr-CH"/>
        </w:rPr>
        <w:t> </w:t>
      </w:r>
      <w:r w:rsidRPr="000B05A3">
        <w:rPr>
          <w:lang w:val="fr-CH"/>
        </w:rPr>
        <w:t>6.2.6.4 du RID</w:t>
      </w:r>
      <w:r w:rsidR="007760C8">
        <w:rPr>
          <w:lang w:val="fr-CH"/>
        </w:rPr>
        <w:t xml:space="preserve"> et de l’A</w:t>
      </w:r>
      <w:r w:rsidRPr="000B05A3">
        <w:rPr>
          <w:lang w:val="fr-CH"/>
        </w:rPr>
        <w:t>DR. L’ECMA propose que la clause 9 de la norme EN</w:t>
      </w:r>
      <w:r w:rsidR="007760C8">
        <w:rPr>
          <w:lang w:val="fr-CH"/>
        </w:rPr>
        <w:t> </w:t>
      </w:r>
      <w:r w:rsidRPr="000B05A3">
        <w:rPr>
          <w:lang w:val="fr-CH"/>
        </w:rPr>
        <w:t xml:space="preserve">16509 </w:t>
      </w:r>
      <w:r w:rsidR="007760C8">
        <w:rPr>
          <w:lang w:val="fr-CH"/>
        </w:rPr>
        <w:t>(</w:t>
      </w:r>
      <w:r w:rsidRPr="000B05A3">
        <w:rPr>
          <w:lang w:val="fr-CH"/>
        </w:rPr>
        <w:t>Marquage</w:t>
      </w:r>
      <w:r w:rsidR="007760C8">
        <w:rPr>
          <w:lang w:val="fr-CH"/>
        </w:rPr>
        <w:t>)</w:t>
      </w:r>
      <w:r w:rsidRPr="000B05A3">
        <w:rPr>
          <w:lang w:val="fr-CH"/>
        </w:rPr>
        <w:t xml:space="preserve"> ne soit pas exclue pour le simple fait qu’il manque une marque</w:t>
      </w:r>
      <w:r w:rsidR="008240F1">
        <w:rPr>
          <w:lang w:val="fr-CH"/>
        </w:rPr>
        <w:t>.</w:t>
      </w:r>
    </w:p>
    <w:p w:rsidR="000B05A3" w:rsidRDefault="000B05A3" w:rsidP="00B5297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0B05A3">
        <w:rPr>
          <w:lang w:val="fr-CH"/>
        </w:rPr>
        <w:t xml:space="preserve">L’ECMA propose en outre que les normes citées en référence </w:t>
      </w:r>
      <w:r w:rsidR="00F07F03">
        <w:rPr>
          <w:lang w:val="fr-CH"/>
        </w:rPr>
        <w:t>dans le paragraphe </w:t>
      </w:r>
      <w:r w:rsidRPr="000B05A3">
        <w:rPr>
          <w:lang w:val="fr-CH"/>
        </w:rPr>
        <w:t>6.2.6.4 du RID</w:t>
      </w:r>
      <w:r w:rsidR="007760C8">
        <w:rPr>
          <w:lang w:val="fr-CH"/>
        </w:rPr>
        <w:t xml:space="preserve"> et de l’</w:t>
      </w:r>
      <w:r w:rsidRPr="000B05A3">
        <w:rPr>
          <w:lang w:val="fr-CH"/>
        </w:rPr>
        <w:t xml:space="preserve">ADR aient la même </w:t>
      </w:r>
      <w:r w:rsidR="007760C8">
        <w:rPr>
          <w:lang w:val="fr-CH"/>
        </w:rPr>
        <w:t>importance</w:t>
      </w:r>
      <w:r w:rsidRPr="000B05A3">
        <w:rPr>
          <w:lang w:val="fr-CH"/>
        </w:rPr>
        <w:t xml:space="preserve"> que les normes mentionnées aux paragraphes 6.2.2.1 et 6.2.4.1, c’est-à-dire qu’elles soient obligatoires</w:t>
      </w:r>
      <w:r w:rsidR="008240F1">
        <w:rPr>
          <w:lang w:val="fr-CH"/>
        </w:rPr>
        <w:t>.</w:t>
      </w: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0B05A3" w:rsidRDefault="008240F1" w:rsidP="008240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0B05A3" w:rsidRPr="000B05A3">
        <w:rPr>
          <w:lang w:val="fr-CH"/>
        </w:rPr>
        <w:t>Question 1</w:t>
      </w: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0B05A3" w:rsidRPr="000B05A3" w:rsidRDefault="007A3311" w:rsidP="00B5297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>
        <w:rPr>
          <w:lang w:val="fr-CH"/>
        </w:rPr>
        <w:t>Dans sa version actuelle, la</w:t>
      </w:r>
      <w:r w:rsidR="000B05A3" w:rsidRPr="000B05A3">
        <w:rPr>
          <w:lang w:val="fr-CH"/>
        </w:rPr>
        <w:t xml:space="preserve"> clause 9 de la norme EN 16509</w:t>
      </w:r>
      <w:r>
        <w:rPr>
          <w:lang w:val="fr-CH"/>
        </w:rPr>
        <w:t xml:space="preserve"> </w:t>
      </w:r>
      <w:r w:rsidR="000B05A3" w:rsidRPr="000B05A3">
        <w:rPr>
          <w:lang w:val="fr-CH"/>
        </w:rPr>
        <w:t>n’est pas pleinement conforme à la prescription de marquage énoncée au paragraphe 1.8.8.4.1 e) du RID</w:t>
      </w:r>
      <w:r>
        <w:rPr>
          <w:lang w:val="fr-CH"/>
        </w:rPr>
        <w:t xml:space="preserve"> et de l’</w:t>
      </w:r>
      <w:r w:rsidR="000B05A3" w:rsidRPr="000B05A3">
        <w:rPr>
          <w:lang w:val="fr-CH"/>
        </w:rPr>
        <w:t xml:space="preserve">ADR. </w:t>
      </w:r>
      <w:r>
        <w:rPr>
          <w:lang w:val="fr-CH"/>
        </w:rPr>
        <w:t xml:space="preserve">Dans le </w:t>
      </w:r>
      <w:r w:rsidR="000B05A3" w:rsidRPr="000B05A3">
        <w:rPr>
          <w:lang w:val="fr-CH"/>
        </w:rPr>
        <w:t>RID</w:t>
      </w:r>
      <w:r>
        <w:rPr>
          <w:lang w:val="fr-CH"/>
        </w:rPr>
        <w:t xml:space="preserve"> et l’</w:t>
      </w:r>
      <w:r w:rsidR="000B05A3" w:rsidRPr="000B05A3">
        <w:rPr>
          <w:lang w:val="fr-CH"/>
        </w:rPr>
        <w:t xml:space="preserve">ADR, le type de la cartouche à gaz doit également être indiqué. </w:t>
      </w:r>
      <w:r>
        <w:rPr>
          <w:lang w:val="fr-CH"/>
        </w:rPr>
        <w:t>Or, le</w:t>
      </w:r>
      <w:r w:rsidR="000B05A3" w:rsidRPr="000B05A3">
        <w:rPr>
          <w:lang w:val="fr-CH"/>
        </w:rPr>
        <w:t xml:space="preserve"> type de cartouche à gaz est la seule marque qui n’est pas prescrite par </w:t>
      </w:r>
      <w:r w:rsidR="008240F1">
        <w:rPr>
          <w:lang w:val="fr-CH"/>
        </w:rPr>
        <w:t>la norme EN 16509.</w:t>
      </w:r>
    </w:p>
    <w:p w:rsidR="000B05A3" w:rsidRPr="000B05A3" w:rsidRDefault="000B05A3" w:rsidP="00B5297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0B05A3">
        <w:rPr>
          <w:lang w:val="fr-CH"/>
        </w:rPr>
        <w:t>Pour</w:t>
      </w:r>
      <w:r w:rsidR="007A3311">
        <w:rPr>
          <w:lang w:val="fr-CH"/>
        </w:rPr>
        <w:t xml:space="preserve"> bien</w:t>
      </w:r>
      <w:r w:rsidRPr="000B05A3">
        <w:rPr>
          <w:lang w:val="fr-CH"/>
        </w:rPr>
        <w:t xml:space="preserve"> identifier le type d</w:t>
      </w:r>
      <w:r w:rsidR="007A3311">
        <w:rPr>
          <w:lang w:val="fr-CH"/>
        </w:rPr>
        <w:t xml:space="preserve">’une </w:t>
      </w:r>
      <w:r w:rsidRPr="000B05A3">
        <w:rPr>
          <w:lang w:val="fr-CH"/>
        </w:rPr>
        <w:t xml:space="preserve">cartouche à gaz, il faut </w:t>
      </w:r>
      <w:r w:rsidR="007A3311">
        <w:rPr>
          <w:lang w:val="fr-CH"/>
        </w:rPr>
        <w:t>disposer des informations suivantes</w:t>
      </w:r>
      <w:r w:rsidR="008240F1">
        <w:rPr>
          <w:lang w:val="fr-CH"/>
        </w:rPr>
        <w:t> </w:t>
      </w:r>
      <w:r w:rsidRPr="000B05A3">
        <w:rPr>
          <w:lang w:val="fr-CH"/>
        </w:rPr>
        <w:t>:</w:t>
      </w:r>
    </w:p>
    <w:p w:rsidR="000B05A3" w:rsidRPr="000B05A3" w:rsidRDefault="008240F1" w:rsidP="000B05A3">
      <w:pPr>
        <w:pStyle w:val="SingleTxt"/>
        <w:rPr>
          <w:lang w:val="fr-CH"/>
        </w:rPr>
      </w:pPr>
      <w:r>
        <w:rPr>
          <w:lang w:val="fr-CH"/>
        </w:rPr>
        <w:tab/>
      </w:r>
      <w:r w:rsidR="000B05A3" w:rsidRPr="000B05A3">
        <w:rPr>
          <w:lang w:val="fr-CH"/>
        </w:rPr>
        <w:t>i)</w:t>
      </w:r>
      <w:r w:rsidR="000B05A3" w:rsidRPr="000B05A3">
        <w:rPr>
          <w:lang w:val="fr-CH"/>
        </w:rPr>
        <w:tab/>
      </w:r>
      <w:r w:rsidR="000B05A3" w:rsidRPr="008240F1">
        <w:rPr>
          <w:lang w:val="fr-CH"/>
        </w:rPr>
        <w:t xml:space="preserve">identification </w:t>
      </w:r>
      <w:r w:rsidR="000B05A3" w:rsidRPr="000B05A3">
        <w:rPr>
          <w:lang w:val="fr-CH"/>
        </w:rPr>
        <w:t>du gaz;</w:t>
      </w:r>
    </w:p>
    <w:p w:rsidR="000B05A3" w:rsidRPr="000B05A3" w:rsidRDefault="008240F1" w:rsidP="000B05A3">
      <w:pPr>
        <w:pStyle w:val="SingleTxt"/>
        <w:rPr>
          <w:lang w:val="fr-CH"/>
        </w:rPr>
      </w:pPr>
      <w:r>
        <w:rPr>
          <w:lang w:val="fr-CH"/>
        </w:rPr>
        <w:tab/>
      </w:r>
      <w:r w:rsidR="000B05A3" w:rsidRPr="000B05A3">
        <w:rPr>
          <w:lang w:val="fr-CH"/>
        </w:rPr>
        <w:t>ii)</w:t>
      </w:r>
      <w:r w:rsidR="000B05A3" w:rsidRPr="000B05A3">
        <w:rPr>
          <w:lang w:val="fr-CH"/>
        </w:rPr>
        <w:tab/>
        <w:t>quantité de gaz ou pression du gaz;</w:t>
      </w:r>
    </w:p>
    <w:p w:rsidR="000B05A3" w:rsidRPr="000B05A3" w:rsidRDefault="008240F1" w:rsidP="000B05A3">
      <w:pPr>
        <w:pStyle w:val="SingleTxt"/>
        <w:rPr>
          <w:lang w:val="fr-CH"/>
        </w:rPr>
      </w:pPr>
      <w:r>
        <w:rPr>
          <w:lang w:val="fr-CH"/>
        </w:rPr>
        <w:tab/>
      </w:r>
      <w:r w:rsidR="000B05A3" w:rsidRPr="000B05A3">
        <w:rPr>
          <w:lang w:val="fr-CH"/>
        </w:rPr>
        <w:t>iii)</w:t>
      </w:r>
      <w:r w:rsidR="000B05A3" w:rsidRPr="000B05A3">
        <w:rPr>
          <w:lang w:val="fr-CH"/>
        </w:rPr>
        <w:tab/>
      </w:r>
      <w:r w:rsidR="000B05A3" w:rsidRPr="008240F1">
        <w:rPr>
          <w:lang w:val="fr-CH"/>
        </w:rPr>
        <w:t>contenance en eau.</w:t>
      </w:r>
    </w:p>
    <w:p w:rsidR="000B05A3" w:rsidRPr="000B05A3" w:rsidRDefault="000B05A3" w:rsidP="00B5297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0B05A3">
        <w:rPr>
          <w:lang w:val="fr-CH"/>
        </w:rPr>
        <w:t xml:space="preserve">Les </w:t>
      </w:r>
      <w:r w:rsidR="007A3311">
        <w:rPr>
          <w:lang w:val="fr-CH"/>
        </w:rPr>
        <w:t>informations</w:t>
      </w:r>
      <w:r w:rsidRPr="000B05A3">
        <w:rPr>
          <w:lang w:val="fr-CH"/>
        </w:rPr>
        <w:t xml:space="preserve"> i) et ii) sont déjà mentionné</w:t>
      </w:r>
      <w:r w:rsidR="007A3311">
        <w:rPr>
          <w:lang w:val="fr-CH"/>
        </w:rPr>
        <w:t>e</w:t>
      </w:r>
      <w:r w:rsidRPr="000B05A3">
        <w:rPr>
          <w:lang w:val="fr-CH"/>
        </w:rPr>
        <w:t xml:space="preserve">s dans la clause 9.2.1 de la norme EN 16509; la contenance en eau </w:t>
      </w:r>
      <w:r w:rsidR="008240F1">
        <w:rPr>
          <w:lang w:val="fr-CH"/>
        </w:rPr>
        <w:t>est le seul paramètre manquant.</w:t>
      </w:r>
    </w:p>
    <w:p w:rsidR="000B05A3" w:rsidRDefault="000B05A3" w:rsidP="00B5297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0B05A3">
        <w:rPr>
          <w:lang w:val="fr-CH"/>
        </w:rPr>
        <w:t xml:space="preserve">Par conséquent, plutôt que d’exclure la clause 9 (norme EN 16509), il est proposé d’exiger </w:t>
      </w:r>
      <w:r w:rsidR="00AB4406">
        <w:rPr>
          <w:lang w:val="fr-CH"/>
        </w:rPr>
        <w:t xml:space="preserve">uniquement </w:t>
      </w:r>
      <w:r w:rsidRPr="008240F1">
        <w:rPr>
          <w:lang w:val="fr-CH"/>
        </w:rPr>
        <w:t>le marquage additionnel, durable et bien lisible, de</w:t>
      </w:r>
      <w:r w:rsidRPr="000B05A3">
        <w:rPr>
          <w:lang w:val="fr-CH"/>
        </w:rPr>
        <w:t xml:space="preserve"> la contenance en eau de la cartouche à gaz, conformém</w:t>
      </w:r>
      <w:r w:rsidR="008240F1">
        <w:rPr>
          <w:lang w:val="fr-CH"/>
        </w:rPr>
        <w:t>ent au paragraphe 1.8.8.4.1 e).</w:t>
      </w: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0B05A3" w:rsidRDefault="008240F1" w:rsidP="008240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0B05A3" w:rsidRPr="000B05A3">
        <w:rPr>
          <w:lang w:val="fr-CH"/>
        </w:rPr>
        <w:t>Proposition 1</w:t>
      </w: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0B05A3" w:rsidRPr="000B05A3" w:rsidRDefault="000B05A3" w:rsidP="00B5297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0B05A3">
        <w:rPr>
          <w:lang w:val="fr-CH"/>
        </w:rPr>
        <w:t xml:space="preserve">Modifier le </w:t>
      </w:r>
      <w:r w:rsidR="00B118C7">
        <w:rPr>
          <w:lang w:val="fr-CH"/>
        </w:rPr>
        <w:t xml:space="preserve">texte du </w:t>
      </w:r>
      <w:r w:rsidRPr="000B05A3">
        <w:rPr>
          <w:lang w:val="fr-CH"/>
        </w:rPr>
        <w:t xml:space="preserve">troisième </w:t>
      </w:r>
      <w:r w:rsidR="00B118C7">
        <w:rPr>
          <w:lang w:val="fr-CH"/>
        </w:rPr>
        <w:t>alinéa</w:t>
      </w:r>
      <w:r w:rsidRPr="000B05A3">
        <w:rPr>
          <w:lang w:val="fr-CH"/>
        </w:rPr>
        <w:t xml:space="preserve"> du paragraphe 6.2.6.4</w:t>
      </w:r>
      <w:r w:rsidR="00B118C7">
        <w:rPr>
          <w:lang w:val="fr-CH"/>
        </w:rPr>
        <w:t>,</w:t>
      </w:r>
      <w:r w:rsidRPr="000B05A3">
        <w:rPr>
          <w:lang w:val="fr-CH"/>
        </w:rPr>
        <w:t xml:space="preserve"> adopté par la Réunion commune à sa session de printemps 2015</w:t>
      </w:r>
      <w:r w:rsidR="00B118C7">
        <w:rPr>
          <w:lang w:val="fr-CH"/>
        </w:rPr>
        <w:t>,</w:t>
      </w:r>
      <w:r w:rsidRPr="000B05A3">
        <w:rPr>
          <w:lang w:val="fr-CH"/>
        </w:rPr>
        <w:t xml:space="preserve"> de façon qu’il se lise comme suit (ce qu’il est proposé d’ajouter est </w:t>
      </w:r>
      <w:r w:rsidR="008240F1">
        <w:rPr>
          <w:lang w:val="fr-CH"/>
        </w:rPr>
        <w:t>souligné) :</w:t>
      </w:r>
    </w:p>
    <w:p w:rsidR="000B05A3" w:rsidRDefault="008240F1" w:rsidP="008240F1">
      <w:pPr>
        <w:pStyle w:val="SingleTxt"/>
        <w:ind w:left="1742" w:hanging="475"/>
        <w:rPr>
          <w:lang w:val="fr-CH"/>
        </w:rPr>
      </w:pPr>
      <w:r>
        <w:rPr>
          <w:lang w:val="fr-CH"/>
        </w:rPr>
        <w:tab/>
        <w:t xml:space="preserve">« – </w:t>
      </w:r>
      <w:r w:rsidR="000B05A3" w:rsidRPr="000B05A3">
        <w:rPr>
          <w:lang w:val="fr-CH"/>
        </w:rPr>
        <w:t xml:space="preserve">pour les récipients de faible capacité contenant du gaz (cartouches à gaz) </w:t>
      </w:r>
      <w:r w:rsidR="00B118C7">
        <w:rPr>
          <w:lang w:val="fr-CH"/>
        </w:rPr>
        <w:t>(</w:t>
      </w:r>
      <w:r w:rsidR="000B05A3" w:rsidRPr="000B05A3">
        <w:rPr>
          <w:lang w:val="fr-CH"/>
        </w:rPr>
        <w:t>N</w:t>
      </w:r>
      <w:r w:rsidR="00B118C7" w:rsidRPr="006D4D2D">
        <w:rPr>
          <w:vertAlign w:val="superscript"/>
          <w:lang w:val="fr-CH"/>
        </w:rPr>
        <w:t>o</w:t>
      </w:r>
      <w:r w:rsidR="00B118C7">
        <w:rPr>
          <w:lang w:val="fr-CH"/>
        </w:rPr>
        <w:t> O</w:t>
      </w:r>
      <w:r w:rsidR="000B05A3" w:rsidRPr="000B05A3">
        <w:rPr>
          <w:lang w:val="fr-CH"/>
        </w:rPr>
        <w:t>NU 2037</w:t>
      </w:r>
      <w:r w:rsidR="00B118C7">
        <w:rPr>
          <w:lang w:val="fr-CH"/>
        </w:rPr>
        <w:t>),</w:t>
      </w:r>
      <w:r w:rsidR="000B05A3" w:rsidRPr="000B05A3">
        <w:rPr>
          <w:lang w:val="fr-CH"/>
        </w:rPr>
        <w:t xml:space="preserve"> contenant des gaz comprimés ou liquéfiés non</w:t>
      </w:r>
      <w:r w:rsidR="00B118C7">
        <w:rPr>
          <w:lang w:val="fr-CH"/>
        </w:rPr>
        <w:t xml:space="preserve"> </w:t>
      </w:r>
      <w:r w:rsidR="000B05A3" w:rsidRPr="000B05A3">
        <w:rPr>
          <w:lang w:val="fr-CH"/>
        </w:rPr>
        <w:t>toxiques, non</w:t>
      </w:r>
      <w:r w:rsidR="00B118C7">
        <w:rPr>
          <w:lang w:val="fr-CH"/>
        </w:rPr>
        <w:t xml:space="preserve"> </w:t>
      </w:r>
      <w:r w:rsidR="000B05A3" w:rsidRPr="000B05A3">
        <w:rPr>
          <w:lang w:val="fr-CH"/>
        </w:rPr>
        <w:t>inflammables</w:t>
      </w:r>
      <w:r w:rsidR="00B118C7">
        <w:rPr>
          <w:lang w:val="fr-CH"/>
        </w:rPr>
        <w:t> </w:t>
      </w:r>
      <w:r w:rsidR="000B05A3" w:rsidRPr="000B05A3">
        <w:rPr>
          <w:lang w:val="fr-CH"/>
        </w:rPr>
        <w:t xml:space="preserve">: EN 16509:2014 Bouteilles à gaz transportables – Petites bouteilles transportables en acier, non rechargeables, de capacité inférieure ou égale à 120 ml et contenant des gaz comprimés ou liquéfiés (bouteilles compactes) – Conception, fabrication, remplissage et essais </w:t>
      </w:r>
      <w:r w:rsidR="000B05A3" w:rsidRPr="008240F1">
        <w:rPr>
          <w:strike/>
          <w:lang w:val="fr-CH"/>
        </w:rPr>
        <w:t>(sauf clause 9)</w:t>
      </w:r>
      <w:r w:rsidR="000B05A3" w:rsidRPr="000B05A3">
        <w:rPr>
          <w:lang w:val="fr-CH"/>
        </w:rPr>
        <w:t xml:space="preserve">. </w:t>
      </w:r>
      <w:r w:rsidR="000B05A3" w:rsidRPr="000B05A3">
        <w:rPr>
          <w:u w:val="single"/>
          <w:lang w:val="fr-CH"/>
        </w:rPr>
        <w:t>Outre les marques prescrit</w:t>
      </w:r>
      <w:r w:rsidR="00B118C7">
        <w:rPr>
          <w:u w:val="single"/>
          <w:lang w:val="fr-CH"/>
        </w:rPr>
        <w:t>e</w:t>
      </w:r>
      <w:r w:rsidR="000B05A3" w:rsidRPr="000B05A3">
        <w:rPr>
          <w:u w:val="single"/>
          <w:lang w:val="fr-CH"/>
        </w:rPr>
        <w:t xml:space="preserve">s par la clause 9.2.1 de la norme EN 16509, la contenance en eau de la bouteille compacte doit être marquée sur la bouteille pour </w:t>
      </w:r>
      <w:r w:rsidR="00B118C7">
        <w:rPr>
          <w:u w:val="single"/>
          <w:lang w:val="fr-CH"/>
        </w:rPr>
        <w:t>permettre d’</w:t>
      </w:r>
      <w:r w:rsidR="000B05A3" w:rsidRPr="000B05A3">
        <w:rPr>
          <w:u w:val="single"/>
          <w:lang w:val="fr-CH"/>
        </w:rPr>
        <w:t>identifier clairement le type</w:t>
      </w:r>
      <w:r w:rsidR="00B118C7">
        <w:rPr>
          <w:u w:val="single"/>
          <w:lang w:val="fr-CH"/>
        </w:rPr>
        <w:t xml:space="preserve"> de celle-ci</w:t>
      </w:r>
      <w:r w:rsidR="000B05A3" w:rsidRPr="000B05A3">
        <w:rPr>
          <w:lang w:val="fr-CH"/>
        </w:rPr>
        <w:t>. ».</w:t>
      </w:r>
    </w:p>
    <w:p w:rsidR="008240F1" w:rsidRPr="008240F1" w:rsidRDefault="008240F1" w:rsidP="008240F1">
      <w:pPr>
        <w:pStyle w:val="SingleTxt"/>
        <w:spacing w:after="0" w:line="120" w:lineRule="exact"/>
        <w:ind w:left="1742" w:hanging="475"/>
        <w:rPr>
          <w:sz w:val="10"/>
          <w:lang w:val="fr-CH"/>
        </w:rPr>
      </w:pPr>
    </w:p>
    <w:p w:rsidR="008240F1" w:rsidRPr="008240F1" w:rsidRDefault="008240F1" w:rsidP="008240F1">
      <w:pPr>
        <w:pStyle w:val="SingleTxt"/>
        <w:spacing w:after="0" w:line="120" w:lineRule="exact"/>
        <w:ind w:left="1742" w:hanging="475"/>
        <w:rPr>
          <w:sz w:val="10"/>
          <w:lang w:val="fr-CH"/>
        </w:rPr>
      </w:pPr>
    </w:p>
    <w:p w:rsidR="000B05A3" w:rsidRDefault="008240F1" w:rsidP="006D4D2D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lastRenderedPageBreak/>
        <w:tab/>
      </w:r>
      <w:r>
        <w:rPr>
          <w:lang w:val="fr-CH"/>
        </w:rPr>
        <w:tab/>
      </w:r>
      <w:r w:rsidR="000B05A3" w:rsidRPr="000B05A3">
        <w:rPr>
          <w:lang w:val="fr-CH"/>
        </w:rPr>
        <w:t>Question 2</w:t>
      </w:r>
    </w:p>
    <w:p w:rsidR="008240F1" w:rsidRPr="008240F1" w:rsidRDefault="008240F1" w:rsidP="006D4D2D">
      <w:pPr>
        <w:pStyle w:val="SingleTxt"/>
        <w:keepNext/>
        <w:keepLines/>
        <w:spacing w:after="0" w:line="120" w:lineRule="exact"/>
        <w:rPr>
          <w:sz w:val="10"/>
          <w:lang w:val="fr-CH"/>
        </w:rPr>
      </w:pPr>
    </w:p>
    <w:p w:rsidR="008240F1" w:rsidRPr="008240F1" w:rsidRDefault="008240F1" w:rsidP="006D4D2D">
      <w:pPr>
        <w:pStyle w:val="SingleTxt"/>
        <w:keepNext/>
        <w:keepLines/>
        <w:spacing w:after="0" w:line="120" w:lineRule="exact"/>
        <w:rPr>
          <w:sz w:val="10"/>
          <w:lang w:val="fr-CH"/>
        </w:rPr>
      </w:pPr>
    </w:p>
    <w:p w:rsidR="000B05A3" w:rsidRPr="000B05A3" w:rsidRDefault="000B05A3" w:rsidP="006D4D2D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0B05A3">
        <w:rPr>
          <w:lang w:val="fr-CH"/>
        </w:rPr>
        <w:t>L’application des normes mentionnées aux paragraphes 6.2.2.1 et 6.2.4.1 est obligatoire; l’ECMA estime que l’application des n</w:t>
      </w:r>
      <w:r w:rsidR="006D4D2D">
        <w:rPr>
          <w:lang w:val="fr-CH"/>
        </w:rPr>
        <w:t>ormes mentionnées au paragraphe </w:t>
      </w:r>
      <w:r w:rsidRPr="000B05A3">
        <w:rPr>
          <w:lang w:val="fr-CH"/>
        </w:rPr>
        <w:t>6.2.6.4 devra</w:t>
      </w:r>
      <w:r w:rsidR="008240F1">
        <w:rPr>
          <w:lang w:val="fr-CH"/>
        </w:rPr>
        <w:t>it elle aussi être obligatoire.</w:t>
      </w:r>
    </w:p>
    <w:p w:rsidR="000B05A3" w:rsidRDefault="000B05A3" w:rsidP="00B5297E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fr-CH"/>
        </w:rPr>
      </w:pPr>
      <w:r w:rsidRPr="000B05A3">
        <w:rPr>
          <w:lang w:val="fr-CH"/>
        </w:rPr>
        <w:t>Pour qu’il en soit ainsi, l’ECMA propose d’apporter la modification ci-après à la première ligne du paragraphe 6.2.6.4.</w:t>
      </w: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0B05A3" w:rsidRDefault="008240F1" w:rsidP="008240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0B05A3" w:rsidRPr="000B05A3">
        <w:rPr>
          <w:lang w:val="fr-CH"/>
        </w:rPr>
        <w:t>Proposition 2</w:t>
      </w: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0B05A3" w:rsidRPr="000B05A3" w:rsidRDefault="000B05A3" w:rsidP="000B05A3">
      <w:pPr>
        <w:pStyle w:val="SingleTxt"/>
        <w:rPr>
          <w:lang w:val="fr-CH"/>
        </w:rPr>
      </w:pPr>
      <w:r w:rsidRPr="000B05A3">
        <w:rPr>
          <w:lang w:val="fr-CH"/>
        </w:rPr>
        <w:t>Remplacer le texte de la première ligne du paragraphe 6.2.6.4</w:t>
      </w:r>
      <w:r w:rsidR="00AF52A3">
        <w:rPr>
          <w:lang w:val="fr-CH"/>
        </w:rPr>
        <w:t> :</w:t>
      </w:r>
    </w:p>
    <w:p w:rsidR="000B05A3" w:rsidRPr="000B05A3" w:rsidRDefault="008240F1" w:rsidP="000B05A3">
      <w:pPr>
        <w:pStyle w:val="SingleTxt"/>
        <w:rPr>
          <w:lang w:val="fr-CH"/>
        </w:rPr>
      </w:pPr>
      <w:r>
        <w:rPr>
          <w:lang w:val="fr-CH"/>
        </w:rPr>
        <w:t>« </w:t>
      </w:r>
      <w:r w:rsidR="000B05A3" w:rsidRPr="000B05A3">
        <w:rPr>
          <w:lang w:val="fr-CH"/>
        </w:rPr>
        <w:t>Il est réputé satisfait aux prescriptions de la présente section si les normes suivantes sont appliquées</w:t>
      </w:r>
      <w:r>
        <w:rPr>
          <w:lang w:val="fr-CH"/>
        </w:rPr>
        <w:t> </w:t>
      </w:r>
      <w:r w:rsidR="000B05A3" w:rsidRPr="000B05A3">
        <w:rPr>
          <w:lang w:val="fr-CH"/>
        </w:rPr>
        <w:t>:</w:t>
      </w:r>
      <w:r>
        <w:rPr>
          <w:lang w:val="fr-CH"/>
        </w:rPr>
        <w:t> »</w:t>
      </w:r>
    </w:p>
    <w:p w:rsidR="000B05A3" w:rsidRPr="000B05A3" w:rsidRDefault="000B05A3" w:rsidP="000B05A3">
      <w:pPr>
        <w:pStyle w:val="SingleTxt"/>
        <w:rPr>
          <w:lang w:val="fr-CH"/>
        </w:rPr>
      </w:pPr>
      <w:proofErr w:type="gramStart"/>
      <w:r w:rsidRPr="000B05A3">
        <w:rPr>
          <w:lang w:val="fr-CH"/>
        </w:rPr>
        <w:t>par</w:t>
      </w:r>
      <w:proofErr w:type="gramEnd"/>
      <w:r w:rsidRPr="000B05A3">
        <w:rPr>
          <w:lang w:val="fr-CH"/>
        </w:rPr>
        <w:t xml:space="preserve"> la formulation suivante</w:t>
      </w:r>
      <w:r w:rsidR="008240F1">
        <w:rPr>
          <w:lang w:val="fr-CH"/>
        </w:rPr>
        <w:t> </w:t>
      </w:r>
      <w:r w:rsidRPr="000B05A3">
        <w:rPr>
          <w:lang w:val="fr-CH"/>
        </w:rPr>
        <w:t>:</w:t>
      </w:r>
    </w:p>
    <w:p w:rsidR="000B05A3" w:rsidRDefault="008240F1" w:rsidP="000B05A3">
      <w:pPr>
        <w:pStyle w:val="SingleTxt"/>
        <w:rPr>
          <w:lang w:val="fr-CH"/>
        </w:rPr>
      </w:pPr>
      <w:r>
        <w:rPr>
          <w:lang w:val="fr-CH"/>
        </w:rPr>
        <w:t>« </w:t>
      </w:r>
      <w:r w:rsidR="000B05A3" w:rsidRPr="000B05A3">
        <w:rPr>
          <w:lang w:val="fr-CH"/>
        </w:rPr>
        <w:t xml:space="preserve">L’application des normes citées </w:t>
      </w:r>
      <w:r w:rsidR="00AF52A3">
        <w:rPr>
          <w:lang w:val="fr-CH"/>
        </w:rPr>
        <w:t xml:space="preserve">ci-dessous </w:t>
      </w:r>
      <w:r w:rsidR="000B05A3" w:rsidRPr="000B05A3">
        <w:rPr>
          <w:lang w:val="fr-CH"/>
        </w:rPr>
        <w:t>en référence est obligatoire. ».</w:t>
      </w: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0B05A3" w:rsidRDefault="008240F1" w:rsidP="008240F1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 w:rsidR="00A819A6">
        <w:rPr>
          <w:lang w:val="fr-CH"/>
        </w:rPr>
        <w:t>Justification</w:t>
      </w: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8240F1" w:rsidRPr="008240F1" w:rsidRDefault="008240F1" w:rsidP="008240F1">
      <w:pPr>
        <w:pStyle w:val="SingleTxt"/>
        <w:spacing w:after="0" w:line="120" w:lineRule="exact"/>
        <w:rPr>
          <w:sz w:val="10"/>
          <w:lang w:val="fr-CH"/>
        </w:rPr>
      </w:pPr>
    </w:p>
    <w:p w:rsidR="000B05A3" w:rsidRDefault="000B05A3" w:rsidP="000B05A3">
      <w:pPr>
        <w:pStyle w:val="SingleTxt"/>
        <w:rPr>
          <w:lang w:val="fr-CH"/>
        </w:rPr>
      </w:pPr>
      <w:r w:rsidRPr="000B05A3">
        <w:rPr>
          <w:lang w:val="fr-CH"/>
        </w:rPr>
        <w:t xml:space="preserve">La révision exposée dans </w:t>
      </w:r>
      <w:r w:rsidR="007941B2">
        <w:rPr>
          <w:lang w:val="fr-CH"/>
        </w:rPr>
        <w:t>la</w:t>
      </w:r>
      <w:r w:rsidRPr="000B05A3">
        <w:rPr>
          <w:lang w:val="fr-CH"/>
        </w:rPr>
        <w:t xml:space="preserve"> proposition 1 garant</w:t>
      </w:r>
      <w:r w:rsidR="007941B2">
        <w:rPr>
          <w:lang w:val="fr-CH"/>
        </w:rPr>
        <w:t>it la conformité de la norme EN </w:t>
      </w:r>
      <w:r w:rsidRPr="000B05A3">
        <w:rPr>
          <w:lang w:val="fr-CH"/>
        </w:rPr>
        <w:t>16509:2014, citée en référence pour les récipients à pression, aux prescriptions énoncées dans le paragraphe 6.2.6 du RID</w:t>
      </w:r>
      <w:r w:rsidR="007941B2">
        <w:rPr>
          <w:lang w:val="fr-CH"/>
        </w:rPr>
        <w:t xml:space="preserve"> et de l’</w:t>
      </w:r>
      <w:r w:rsidRPr="000B05A3">
        <w:rPr>
          <w:lang w:val="fr-CH"/>
        </w:rPr>
        <w:t xml:space="preserve">ADR. </w:t>
      </w:r>
      <w:r w:rsidR="007941B2">
        <w:rPr>
          <w:lang w:val="fr-CH"/>
        </w:rPr>
        <w:t>En outre, l</w:t>
      </w:r>
      <w:r w:rsidRPr="000B05A3">
        <w:rPr>
          <w:lang w:val="fr-CH"/>
        </w:rPr>
        <w:t xml:space="preserve">’application des normes citées en référence </w:t>
      </w:r>
      <w:r w:rsidR="007941B2">
        <w:rPr>
          <w:lang w:val="fr-CH"/>
        </w:rPr>
        <w:t xml:space="preserve">au 6.2.6.4 </w:t>
      </w:r>
      <w:r w:rsidRPr="000B05A3">
        <w:rPr>
          <w:lang w:val="fr-CH"/>
        </w:rPr>
        <w:t xml:space="preserve">(proposition 2) </w:t>
      </w:r>
      <w:r w:rsidR="007941B2">
        <w:rPr>
          <w:lang w:val="fr-CH"/>
        </w:rPr>
        <w:t xml:space="preserve">est obligatoire, comme c’est le cas pour les autres </w:t>
      </w:r>
      <w:r w:rsidRPr="000B05A3">
        <w:rPr>
          <w:lang w:val="fr-CH"/>
        </w:rPr>
        <w:t xml:space="preserve">normes citées en référence dans la section </w:t>
      </w:r>
      <w:r w:rsidR="007941B2">
        <w:rPr>
          <w:lang w:val="fr-CH"/>
        </w:rPr>
        <w:t>6.2 du RID et de l’</w:t>
      </w:r>
      <w:r w:rsidRPr="000B05A3">
        <w:rPr>
          <w:lang w:val="fr-CH"/>
        </w:rPr>
        <w:t>ADR.</w:t>
      </w:r>
    </w:p>
    <w:p w:rsidR="000B05A3" w:rsidRPr="000B05A3" w:rsidRDefault="00DE1390" w:rsidP="000B05A3">
      <w:pPr>
        <w:pStyle w:val="SingleTxt"/>
        <w:spacing w:after="0" w:line="240" w:lineRule="auto"/>
      </w:pPr>
      <w:r w:rsidRPr="00DE1390">
        <w:rPr>
          <w:noProof/>
          <w:w w:val="100"/>
          <w:lang w:val="en-US"/>
        </w:rPr>
        <w:pict>
          <v:line id="Straight Connector 4" o:spid="_x0000_s1026" style="position:absolute;left:0;text-align:left;z-index:251659264;visibility:visible;mso-position-horizontal-relative:page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<w10:wrap anchorx="page"/>
          </v:line>
        </w:pict>
      </w:r>
    </w:p>
    <w:sectPr w:rsidR="000B05A3" w:rsidRPr="000B05A3" w:rsidSect="00582B1E">
      <w:endnotePr>
        <w:numFmt w:val="decimal"/>
      </w:endnotePr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87" w:rsidRDefault="00953887" w:rsidP="00F3330B">
      <w:pPr>
        <w:spacing w:line="240" w:lineRule="auto"/>
      </w:pPr>
      <w:r>
        <w:separator/>
      </w:r>
    </w:p>
  </w:endnote>
  <w:endnote w:type="continuationSeparator" w:id="0">
    <w:p w:rsidR="00953887" w:rsidRDefault="00953887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582B1E" w:rsidTr="00582B1E">
      <w:trPr>
        <w:jc w:val="center"/>
      </w:trPr>
      <w:tc>
        <w:tcPr>
          <w:tcW w:w="5126" w:type="dxa"/>
          <w:shd w:val="clear" w:color="auto" w:fill="auto"/>
        </w:tcPr>
        <w:p w:rsidR="00582B1E" w:rsidRPr="00582B1E" w:rsidRDefault="00DE1390" w:rsidP="00582B1E">
          <w:pPr>
            <w:pStyle w:val="Pieddepage"/>
            <w:jc w:val="right"/>
            <w:rPr>
              <w:b w:val="0"/>
              <w:w w:val="103"/>
              <w:sz w:val="14"/>
            </w:rPr>
          </w:pPr>
          <w:fldSimple w:instr=" DOCVARIABLE &quot;FooterJN&quot; \* MERGEFORMAT ">
            <w:r w:rsidR="005C5992">
              <w:rPr>
                <w:b w:val="0"/>
                <w:w w:val="103"/>
                <w:sz w:val="14"/>
              </w:rPr>
              <w:t>GE.15-10959</w:t>
            </w:r>
          </w:fldSimple>
        </w:p>
      </w:tc>
      <w:tc>
        <w:tcPr>
          <w:tcW w:w="5127" w:type="dxa"/>
          <w:shd w:val="clear" w:color="auto" w:fill="auto"/>
        </w:tcPr>
        <w:p w:rsidR="00582B1E" w:rsidRPr="00582B1E" w:rsidRDefault="00DE1390" w:rsidP="00582B1E">
          <w:pPr>
            <w:pStyle w:val="Pieddepage"/>
            <w:rPr>
              <w:w w:val="103"/>
            </w:rPr>
          </w:pPr>
          <w:r>
            <w:rPr>
              <w:w w:val="103"/>
            </w:rPr>
            <w:fldChar w:fldCharType="begin"/>
          </w:r>
          <w:r w:rsidR="00582B1E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8679C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 w:rsidR="00582B1E">
            <w:rPr>
              <w:w w:val="103"/>
            </w:rPr>
            <w:t>/</w:t>
          </w:r>
          <w:fldSimple w:instr=" NUMPAGES  \* Arabic  \* MERGEFORMAT ">
            <w:r w:rsidR="0048679C">
              <w:rPr>
                <w:noProof/>
                <w:w w:val="103"/>
              </w:rPr>
              <w:t>3</w:t>
            </w:r>
          </w:fldSimple>
        </w:p>
      </w:tc>
    </w:tr>
  </w:tbl>
  <w:p w:rsidR="00582B1E" w:rsidRPr="00582B1E" w:rsidRDefault="00582B1E" w:rsidP="00582B1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jc w:val="center"/>
      <w:tblLayout w:type="fixed"/>
      <w:tblLook w:val="0000"/>
    </w:tblPr>
    <w:tblGrid>
      <w:gridCol w:w="5126"/>
      <w:gridCol w:w="5127"/>
    </w:tblGrid>
    <w:tr w:rsidR="00582B1E" w:rsidTr="00582B1E">
      <w:trPr>
        <w:jc w:val="center"/>
      </w:trPr>
      <w:tc>
        <w:tcPr>
          <w:tcW w:w="5126" w:type="dxa"/>
          <w:shd w:val="clear" w:color="auto" w:fill="auto"/>
        </w:tcPr>
        <w:p w:rsidR="00582B1E" w:rsidRPr="00582B1E" w:rsidRDefault="00DE1390" w:rsidP="00582B1E">
          <w:pPr>
            <w:pStyle w:val="Pieddepage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 w:rsidR="00582B1E"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48679C">
            <w:rPr>
              <w:noProof/>
              <w:w w:val="103"/>
            </w:rPr>
            <w:t>3</w:t>
          </w:r>
          <w:r>
            <w:rPr>
              <w:w w:val="103"/>
            </w:rPr>
            <w:fldChar w:fldCharType="end"/>
          </w:r>
          <w:r w:rsidR="00582B1E">
            <w:rPr>
              <w:w w:val="103"/>
            </w:rPr>
            <w:t>/</w:t>
          </w:r>
          <w:fldSimple w:instr=" NUMPAGES  \* Arabic  \* MERGEFORMAT ">
            <w:r w:rsidR="0048679C">
              <w:rPr>
                <w:noProof/>
                <w:w w:val="103"/>
              </w:rPr>
              <w:t>3</w:t>
            </w:r>
          </w:fldSimple>
        </w:p>
      </w:tc>
      <w:tc>
        <w:tcPr>
          <w:tcW w:w="5127" w:type="dxa"/>
          <w:shd w:val="clear" w:color="auto" w:fill="auto"/>
        </w:tcPr>
        <w:p w:rsidR="00582B1E" w:rsidRPr="00582B1E" w:rsidRDefault="00DE1390" w:rsidP="00582B1E">
          <w:pPr>
            <w:pStyle w:val="Pieddepage"/>
            <w:rPr>
              <w:b w:val="0"/>
              <w:w w:val="103"/>
              <w:sz w:val="14"/>
            </w:rPr>
          </w:pPr>
          <w:fldSimple w:instr=" DOCVARIABLE &quot;FooterJN&quot; \* MERGEFORMAT ">
            <w:r w:rsidR="005C5992">
              <w:rPr>
                <w:b w:val="0"/>
                <w:w w:val="103"/>
                <w:sz w:val="14"/>
              </w:rPr>
              <w:t>GE.15-10959</w:t>
            </w:r>
          </w:fldSimple>
        </w:p>
      </w:tc>
    </w:tr>
  </w:tbl>
  <w:p w:rsidR="00582B1E" w:rsidRPr="00582B1E" w:rsidRDefault="00582B1E" w:rsidP="00582B1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B1E" w:rsidRDefault="00582B1E">
    <w:pPr>
      <w:pStyle w:val="Pieddepag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15/AC.1/2015/49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15/AC.1/2015/49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</wp:anchor>
      </w:drawing>
    </w:r>
  </w:p>
  <w:tbl>
    <w:tblPr>
      <w:tblW w:w="0" w:type="auto"/>
      <w:tblLayout w:type="fixed"/>
      <w:tblLook w:val="0000"/>
    </w:tblPr>
    <w:tblGrid>
      <w:gridCol w:w="3859"/>
      <w:gridCol w:w="5127"/>
    </w:tblGrid>
    <w:tr w:rsidR="00582B1E" w:rsidTr="00582B1E">
      <w:tc>
        <w:tcPr>
          <w:tcW w:w="3859" w:type="dxa"/>
        </w:tcPr>
        <w:p w:rsidR="00582B1E" w:rsidRDefault="00DE1390" w:rsidP="00582B1E">
          <w:pPr>
            <w:pStyle w:val="Pieddepage"/>
            <w:rPr>
              <w:b w:val="0"/>
              <w:sz w:val="20"/>
            </w:rPr>
          </w:pPr>
          <w:fldSimple w:instr=" DOCVARIABLE &quot;jobn&quot; \* MERGEFORMAT ">
            <w:r w:rsidR="005C5992">
              <w:rPr>
                <w:b w:val="0"/>
                <w:sz w:val="20"/>
              </w:rPr>
              <w:t>GE.15-10959 (F)</w:t>
            </w:r>
          </w:fldSimple>
          <w:r w:rsidR="00582B1E">
            <w:rPr>
              <w:b w:val="0"/>
              <w:sz w:val="20"/>
            </w:rPr>
            <w:t xml:space="preserve">    090915    </w:t>
          </w:r>
          <w:proofErr w:type="spellStart"/>
          <w:r w:rsidR="00582B1E">
            <w:rPr>
              <w:b w:val="0"/>
              <w:sz w:val="20"/>
            </w:rPr>
            <w:t>090915</w:t>
          </w:r>
          <w:proofErr w:type="spellEnd"/>
        </w:p>
        <w:p w:rsidR="00582B1E" w:rsidRPr="00582B1E" w:rsidRDefault="00DE1390" w:rsidP="00582B1E">
          <w:pPr>
            <w:pStyle w:val="Pieddepage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fldSimple w:instr=" DOCVARIABLE &quot;Barcode&quot; \* MERGEFORMAT ">
            <w:r w:rsidR="005C5992">
              <w:rPr>
                <w:rFonts w:ascii="Barcode 3 of 9 by request" w:hAnsi="Barcode 3 of 9 by request"/>
                <w:b w:val="0"/>
                <w:spacing w:val="0"/>
                <w:w w:val="100"/>
                <w:sz w:val="24"/>
              </w:rPr>
              <w:t>*1510959*</w:t>
            </w:r>
          </w:fldSimple>
        </w:p>
      </w:tc>
      <w:tc>
        <w:tcPr>
          <w:tcW w:w="5127" w:type="dxa"/>
        </w:tcPr>
        <w:p w:rsidR="00582B1E" w:rsidRDefault="00582B1E" w:rsidP="00582B1E">
          <w:pPr>
            <w:pStyle w:val="Pieddepage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fr-FR" w:eastAsia="fr-FR"/>
            </w:rPr>
            <w:drawing>
              <wp:inline distT="0" distB="0" distL="0" distR="0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2B1E" w:rsidRPr="00582B1E" w:rsidRDefault="00582B1E" w:rsidP="00582B1E">
    <w:pPr>
      <w:pStyle w:val="Pieddepage"/>
      <w:spacing w:line="56" w:lineRule="exact"/>
      <w:rPr>
        <w:b w:val="0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87" w:rsidRPr="00A819A6" w:rsidRDefault="00953887" w:rsidP="00A819A6">
      <w:pPr>
        <w:pStyle w:val="Pieddepage"/>
        <w:spacing w:after="80"/>
        <w:ind w:left="792"/>
        <w:rPr>
          <w:sz w:val="16"/>
        </w:rPr>
      </w:pPr>
      <w:r w:rsidRPr="00A819A6">
        <w:rPr>
          <w:sz w:val="16"/>
        </w:rPr>
        <w:t>__________________</w:t>
      </w:r>
    </w:p>
  </w:footnote>
  <w:footnote w:type="continuationSeparator" w:id="0">
    <w:p w:rsidR="00953887" w:rsidRPr="00A819A6" w:rsidRDefault="00953887" w:rsidP="00A819A6">
      <w:pPr>
        <w:pStyle w:val="Pieddepage"/>
        <w:spacing w:after="80"/>
        <w:ind w:left="792"/>
        <w:rPr>
          <w:sz w:val="16"/>
        </w:rPr>
      </w:pPr>
      <w:r w:rsidRPr="00A819A6">
        <w:rPr>
          <w:sz w:val="16"/>
        </w:rPr>
        <w:t>__________________</w:t>
      </w:r>
    </w:p>
  </w:footnote>
  <w:footnote w:id="1">
    <w:p w:rsidR="00A819A6" w:rsidRPr="00A819A6" w:rsidRDefault="00A819A6" w:rsidP="00A819A6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spacing w:val="5"/>
          <w:w w:val="104"/>
          <w:lang w:val="fr-CH"/>
        </w:rPr>
      </w:pPr>
      <w:r>
        <w:tab/>
      </w:r>
      <w:r w:rsidRPr="00A819A6">
        <w:rPr>
          <w:rStyle w:val="Appelnotedebasdep"/>
          <w:color w:val="auto"/>
        </w:rPr>
        <w:footnoteRef/>
      </w:r>
      <w:r w:rsidRPr="00A819A6">
        <w:tab/>
        <w:t>Conformément au programme de travail du Comité des transports intérieurs pour la période 2014-2015</w:t>
      </w:r>
      <w:r>
        <w:t xml:space="preserve"> </w:t>
      </w:r>
      <w:r w:rsidRPr="00A819A6">
        <w:t>(ECE/TRANS/240, par. 100; ECE/TRANS/2014/23, module 9, par. 9.2).</w:t>
      </w:r>
    </w:p>
  </w:footnote>
  <w:footnote w:id="2">
    <w:p w:rsidR="00A819A6" w:rsidRPr="00A819A6" w:rsidRDefault="00A819A6" w:rsidP="00A819A6">
      <w:pPr>
        <w:pStyle w:val="Notedebasdepage"/>
        <w:widowControl w:val="0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jc w:val="both"/>
        <w:rPr>
          <w:spacing w:val="5"/>
          <w:w w:val="104"/>
          <w:lang w:val="fr-CH"/>
        </w:rPr>
      </w:pPr>
      <w:r w:rsidRPr="00A819A6">
        <w:tab/>
      </w:r>
      <w:r w:rsidRPr="00A819A6">
        <w:rPr>
          <w:rStyle w:val="Appelnotedebasdep"/>
          <w:color w:val="auto"/>
        </w:rPr>
        <w:footnoteRef/>
      </w:r>
      <w:r w:rsidRPr="00A819A6">
        <w:tab/>
        <w:t>Diffusée par l’Organisation intergouvernementale pour les transports internationaux ferroviaires (OTIF) sous la cote</w:t>
      </w:r>
      <w:r>
        <w:t xml:space="preserve"> OTIF/RID/RC/2015/49.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582B1E" w:rsidTr="00582B1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82B1E" w:rsidRPr="00582B1E" w:rsidRDefault="00DE1390" w:rsidP="00582B1E">
          <w:pPr>
            <w:pStyle w:val="En-tte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 w:rsidR="00582B1E"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5C5992">
            <w:rPr>
              <w:b/>
              <w:color w:val="000000"/>
            </w:rPr>
            <w:t>ECE/TRANS/WP.15/AC.1/2015/49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82B1E" w:rsidRDefault="00582B1E" w:rsidP="00582B1E">
          <w:pPr>
            <w:pStyle w:val="En-tte"/>
          </w:pPr>
        </w:p>
      </w:tc>
    </w:tr>
  </w:tbl>
  <w:p w:rsidR="00582B1E" w:rsidRPr="00582B1E" w:rsidRDefault="00582B1E" w:rsidP="00582B1E">
    <w:pPr>
      <w:pStyle w:val="En-tte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/>
    </w:tblPr>
    <w:tblGrid>
      <w:gridCol w:w="4882"/>
      <w:gridCol w:w="5127"/>
    </w:tblGrid>
    <w:tr w:rsidR="00582B1E" w:rsidTr="00582B1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82B1E" w:rsidRDefault="00582B1E" w:rsidP="00582B1E">
          <w:pPr>
            <w:pStyle w:val="En-tte"/>
          </w:pPr>
        </w:p>
      </w:tc>
      <w:tc>
        <w:tcPr>
          <w:tcW w:w="5127" w:type="dxa"/>
          <w:shd w:val="clear" w:color="auto" w:fill="auto"/>
          <w:vAlign w:val="bottom"/>
        </w:tcPr>
        <w:p w:rsidR="00582B1E" w:rsidRPr="00582B1E" w:rsidRDefault="00DE1390" w:rsidP="00582B1E">
          <w:pPr>
            <w:pStyle w:val="En-tte"/>
            <w:spacing w:after="80"/>
            <w:jc w:val="right"/>
            <w:rPr>
              <w:b/>
              <w:color w:val="000000"/>
            </w:rPr>
          </w:pPr>
          <w:fldSimple w:instr=" DOCVARIABLE &quot;sss1&quot; \* MERGEFORMAT ">
            <w:r w:rsidR="005C5992">
              <w:rPr>
                <w:b/>
                <w:color w:val="000000"/>
              </w:rPr>
              <w:t>ECE/TRANS/WP.15/AC.1/2015/49</w:t>
            </w:r>
          </w:fldSimple>
        </w:p>
      </w:tc>
    </w:tr>
  </w:tbl>
  <w:p w:rsidR="00582B1E" w:rsidRPr="00582B1E" w:rsidRDefault="00582B1E" w:rsidP="00582B1E">
    <w:pPr>
      <w:pStyle w:val="En-tte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7" w:type="dxa"/>
      <w:tblLayout w:type="fixed"/>
      <w:tblCellMar>
        <w:left w:w="0" w:type="dxa"/>
        <w:right w:w="0" w:type="dxa"/>
      </w:tblCellMar>
      <w:tblLook w:val="0000"/>
    </w:tblPr>
    <w:tblGrid>
      <w:gridCol w:w="1267"/>
      <w:gridCol w:w="2059"/>
      <w:gridCol w:w="58"/>
      <w:gridCol w:w="3110"/>
      <w:gridCol w:w="245"/>
      <w:gridCol w:w="3280"/>
      <w:gridCol w:w="18"/>
    </w:tblGrid>
    <w:tr w:rsidR="00582B1E" w:rsidTr="00582B1E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82B1E" w:rsidRDefault="00582B1E" w:rsidP="00582B1E">
          <w:pPr>
            <w:pStyle w:val="En-tte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82B1E" w:rsidRPr="00582B1E" w:rsidRDefault="00582B1E" w:rsidP="00582B1E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82B1E" w:rsidRDefault="00582B1E" w:rsidP="00582B1E">
          <w:pPr>
            <w:pStyle w:val="En-tte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82B1E" w:rsidRPr="00582B1E" w:rsidRDefault="00582B1E" w:rsidP="00582B1E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/TRANS/WP.15/AC.1/2015/49</w:t>
          </w:r>
        </w:p>
      </w:tc>
    </w:tr>
    <w:tr w:rsidR="00582B1E" w:rsidRPr="00582B1E" w:rsidTr="00582B1E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2B1E" w:rsidRPr="00582B1E" w:rsidRDefault="00582B1E" w:rsidP="00A819A6">
          <w:pPr>
            <w:pStyle w:val="En-tte"/>
            <w:spacing w:before="120" w:line="240" w:lineRule="auto"/>
            <w:ind w:left="-72"/>
            <w:jc w:val="center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2B1E" w:rsidRPr="00582B1E" w:rsidRDefault="00582B1E" w:rsidP="00582B1E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2B1E" w:rsidRPr="00582B1E" w:rsidRDefault="00582B1E" w:rsidP="00582B1E">
          <w:pPr>
            <w:pStyle w:val="En-tte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82B1E" w:rsidRPr="0048679C" w:rsidRDefault="00582B1E" w:rsidP="00582B1E">
          <w:pPr>
            <w:pStyle w:val="Distribution"/>
            <w:rPr>
              <w:color w:val="000000"/>
              <w:lang w:val="fr-FR"/>
            </w:rPr>
          </w:pPr>
          <w:proofErr w:type="spellStart"/>
          <w:r w:rsidRPr="0048679C">
            <w:rPr>
              <w:color w:val="000000"/>
              <w:lang w:val="fr-FR"/>
            </w:rPr>
            <w:t>Distr</w:t>
          </w:r>
          <w:proofErr w:type="spellEnd"/>
          <w:r w:rsidRPr="0048679C">
            <w:rPr>
              <w:color w:val="000000"/>
              <w:lang w:val="fr-FR"/>
            </w:rPr>
            <w:t>. générale</w:t>
          </w:r>
        </w:p>
        <w:p w:rsidR="00582B1E" w:rsidRPr="0048679C" w:rsidRDefault="00582B1E" w:rsidP="00582B1E">
          <w:pPr>
            <w:pStyle w:val="Publication"/>
            <w:rPr>
              <w:color w:val="000000"/>
              <w:lang w:val="fr-FR"/>
            </w:rPr>
          </w:pPr>
          <w:r w:rsidRPr="0048679C">
            <w:rPr>
              <w:color w:val="000000"/>
              <w:lang w:val="fr-FR"/>
            </w:rPr>
            <w:t>1</w:t>
          </w:r>
          <w:r w:rsidR="000B05A3" w:rsidRPr="0048679C">
            <w:rPr>
              <w:color w:val="000000"/>
              <w:vertAlign w:val="superscript"/>
              <w:lang w:val="fr-FR"/>
            </w:rPr>
            <w:t>er</w:t>
          </w:r>
          <w:r w:rsidRPr="0048679C">
            <w:rPr>
              <w:color w:val="000000"/>
              <w:lang w:val="fr-FR"/>
            </w:rPr>
            <w:t xml:space="preserve"> juillet 2015</w:t>
          </w:r>
        </w:p>
        <w:p w:rsidR="00582B1E" w:rsidRPr="0048679C" w:rsidRDefault="00582B1E" w:rsidP="00582B1E">
          <w:pPr>
            <w:rPr>
              <w:lang w:val="fr-FR"/>
            </w:rPr>
          </w:pPr>
          <w:r w:rsidRPr="0048679C">
            <w:rPr>
              <w:lang w:val="fr-FR"/>
            </w:rPr>
            <w:t>Français</w:t>
          </w:r>
        </w:p>
        <w:p w:rsidR="00582B1E" w:rsidRPr="0048679C" w:rsidRDefault="00582B1E" w:rsidP="00582B1E">
          <w:pPr>
            <w:pStyle w:val="Original"/>
            <w:rPr>
              <w:color w:val="000000"/>
              <w:lang w:val="fr-FR"/>
            </w:rPr>
          </w:pPr>
          <w:r w:rsidRPr="0048679C">
            <w:rPr>
              <w:color w:val="000000"/>
              <w:lang w:val="fr-FR"/>
            </w:rPr>
            <w:t>Original : anglais</w:t>
          </w:r>
        </w:p>
      </w:tc>
    </w:tr>
  </w:tbl>
  <w:p w:rsidR="00582B1E" w:rsidRPr="0048679C" w:rsidRDefault="00582B1E" w:rsidP="00582B1E">
    <w:pPr>
      <w:pStyle w:val="En-tte"/>
      <w:spacing w:line="240" w:lineRule="auto"/>
      <w:rPr>
        <w:sz w:val="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AF5"/>
    <w:multiLevelType w:val="singleLevel"/>
    <w:tmpl w:val="CB66AA9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1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12D06B23"/>
    <w:multiLevelType w:val="multilevel"/>
    <w:tmpl w:val="0A5CDD56"/>
    <w:lvl w:ilvl="0">
      <w:start w:val="1"/>
      <w:numFmt w:val="decimal"/>
      <w:pStyle w:val="Titre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Titre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re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27105"/>
    <w:multiLevelType w:val="hybridMultilevel"/>
    <w:tmpl w:val="8B50F004"/>
    <w:lvl w:ilvl="0" w:tplc="160AF946">
      <w:start w:val="1"/>
      <w:numFmt w:val="decimal"/>
      <w:lvlText w:val="%1."/>
      <w:lvlJc w:val="left"/>
      <w:pPr>
        <w:ind w:left="1747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6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8374BA"/>
    <w:multiLevelType w:val="singleLevel"/>
    <w:tmpl w:val="CB66AA9C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SortMethod w:val="0003"/>
  <w:defaultTabStop w:val="475"/>
  <w:hyphenationZone w:val="425"/>
  <w:doNotHyphenateCaps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pos w:val="sectEnd"/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</w:compat>
  <w:docVars>
    <w:docVar w:name="Barcode" w:val="*1510959*"/>
    <w:docVar w:name="CreationDt" w:val="9/9/2015 3:29: PM"/>
    <w:docVar w:name="DocCategory" w:val="Doc"/>
    <w:docVar w:name="DocType" w:val="Final"/>
    <w:docVar w:name="DutyStation" w:val="Geneva"/>
    <w:docVar w:name="FooterJN" w:val="GE.15-10959"/>
    <w:docVar w:name="jobn" w:val="GE.15-10959 (F)"/>
    <w:docVar w:name="jobnDT" w:val="GE.15-10959 (F)   090915"/>
    <w:docVar w:name="jobnDTDT" w:val="GE.15-10959 (F)   090915   090915"/>
    <w:docVar w:name="JobNo" w:val="GE.1510959F"/>
    <w:docVar w:name="JobNo2" w:val="GE.1514096F"/>
    <w:docVar w:name="LocalDrive" w:val="0"/>
    <w:docVar w:name="OandT" w:val="M. Deschamps"/>
    <w:docVar w:name="PaperSize" w:val="A4"/>
    <w:docVar w:name="sss1" w:val="ECE/TRANS/WP.15/AC.1/2015/49"/>
    <w:docVar w:name="sss2" w:val="-"/>
    <w:docVar w:name="Symbol1" w:val="ECE/TRANS/WP.15/AC.1/2015/49"/>
    <w:docVar w:name="Symbol2" w:val="-"/>
  </w:docVars>
  <w:rsids>
    <w:rsidRoot w:val="003F36D3"/>
    <w:rsid w:val="000015B8"/>
    <w:rsid w:val="000046A5"/>
    <w:rsid w:val="000055FB"/>
    <w:rsid w:val="00015E36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5A3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9018C"/>
    <w:rsid w:val="002A07EF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DCD"/>
    <w:rsid w:val="003E3E2D"/>
    <w:rsid w:val="003E3E48"/>
    <w:rsid w:val="003E47D8"/>
    <w:rsid w:val="003E4E03"/>
    <w:rsid w:val="003F108A"/>
    <w:rsid w:val="003F11A9"/>
    <w:rsid w:val="003F27A0"/>
    <w:rsid w:val="003F34C6"/>
    <w:rsid w:val="003F36D3"/>
    <w:rsid w:val="003F57D1"/>
    <w:rsid w:val="00401219"/>
    <w:rsid w:val="004039C7"/>
    <w:rsid w:val="004065B7"/>
    <w:rsid w:val="004066EB"/>
    <w:rsid w:val="00406E1E"/>
    <w:rsid w:val="00412FFE"/>
    <w:rsid w:val="00414C9D"/>
    <w:rsid w:val="00415A2B"/>
    <w:rsid w:val="00416293"/>
    <w:rsid w:val="004204AE"/>
    <w:rsid w:val="0042753D"/>
    <w:rsid w:val="004309B5"/>
    <w:rsid w:val="0043103D"/>
    <w:rsid w:val="00432662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679C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3F0"/>
    <w:rsid w:val="004F54A5"/>
    <w:rsid w:val="004F69D3"/>
    <w:rsid w:val="004F6B7C"/>
    <w:rsid w:val="005049A9"/>
    <w:rsid w:val="00505F1C"/>
    <w:rsid w:val="0050603C"/>
    <w:rsid w:val="00506B44"/>
    <w:rsid w:val="005100BC"/>
    <w:rsid w:val="0051451F"/>
    <w:rsid w:val="0051666F"/>
    <w:rsid w:val="0051772A"/>
    <w:rsid w:val="00517E8B"/>
    <w:rsid w:val="00520271"/>
    <w:rsid w:val="005208CD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669CA"/>
    <w:rsid w:val="00575199"/>
    <w:rsid w:val="00577899"/>
    <w:rsid w:val="00577BDD"/>
    <w:rsid w:val="005811A3"/>
    <w:rsid w:val="00582B1E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33A4"/>
    <w:rsid w:val="005B5D99"/>
    <w:rsid w:val="005B74B8"/>
    <w:rsid w:val="005C1353"/>
    <w:rsid w:val="005C3A63"/>
    <w:rsid w:val="005C5992"/>
    <w:rsid w:val="005C65C2"/>
    <w:rsid w:val="005D7CA9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53D8"/>
    <w:rsid w:val="006866E8"/>
    <w:rsid w:val="00687FB1"/>
    <w:rsid w:val="0069608C"/>
    <w:rsid w:val="00697952"/>
    <w:rsid w:val="006A04E6"/>
    <w:rsid w:val="006A0B3D"/>
    <w:rsid w:val="006A2F71"/>
    <w:rsid w:val="006A571D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4D2D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701934"/>
    <w:rsid w:val="007033D2"/>
    <w:rsid w:val="00704AF5"/>
    <w:rsid w:val="0070555E"/>
    <w:rsid w:val="00707DF8"/>
    <w:rsid w:val="00711F00"/>
    <w:rsid w:val="0071328D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0C8"/>
    <w:rsid w:val="007769D2"/>
    <w:rsid w:val="00780058"/>
    <w:rsid w:val="007804F4"/>
    <w:rsid w:val="00781F43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1B2"/>
    <w:rsid w:val="0079452A"/>
    <w:rsid w:val="00794EC6"/>
    <w:rsid w:val="00794FED"/>
    <w:rsid w:val="00795AD7"/>
    <w:rsid w:val="007961E2"/>
    <w:rsid w:val="007A3311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40F1"/>
    <w:rsid w:val="0082537E"/>
    <w:rsid w:val="00825C31"/>
    <w:rsid w:val="00833A79"/>
    <w:rsid w:val="00833BFF"/>
    <w:rsid w:val="0083677A"/>
    <w:rsid w:val="00837284"/>
    <w:rsid w:val="0083731D"/>
    <w:rsid w:val="00837549"/>
    <w:rsid w:val="008415FE"/>
    <w:rsid w:val="00842319"/>
    <w:rsid w:val="008435C2"/>
    <w:rsid w:val="00844B5C"/>
    <w:rsid w:val="00846431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5064A"/>
    <w:rsid w:val="00951A0B"/>
    <w:rsid w:val="009535B3"/>
    <w:rsid w:val="00953887"/>
    <w:rsid w:val="00953A36"/>
    <w:rsid w:val="00955DBA"/>
    <w:rsid w:val="00956A6F"/>
    <w:rsid w:val="00957244"/>
    <w:rsid w:val="00962CAC"/>
    <w:rsid w:val="00964BDE"/>
    <w:rsid w:val="009676D3"/>
    <w:rsid w:val="00970A5C"/>
    <w:rsid w:val="00971E24"/>
    <w:rsid w:val="0098128C"/>
    <w:rsid w:val="009813FE"/>
    <w:rsid w:val="00983DD0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4EB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83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DF2"/>
    <w:rsid w:val="00A54A5E"/>
    <w:rsid w:val="00A55810"/>
    <w:rsid w:val="00A56E3B"/>
    <w:rsid w:val="00A57C5A"/>
    <w:rsid w:val="00A64AD2"/>
    <w:rsid w:val="00A72C1F"/>
    <w:rsid w:val="00A72F5E"/>
    <w:rsid w:val="00A75482"/>
    <w:rsid w:val="00A761B5"/>
    <w:rsid w:val="00A819A6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06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73A1"/>
    <w:rsid w:val="00AF4648"/>
    <w:rsid w:val="00AF4DD3"/>
    <w:rsid w:val="00AF52A3"/>
    <w:rsid w:val="00AF649C"/>
    <w:rsid w:val="00AF6B78"/>
    <w:rsid w:val="00B01631"/>
    <w:rsid w:val="00B01D80"/>
    <w:rsid w:val="00B05198"/>
    <w:rsid w:val="00B0544B"/>
    <w:rsid w:val="00B06C4C"/>
    <w:rsid w:val="00B078C6"/>
    <w:rsid w:val="00B10BF5"/>
    <w:rsid w:val="00B118C7"/>
    <w:rsid w:val="00B145B5"/>
    <w:rsid w:val="00B152AC"/>
    <w:rsid w:val="00B16C8B"/>
    <w:rsid w:val="00B20969"/>
    <w:rsid w:val="00B22BE8"/>
    <w:rsid w:val="00B2356B"/>
    <w:rsid w:val="00B249F3"/>
    <w:rsid w:val="00B25B74"/>
    <w:rsid w:val="00B26B93"/>
    <w:rsid w:val="00B26C0B"/>
    <w:rsid w:val="00B27126"/>
    <w:rsid w:val="00B32CDE"/>
    <w:rsid w:val="00B34479"/>
    <w:rsid w:val="00B362BE"/>
    <w:rsid w:val="00B363A2"/>
    <w:rsid w:val="00B37213"/>
    <w:rsid w:val="00B41711"/>
    <w:rsid w:val="00B44EB6"/>
    <w:rsid w:val="00B503F3"/>
    <w:rsid w:val="00B504C9"/>
    <w:rsid w:val="00B5297E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B34AD"/>
    <w:rsid w:val="00BC05C8"/>
    <w:rsid w:val="00BC0F9A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6A04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2716"/>
    <w:rsid w:val="00CB5956"/>
    <w:rsid w:val="00CB60A9"/>
    <w:rsid w:val="00CC346A"/>
    <w:rsid w:val="00CC3EAA"/>
    <w:rsid w:val="00CD4A8B"/>
    <w:rsid w:val="00CD563C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47D7B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1999"/>
    <w:rsid w:val="00DD309E"/>
    <w:rsid w:val="00DE01B6"/>
    <w:rsid w:val="00DE1304"/>
    <w:rsid w:val="00DE1390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308B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07F03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1671"/>
    <w:rsid w:val="00F3240D"/>
    <w:rsid w:val="00F328DE"/>
    <w:rsid w:val="00F3330B"/>
    <w:rsid w:val="00F357CB"/>
    <w:rsid w:val="00F35CA0"/>
    <w:rsid w:val="00F36A57"/>
    <w:rsid w:val="00F4019F"/>
    <w:rsid w:val="00F40B13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Titre3Car">
    <w:name w:val="Titre 3 Car"/>
    <w:link w:val="Titre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Titre4Car">
    <w:name w:val="Titre 4 Car"/>
    <w:link w:val="Titre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Titre5Car">
    <w:name w:val="Titre 5 Car"/>
    <w:link w:val="Titre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Titre6Car">
    <w:name w:val="Titre 6 Car"/>
    <w:link w:val="Titre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lev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Sansinterligne">
    <w:name w:val="No Spacing"/>
    <w:uiPriority w:val="1"/>
    <w:rsid w:val="000055FB"/>
    <w:rPr>
      <w:sz w:val="22"/>
      <w:szCs w:val="22"/>
    </w:rPr>
  </w:style>
  <w:style w:type="character" w:customStyle="1" w:styleId="Titre1Car">
    <w:name w:val="Titre 1 Car"/>
    <w:link w:val="Titre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Pieddepage">
    <w:name w:val="footer"/>
    <w:link w:val="PieddepageC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PieddepageCar">
    <w:name w:val="Pied de page Car"/>
    <w:link w:val="Pieddepage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En-tte">
    <w:name w:val="header"/>
    <w:link w:val="En-tteC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En-tteCar">
    <w:name w:val="En-tête Car"/>
    <w:link w:val="En-tte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Numrodeligne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NotedebasdepageCar">
    <w:name w:val="Note de bas de page Car"/>
    <w:link w:val="Notedebasdepage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Titre7Car">
    <w:name w:val="Titre 7 Car"/>
    <w:link w:val="Titre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Titre8Car">
    <w:name w:val="Titre 8 Car"/>
    <w:link w:val="Titre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Titre9Car">
    <w:name w:val="Titre 9 Car"/>
    <w:link w:val="Titre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Paragraphedeliste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NotedefinCar">
    <w:name w:val="Note de fin Car"/>
    <w:link w:val="Notedefin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Appelnotedebasdep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Appeldenotedefin">
    <w:name w:val="endnote reference"/>
    <w:basedOn w:val="Policepardfau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Marquedecommentaire">
    <w:name w:val="annotation reference"/>
    <w:basedOn w:val="Policepardfaut"/>
    <w:uiPriority w:val="99"/>
    <w:semiHidden/>
    <w:unhideWhenUsed/>
    <w:rsid w:val="00582B1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2B1E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2B1E"/>
    <w:rPr>
      <w:rFonts w:ascii="Times New Roman" w:hAnsi="Times New Roman"/>
      <w:spacing w:val="4"/>
      <w:w w:val="103"/>
      <w:kern w:val="14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2B1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2B1E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 w:qFormat="1"/>
    <w:lsdException w:name="caption" w:uiPriority="35" w:qFormat="1"/>
    <w:lsdException w:name="line number" w:semiHidden="0" w:unhideWhenUsed="0" w:qFormat="1"/>
    <w:lsdException w:name="endnote reference" w:semiHidden="0" w:unhideWhenUsed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249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SingleTxt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link w:val="FootnoteText"/>
    <w:uiPriority w:val="99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uiPriority w:val="99"/>
    <w:semiHidden/>
    <w:rsid w:val="00915FB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82B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B1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2B1E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B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2B1E"/>
    <w:rPr>
      <w:rFonts w:ascii="Times New Roman" w:hAnsi="Times New Roman"/>
      <w:b/>
      <w:bCs/>
      <w:spacing w:val="4"/>
      <w:w w:val="103"/>
      <w:kern w:val="14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54075-32BD-4DC1-9E37-530FBCEE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Temporaire</dc:creator>
  <cp:lastModifiedBy>Maison</cp:lastModifiedBy>
  <cp:revision>2</cp:revision>
  <cp:lastPrinted>2015-09-09T15:19:00Z</cp:lastPrinted>
  <dcterms:created xsi:type="dcterms:W3CDTF">2015-09-09T17:08:00Z</dcterms:created>
  <dcterms:modified xsi:type="dcterms:W3CDTF">2015-09-09T17:08:00Z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1510959F</vt:lpwstr>
  </property>
  <property fmtid="{D5CDD505-2E9C-101B-9397-08002B2CF9AE}" pid="3" name="ODSRefJobNo">
    <vt:lpwstr>1514096F</vt:lpwstr>
  </property>
  <property fmtid="{D5CDD505-2E9C-101B-9397-08002B2CF9AE}" pid="4" name="Symbol1">
    <vt:lpwstr>ECE/TRANS/WP.15/AC.1/2015/49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M. Deschamps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1 juillet 2015</vt:lpwstr>
  </property>
  <property fmtid="{D5CDD505-2E9C-101B-9397-08002B2CF9AE}" pid="12" name="Original">
    <vt:lpwstr>anglais</vt:lpwstr>
  </property>
  <property fmtid="{D5CDD505-2E9C-101B-9397-08002B2CF9AE}" pid="13" name="Release Date">
    <vt:lpwstr>090915</vt:lpwstr>
  </property>
</Properties>
</file>