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5" w:rsidRPr="006F16EB" w:rsidRDefault="00FC68E5" w:rsidP="00FC68E5">
      <w:pPr>
        <w:spacing w:line="60" w:lineRule="exact"/>
        <w:rPr>
          <w:color w:val="010000"/>
          <w:sz w:val="6"/>
        </w:rPr>
        <w:sectPr w:rsidR="00FC68E5" w:rsidRPr="006F16EB" w:rsidSect="00FC68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F16EB" w:rsidRDefault="006F16EB" w:rsidP="006F16E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6F16EB" w:rsidRPr="006F16EB" w:rsidRDefault="006F16EB" w:rsidP="006F16EB">
      <w:pPr>
        <w:spacing w:line="120" w:lineRule="exact"/>
        <w:rPr>
          <w:sz w:val="10"/>
        </w:rPr>
      </w:pPr>
    </w:p>
    <w:p w:rsidR="006F16EB" w:rsidRPr="006F16EB" w:rsidRDefault="006F16EB" w:rsidP="006F16E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6F16EB">
        <w:rPr>
          <w:b w:val="0"/>
          <w:bCs/>
        </w:rPr>
        <w:t>Комитет по внутреннему транспорту</w:t>
      </w:r>
    </w:p>
    <w:p w:rsidR="006F16EB" w:rsidRPr="006F16EB" w:rsidRDefault="006F16EB" w:rsidP="006F16EB">
      <w:pPr>
        <w:spacing w:line="120" w:lineRule="exact"/>
        <w:rPr>
          <w:sz w:val="10"/>
        </w:rPr>
      </w:pPr>
    </w:p>
    <w:p w:rsidR="006F16EB" w:rsidRPr="006F16EB" w:rsidRDefault="006F16EB" w:rsidP="006F16E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  <w:r w:rsidRPr="006F16EB">
        <w:t xml:space="preserve"> </w:t>
      </w:r>
    </w:p>
    <w:p w:rsidR="006F16EB" w:rsidRPr="006F16EB" w:rsidRDefault="006F16EB" w:rsidP="006F16EB">
      <w:pPr>
        <w:spacing w:line="120" w:lineRule="exact"/>
        <w:rPr>
          <w:sz w:val="10"/>
        </w:rPr>
      </w:pPr>
    </w:p>
    <w:p w:rsidR="006F16EB" w:rsidRDefault="006F16EB" w:rsidP="006F16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Pr="006F16EB">
        <w:t xml:space="preserve"> </w:t>
      </w:r>
      <w:r w:rsidRPr="006F16EB">
        <w:br/>
      </w:r>
      <w:r>
        <w:t>и Рабочей группы по перевозкам опасных грузов</w:t>
      </w:r>
    </w:p>
    <w:p w:rsidR="006F16EB" w:rsidRDefault="006F16EB" w:rsidP="006F16EB">
      <w:r>
        <w:t>Женева, 15–25 сентября 2015 года</w:t>
      </w:r>
    </w:p>
    <w:p w:rsidR="006F16EB" w:rsidRDefault="006F16EB" w:rsidP="006F16EB">
      <w:r>
        <w:t>Пункт 3 b) предварительной повестки дня</w:t>
      </w:r>
    </w:p>
    <w:p w:rsidR="006F16EB" w:rsidRDefault="006F16EB" w:rsidP="006F16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Предложения о внесении поправок в МПОГ/ДОПОГ/ВОПОГ:</w:t>
      </w:r>
      <w:r w:rsidRPr="006F16EB">
        <w:t xml:space="preserve"> </w:t>
      </w:r>
      <w:r w:rsidRPr="006F16EB">
        <w:br/>
      </w:r>
      <w:r>
        <w:t>новые предложения</w:t>
      </w:r>
    </w:p>
    <w:p w:rsidR="006F16EB" w:rsidRPr="006F16EB" w:rsidRDefault="006F16EB" w:rsidP="006F16EB">
      <w:pPr>
        <w:pStyle w:val="SingleTxt"/>
        <w:spacing w:after="0" w:line="120" w:lineRule="exact"/>
        <w:rPr>
          <w:sz w:val="10"/>
        </w:rPr>
      </w:pPr>
    </w:p>
    <w:p w:rsidR="006F16EB" w:rsidRPr="006F16EB" w:rsidRDefault="006F16EB" w:rsidP="006F16EB">
      <w:pPr>
        <w:pStyle w:val="SingleTxt"/>
        <w:spacing w:after="0" w:line="120" w:lineRule="exact"/>
        <w:rPr>
          <w:sz w:val="10"/>
        </w:rPr>
      </w:pPr>
    </w:p>
    <w:p w:rsidR="006F16EB" w:rsidRPr="006F16EB" w:rsidRDefault="006F16EB" w:rsidP="006F16EB">
      <w:pPr>
        <w:pStyle w:val="SingleTxt"/>
        <w:spacing w:after="0" w:line="120" w:lineRule="exact"/>
        <w:rPr>
          <w:sz w:val="10"/>
        </w:rPr>
      </w:pPr>
    </w:p>
    <w:p w:rsidR="006F16EB" w:rsidRDefault="006F16EB" w:rsidP="006F16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Поправки к письменным инструкциям, изложенным в</w:t>
      </w:r>
      <w:r>
        <w:rPr>
          <w:lang w:val="en-US"/>
        </w:rPr>
        <w:t> </w:t>
      </w:r>
      <w:r>
        <w:t>разделе 5.4.3 МПОГ/ДОПОГ/ВОПОГ</w:t>
      </w:r>
    </w:p>
    <w:p w:rsidR="006F16EB" w:rsidRPr="006F16EB" w:rsidRDefault="006F16EB" w:rsidP="006F16EB">
      <w:pPr>
        <w:pStyle w:val="SingleTxt"/>
        <w:spacing w:after="0" w:line="120" w:lineRule="exact"/>
        <w:rPr>
          <w:sz w:val="10"/>
        </w:rPr>
      </w:pPr>
    </w:p>
    <w:p w:rsidR="006F16EB" w:rsidRPr="006F16EB" w:rsidRDefault="006F16EB" w:rsidP="006F16EB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правительством Румынии</w:t>
      </w:r>
      <w:r w:rsidR="00980303" w:rsidRPr="00980303">
        <w:rPr>
          <w:b w:val="0"/>
          <w:bCs/>
          <w:sz w:val="20"/>
          <w:szCs w:val="20"/>
          <w:vertAlign w:val="superscript"/>
        </w:rPr>
        <w:footnoteReference w:id="2"/>
      </w:r>
      <w:r w:rsidRPr="00980303">
        <w:rPr>
          <w:b w:val="0"/>
          <w:bCs/>
          <w:sz w:val="20"/>
          <w:szCs w:val="20"/>
          <w:vertAlign w:val="superscript"/>
        </w:rPr>
        <w:t xml:space="preserve">, </w:t>
      </w:r>
      <w:r w:rsidR="00980303" w:rsidRPr="00980303">
        <w:rPr>
          <w:b w:val="0"/>
          <w:bCs/>
          <w:sz w:val="20"/>
          <w:szCs w:val="20"/>
          <w:vertAlign w:val="superscript"/>
        </w:rPr>
        <w:footnoteReference w:id="3"/>
      </w:r>
    </w:p>
    <w:p w:rsidR="006F16EB" w:rsidRPr="006F16EB" w:rsidRDefault="006F16EB" w:rsidP="006F16EB">
      <w:pPr>
        <w:pStyle w:val="SingleTxt"/>
        <w:spacing w:after="0" w:line="120" w:lineRule="exact"/>
        <w:rPr>
          <w:sz w:val="10"/>
          <w:lang w:val="en-US"/>
        </w:rPr>
      </w:pPr>
    </w:p>
    <w:p w:rsidR="006F16EB" w:rsidRPr="006F16EB" w:rsidRDefault="006F16EB" w:rsidP="006F16EB">
      <w:pPr>
        <w:pStyle w:val="SingleTxt"/>
        <w:spacing w:after="0" w:line="120" w:lineRule="exact"/>
        <w:rPr>
          <w:sz w:val="10"/>
          <w:lang w:val="en-US"/>
        </w:rPr>
      </w:pPr>
    </w:p>
    <w:p w:rsidR="006F16EB" w:rsidRPr="006F16EB" w:rsidRDefault="006F16EB" w:rsidP="006F16EB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6F16EB" w:rsidTr="006F16EB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6F16EB" w:rsidRPr="006F16EB" w:rsidRDefault="006F16EB" w:rsidP="006F16EB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6F16EB" w:rsidRPr="006F16EB" w:rsidTr="006F16EB">
        <w:tc>
          <w:tcPr>
            <w:tcW w:w="10051" w:type="dxa"/>
            <w:shd w:val="clear" w:color="auto" w:fill="auto"/>
          </w:tcPr>
          <w:p w:rsidR="006F16EB" w:rsidRPr="006F16EB" w:rsidRDefault="006F16EB" w:rsidP="006F16EB">
            <w:pPr>
              <w:pStyle w:val="SingleTxt"/>
              <w:tabs>
                <w:tab w:val="clear" w:pos="1267"/>
              </w:tabs>
              <w:ind w:left="4143" w:hanging="2880"/>
            </w:pPr>
            <w:r w:rsidRPr="006F16EB">
              <w:rPr>
                <w:b/>
                <w:bCs/>
              </w:rPr>
              <w:t xml:space="preserve">Существо предложения: </w:t>
            </w:r>
            <w:r>
              <w:tab/>
              <w:t>Единый подход к положениям, касающимся письменных инструкций, в разделе 5.4.3.</w:t>
            </w:r>
          </w:p>
        </w:tc>
      </w:tr>
      <w:tr w:rsidR="006F16EB" w:rsidRPr="006F16EB" w:rsidTr="006F16EB">
        <w:tc>
          <w:tcPr>
            <w:tcW w:w="10051" w:type="dxa"/>
            <w:shd w:val="clear" w:color="auto" w:fill="auto"/>
          </w:tcPr>
          <w:p w:rsidR="006F16EB" w:rsidRPr="006F16EB" w:rsidRDefault="006F16EB" w:rsidP="00980303">
            <w:pPr>
              <w:pStyle w:val="SingleTxt"/>
              <w:tabs>
                <w:tab w:val="clear" w:pos="1267"/>
                <w:tab w:val="clear" w:pos="3658"/>
              </w:tabs>
              <w:ind w:left="4143" w:hanging="2880"/>
            </w:pPr>
            <w:r w:rsidRPr="006F16EB">
              <w:rPr>
                <w:b/>
                <w:bCs/>
              </w:rPr>
              <w:t xml:space="preserve">Предлагаемое решение: </w:t>
            </w:r>
            <w:r>
              <w:tab/>
              <w:t>Внести изменения в положения раздела 5.4.3.</w:t>
            </w:r>
          </w:p>
        </w:tc>
      </w:tr>
      <w:tr w:rsidR="006F16EB" w:rsidRPr="006F16EB" w:rsidTr="006F16EB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6F16EB" w:rsidRPr="006F16EB" w:rsidRDefault="006F16EB" w:rsidP="006F16EB">
            <w:pPr>
              <w:pStyle w:val="SingleTxt"/>
              <w:tabs>
                <w:tab w:val="clear" w:pos="1267"/>
              </w:tabs>
              <w:ind w:left="4143" w:hanging="2880"/>
            </w:pPr>
            <w:r w:rsidRPr="006F16EB"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  <w:t>ECE/TRANS/WP.15/AC.1/2015/1 и пункт 61 доклада о работе сессии Совместного совещания Комиссии экспертов МПОГ и Рабочей группы по перевозкам опасных грузов, состоявшейся в марте 2015 года (ECE/TRANS/WP.15/AC.1/138).</w:t>
            </w:r>
          </w:p>
        </w:tc>
      </w:tr>
      <w:tr w:rsidR="006F16EB" w:rsidRPr="006F16EB" w:rsidTr="006F16EB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6F16EB" w:rsidRPr="006F16EB" w:rsidRDefault="006F16EB" w:rsidP="006F16EB">
            <w:pPr>
              <w:pStyle w:val="SingleTxt"/>
            </w:pPr>
          </w:p>
        </w:tc>
      </w:tr>
    </w:tbl>
    <w:p w:rsidR="006F16EB" w:rsidRPr="006F16EB" w:rsidRDefault="006F16EB" w:rsidP="006F16EB">
      <w:pPr>
        <w:pStyle w:val="SingleTxt"/>
      </w:pPr>
    </w:p>
    <w:p w:rsidR="006F16EB" w:rsidRPr="006F16EB" w:rsidRDefault="006F16EB" w:rsidP="006F16EB">
      <w:pPr>
        <w:pStyle w:val="SingleTxt"/>
      </w:pPr>
    </w:p>
    <w:p w:rsidR="006F16EB" w:rsidRDefault="006F16EB" w:rsidP="00980303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  <w:t>Введение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6F16EB">
      <w:pPr>
        <w:pStyle w:val="SingleTxt"/>
      </w:pPr>
      <w:r>
        <w:t>1.</w:t>
      </w:r>
      <w:r>
        <w:tab/>
        <w:t>Делегация Румынии получила комментарии и замечания относительно тем, предложенных для обсуждения в пунктах 10–12 документа ECE/TRANS/WP.15/</w:t>
      </w:r>
      <w:r w:rsidR="00980303" w:rsidRPr="00980303">
        <w:t xml:space="preserve"> </w:t>
      </w:r>
      <w:r>
        <w:t>AC.1/2015/1, представленного на сессии Совместного совещания МПОГ/ДОПОГ в марте 2015 года.</w:t>
      </w:r>
    </w:p>
    <w:p w:rsidR="006F16EB" w:rsidRDefault="006F16EB" w:rsidP="006F16EB">
      <w:pPr>
        <w:pStyle w:val="SingleTxt"/>
      </w:pPr>
      <w:r>
        <w:t>2.</w:t>
      </w:r>
      <w:r>
        <w:tab/>
        <w:t>Как упоминалось в пункте 61 доклада о работе мартовской сессии 2015 года, экспертам было предложено поделиться опытом по ряду вопросов, касающихся содержания раздела 5.4.3 в правилах, регулирующих перевозку различными видами транспорта.</w:t>
      </w:r>
    </w:p>
    <w:p w:rsidR="006F16EB" w:rsidRDefault="006F16EB" w:rsidP="006F16EB">
      <w:pPr>
        <w:pStyle w:val="SingleTxt"/>
      </w:pPr>
      <w:r>
        <w:t>3.</w:t>
      </w:r>
      <w:r>
        <w:tab/>
        <w:t>Соответственно, для урегулирования некоторых из проблем, описанных в пунктах 10 и 11 документа ECE/TRANS/WP.15/AC.1/2015/1, предлагается ряд решений.</w:t>
      </w:r>
    </w:p>
    <w:p w:rsidR="006F16EB" w:rsidRDefault="006F16EB" w:rsidP="006F16EB">
      <w:pPr>
        <w:pStyle w:val="SingleTxt"/>
      </w:pPr>
      <w:r>
        <w:t>4.</w:t>
      </w:r>
      <w:r>
        <w:tab/>
        <w:t>Мы руководствовались целью не вносить в письменные инструкции изменений без веской причины. Существующие тексты предлагается переформулировать в целях применения единого подхода.</w:t>
      </w:r>
    </w:p>
    <w:p w:rsidR="006F16EB" w:rsidRDefault="006F16EB" w:rsidP="006F16EB">
      <w:pPr>
        <w:pStyle w:val="SingleTxt"/>
      </w:pPr>
      <w:r>
        <w:t>5.</w:t>
      </w:r>
      <w:r>
        <w:tab/>
        <w:t>После того, как в издание ДОПОГ 2009 года были включены письменные инструкции, они претерпевали изменения в его изданиях 2011 года и 2015 года, когда была предусмотрена переходная мера, которая продлится до 2017 года. После их включения в издания МПОГ и ВОПОГ 2011 года они были изменены в соответствующих изданиях 2015 года, но переходной меры предусмотрено не было.</w:t>
      </w:r>
    </w:p>
    <w:p w:rsidR="006F16EB" w:rsidRDefault="006F16EB" w:rsidP="006F16EB">
      <w:pPr>
        <w:pStyle w:val="SingleTxt"/>
      </w:pPr>
      <w:r>
        <w:t>6.</w:t>
      </w:r>
      <w:r>
        <w:tab/>
        <w:t>Признавая трудности, которые могли бы возникнуть в результате еще одного изменения письменных инструкций, мы тем не менее предлагаем Совместному совещанию рассмотреть следующие аргументы в пользу внесения поправок в текст раздела 5.4.3.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Предложения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6F16EB">
      <w:pPr>
        <w:pStyle w:val="SingleTxt"/>
      </w:pPr>
      <w:r>
        <w:t>7.</w:t>
      </w:r>
      <w:r>
        <w:tab/>
        <w:t>Предлагается оформить настоящий документ таким образом, чтобы была видна тесная связь между каждым аргументом и вытекающим из него предложением.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1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036FD8">
      <w:pPr>
        <w:pStyle w:val="SingleTxt"/>
      </w:pPr>
      <w:r>
        <w:t>8.</w:t>
      </w:r>
      <w:r>
        <w:tab/>
        <w:t xml:space="preserve">Включить в колонку 2 </w:t>
      </w:r>
      <w:r w:rsidR="00980303">
        <w:t>–</w:t>
      </w:r>
      <w:r>
        <w:t xml:space="preserve"> характеристики опасных свойств </w:t>
      </w:r>
      <w:r w:rsidR="00980303">
        <w:t>–</w:t>
      </w:r>
      <w:r>
        <w:t xml:space="preserve"> таблицы с письменными инструкциями в соответствии с </w:t>
      </w:r>
      <w:r w:rsidRPr="00D35460">
        <w:rPr>
          <w:b/>
          <w:bCs/>
        </w:rPr>
        <w:t>МПОГ</w:t>
      </w:r>
      <w:r>
        <w:t xml:space="preserve"> "Риск ожогов" в отношении класса 9. Таким образом, на всех видах транспорта будут предусмотрены одни и те же опасные свойства для классов опасных грузов.</w:t>
      </w:r>
    </w:p>
    <w:p w:rsidR="006F16EB" w:rsidRDefault="006F16EB" w:rsidP="006F16EB">
      <w:pPr>
        <w:pStyle w:val="SingleTxt"/>
      </w:pPr>
      <w:r>
        <w:t>9.</w:t>
      </w:r>
      <w:r>
        <w:tab/>
        <w:t xml:space="preserve">В качестве варианта можно было бы рассмотреть возможность включения конкретного опасного свойства напротив маркировочного знака веществ при повышенной температуре в </w:t>
      </w:r>
      <w:r w:rsidRPr="00D35460">
        <w:rPr>
          <w:b/>
          <w:bCs/>
        </w:rPr>
        <w:t>МПОГ</w:t>
      </w:r>
      <w:r>
        <w:t xml:space="preserve"> и удаления риска ожогов в </w:t>
      </w:r>
      <w:r w:rsidRPr="00D35460">
        <w:rPr>
          <w:b/>
          <w:bCs/>
        </w:rPr>
        <w:t>ДОПОГ</w:t>
      </w:r>
      <w:r>
        <w:t xml:space="preserve"> и </w:t>
      </w:r>
      <w:r w:rsidRPr="00D35460">
        <w:rPr>
          <w:b/>
          <w:bCs/>
        </w:rPr>
        <w:t>ВОПОГ</w:t>
      </w:r>
      <w:r>
        <w:t>, куда он был включен напротив знака опасности класса 9.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Вариант 1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036FD8">
      <w:pPr>
        <w:pStyle w:val="SingleTxt"/>
      </w:pPr>
      <w:r>
        <w:t>10.</w:t>
      </w:r>
      <w:r>
        <w:tab/>
        <w:t xml:space="preserve">Включить в колонку 2 </w:t>
      </w:r>
      <w:r w:rsidR="00980303">
        <w:t>–</w:t>
      </w:r>
      <w:r>
        <w:t xml:space="preserve"> характеристики опасных свойств </w:t>
      </w:r>
      <w:r w:rsidR="00980303">
        <w:t>–</w:t>
      </w:r>
      <w:r>
        <w:t xml:space="preserve"> таблицы с письменными инструкциями в соответствии с </w:t>
      </w:r>
      <w:r w:rsidRPr="00D35460">
        <w:rPr>
          <w:b/>
          <w:bCs/>
        </w:rPr>
        <w:t>МПОГ</w:t>
      </w:r>
      <w:r>
        <w:t xml:space="preserve"> "Риск ожогов" перед "Риск пожара" применительно к знаку опасности и информационному табло класса 9 в колонке 1; или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Вариант 2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036FD8">
      <w:pPr>
        <w:pStyle w:val="SingleTxt"/>
      </w:pPr>
      <w:r>
        <w:t>11.</w:t>
      </w:r>
      <w:r>
        <w:tab/>
        <w:t xml:space="preserve">Удалить из колонки 2 </w:t>
      </w:r>
      <w:r w:rsidR="00980303">
        <w:t>–</w:t>
      </w:r>
      <w:r>
        <w:t xml:space="preserve"> характеристики опасных свойств </w:t>
      </w:r>
      <w:r w:rsidR="00980303">
        <w:t>–</w:t>
      </w:r>
      <w:r>
        <w:t xml:space="preserve"> таблицы с письменными инструкциями в соответствии с </w:t>
      </w:r>
      <w:r w:rsidRPr="00D35460">
        <w:rPr>
          <w:b/>
          <w:bCs/>
        </w:rPr>
        <w:t>ДОПОГ</w:t>
      </w:r>
      <w:r>
        <w:t xml:space="preserve"> и </w:t>
      </w:r>
      <w:r w:rsidRPr="00D35460">
        <w:rPr>
          <w:b/>
          <w:bCs/>
        </w:rPr>
        <w:t>ВОПОГ</w:t>
      </w:r>
      <w:r>
        <w:t xml:space="preserve"> "Риск ожогов" применительно к знаку опасности и информационному табло класса 9 в колонке</w:t>
      </w:r>
      <w:r w:rsidR="00036FD8">
        <w:rPr>
          <w:lang w:val="en-US"/>
        </w:rPr>
        <w:t> </w:t>
      </w:r>
      <w:r>
        <w:t>1.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2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6F16EB">
      <w:pPr>
        <w:pStyle w:val="SingleTxt"/>
      </w:pPr>
      <w:r>
        <w:t>12.</w:t>
      </w:r>
      <w:r>
        <w:tab/>
        <w:t>Для устранения противоречия между положениями подраздела 5.4.3.4 и примечанием 2 к письменным инструкциям для всех видов транспорта предлагается следующая поправка: заменить "</w:t>
      </w:r>
      <w:r w:rsidRPr="00D35460">
        <w:rPr>
          <w:i/>
          <w:iCs/>
        </w:rPr>
        <w:t>адаптироваться</w:t>
      </w:r>
      <w:r>
        <w:t>" на "</w:t>
      </w:r>
      <w:r w:rsidRPr="00D35460">
        <w:rPr>
          <w:i/>
          <w:iCs/>
        </w:rPr>
        <w:t>дополняться отдельной страницей</w:t>
      </w:r>
      <w:r>
        <w:t xml:space="preserve">" в примечании 2. Это позволило бы добавить файл с дополнительными руководящими указаниями (например, с указанием номера телефона экстренной связи, контактного лица и т.д.), если перевозчик или грузоотправитель сочтут это необходимым. Соответственно, необходимо изменить формулировку заключительной части соответствующего текста в </w:t>
      </w:r>
      <w:r w:rsidRPr="00D35460">
        <w:rPr>
          <w:b/>
          <w:bCs/>
        </w:rPr>
        <w:t>МПОГ</w:t>
      </w:r>
      <w:r>
        <w:t>.</w:t>
      </w:r>
    </w:p>
    <w:p w:rsidR="006F16EB" w:rsidRDefault="006F16EB" w:rsidP="006F16EB">
      <w:pPr>
        <w:pStyle w:val="SingleTxt"/>
      </w:pPr>
      <w:r>
        <w:t>13.</w:t>
      </w:r>
      <w:r>
        <w:tab/>
        <w:t>Изменить текст примечания 2 на стр. 3 письменных инструкций для всех видов транспорта следующим образом:</w:t>
      </w:r>
    </w:p>
    <w:p w:rsidR="006F16EB" w:rsidRDefault="006F16EB" w:rsidP="006F16EB">
      <w:pPr>
        <w:pStyle w:val="SingleTxt"/>
      </w:pPr>
      <w:r w:rsidRPr="00D35460">
        <w:rPr>
          <w:b/>
          <w:bCs/>
        </w:rPr>
        <w:t>ДОПОГ</w:t>
      </w:r>
      <w:r>
        <w:t xml:space="preserve"> и </w:t>
      </w:r>
      <w:r w:rsidRPr="00D35460">
        <w:rPr>
          <w:b/>
          <w:bCs/>
        </w:rPr>
        <w:t>ВОПОГ</w:t>
      </w:r>
      <w:r>
        <w:t>:</w:t>
      </w:r>
    </w:p>
    <w:p w:rsidR="006F16EB" w:rsidRDefault="006F16EB" w:rsidP="006F16EB">
      <w:pPr>
        <w:pStyle w:val="SingleTxt"/>
      </w:pPr>
      <w:r>
        <w:t>"</w:t>
      </w:r>
      <w:r w:rsidRPr="00036FD8">
        <w:rPr>
          <w:b/>
          <w:bCs/>
          <w:i/>
          <w:iCs/>
        </w:rPr>
        <w:t>ПРИМЕЧАНИЕ 2</w:t>
      </w:r>
      <w:r w:rsidRPr="00036FD8">
        <w:rPr>
          <w:i/>
          <w:iCs/>
        </w:rPr>
        <w:t xml:space="preserve">: </w:t>
      </w:r>
      <w:r>
        <w:tab/>
      </w:r>
      <w:r w:rsidRPr="00D35460">
        <w:rPr>
          <w:i/>
          <w:iCs/>
        </w:rPr>
        <w:t xml:space="preserve">Вышеприведенные дополнительные указания могут </w:t>
      </w:r>
      <w:r w:rsidRPr="00D35460">
        <w:rPr>
          <w:i/>
          <w:iCs/>
          <w:strike/>
        </w:rPr>
        <w:t>адаптироваться</w:t>
      </w:r>
      <w:r w:rsidRPr="00D35460">
        <w:rPr>
          <w:i/>
          <w:iCs/>
        </w:rPr>
        <w:t xml:space="preserve"> </w:t>
      </w:r>
      <w:r w:rsidRPr="00D35460">
        <w:rPr>
          <w:i/>
          <w:iCs/>
          <w:u w:val="single"/>
        </w:rPr>
        <w:t>дополняться отдельной страницей</w:t>
      </w:r>
      <w:r w:rsidRPr="00D35460">
        <w:rPr>
          <w:i/>
          <w:iCs/>
        </w:rPr>
        <w:t xml:space="preserve"> с учетом классов опасных грузов, подлежащих перевозке, и используемых средств перевозки</w:t>
      </w:r>
      <w:r>
        <w:t>".</w:t>
      </w:r>
    </w:p>
    <w:p w:rsidR="006F16EB" w:rsidRDefault="006F16EB" w:rsidP="006F16EB">
      <w:pPr>
        <w:pStyle w:val="SingleTxt"/>
      </w:pPr>
      <w:r w:rsidRPr="00D35460">
        <w:rPr>
          <w:b/>
          <w:bCs/>
        </w:rPr>
        <w:t>МПОГ</w:t>
      </w:r>
      <w:r>
        <w:t>:</w:t>
      </w:r>
    </w:p>
    <w:p w:rsidR="006F16EB" w:rsidRDefault="006F16EB" w:rsidP="006F16EB">
      <w:pPr>
        <w:pStyle w:val="SingleTxt"/>
      </w:pPr>
      <w:r>
        <w:t>"</w:t>
      </w:r>
      <w:r w:rsidRPr="00036FD8">
        <w:rPr>
          <w:b/>
          <w:bCs/>
          <w:i/>
          <w:iCs/>
        </w:rPr>
        <w:t>ПРИМЕЧАНИЕ 2</w:t>
      </w:r>
      <w:r w:rsidRPr="00036FD8">
        <w:rPr>
          <w:i/>
          <w:iCs/>
        </w:rPr>
        <w:t>:</w:t>
      </w:r>
      <w:r>
        <w:t xml:space="preserve"> </w:t>
      </w:r>
      <w:r>
        <w:tab/>
      </w:r>
      <w:r w:rsidRPr="00D35460">
        <w:rPr>
          <w:i/>
          <w:iCs/>
        </w:rPr>
        <w:t xml:space="preserve">Вышеприведенные дополнительные указания могут </w:t>
      </w:r>
      <w:r w:rsidRPr="00D35460">
        <w:rPr>
          <w:i/>
          <w:iCs/>
          <w:strike/>
        </w:rPr>
        <w:t>адаптироваться</w:t>
      </w:r>
      <w:r w:rsidRPr="00D35460">
        <w:rPr>
          <w:i/>
          <w:iCs/>
        </w:rPr>
        <w:t xml:space="preserve"> </w:t>
      </w:r>
      <w:r w:rsidRPr="00D35460">
        <w:rPr>
          <w:i/>
          <w:iCs/>
          <w:u w:val="single"/>
        </w:rPr>
        <w:t>дополняться отдельной страницей</w:t>
      </w:r>
      <w:r w:rsidRPr="00D35460">
        <w:rPr>
          <w:i/>
          <w:iCs/>
        </w:rPr>
        <w:t xml:space="preserve"> с учетом классов опасных грузов, подлежащих перевозке, и используемых средств перевозки и, в случае необходимости, </w:t>
      </w:r>
      <w:r w:rsidRPr="00D35460">
        <w:rPr>
          <w:i/>
          <w:iCs/>
          <w:strike/>
        </w:rPr>
        <w:t>путем дополнения их</w:t>
      </w:r>
      <w:r w:rsidRPr="00D35460">
        <w:rPr>
          <w:i/>
          <w:iCs/>
        </w:rPr>
        <w:t xml:space="preserve"> существующими национальными спецификациями</w:t>
      </w:r>
      <w:r>
        <w:t>".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3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6F16EB">
      <w:pPr>
        <w:pStyle w:val="SingleTxt"/>
      </w:pPr>
      <w:r>
        <w:t>14.</w:t>
      </w:r>
      <w:r>
        <w:tab/>
        <w:t>Исключение термина "</w:t>
      </w:r>
      <w:r w:rsidRPr="00D35460">
        <w:rPr>
          <w:i/>
          <w:iCs/>
        </w:rPr>
        <w:t>адаптироваться</w:t>
      </w:r>
      <w:r>
        <w:t xml:space="preserve">" в примечании 2 на стр. 3 письменных инструкций </w:t>
      </w:r>
      <w:r w:rsidRPr="00D35460">
        <w:rPr>
          <w:b/>
          <w:bCs/>
        </w:rPr>
        <w:t>МПОГ</w:t>
      </w:r>
      <w:r>
        <w:t xml:space="preserve"> требует изменения текста в подразделе 5.4.3.4 для того, чтобы определить не только содержание, но и форму письменных инструкций. Это предложение не преследует цели ограничить или установить размер документа, содержащего письменные инструкции в соответствии с </w:t>
      </w:r>
      <w:r w:rsidRPr="00D35460">
        <w:rPr>
          <w:b/>
          <w:bCs/>
        </w:rPr>
        <w:t>МПОГ</w:t>
      </w:r>
      <w:r>
        <w:t>/</w:t>
      </w:r>
      <w:r w:rsidRPr="00D35460">
        <w:rPr>
          <w:b/>
          <w:bCs/>
        </w:rPr>
        <w:t>ДОПОГ</w:t>
      </w:r>
      <w:r>
        <w:t>/</w:t>
      </w:r>
      <w:r w:rsidRPr="00D35460">
        <w:rPr>
          <w:b/>
          <w:bCs/>
        </w:rPr>
        <w:t>ВОПОГ</w:t>
      </w:r>
      <w:r>
        <w:t>.</w:t>
      </w:r>
    </w:p>
    <w:p w:rsidR="006F16EB" w:rsidRDefault="006F16EB" w:rsidP="006F16EB">
      <w:pPr>
        <w:pStyle w:val="SingleTxt"/>
      </w:pPr>
      <w:r>
        <w:t>15.</w:t>
      </w:r>
      <w:r>
        <w:tab/>
        <w:t xml:space="preserve">В тексте подраздела 5.4.3.4 </w:t>
      </w:r>
      <w:r w:rsidRPr="00D35460">
        <w:rPr>
          <w:b/>
          <w:bCs/>
        </w:rPr>
        <w:t>МПОГ</w:t>
      </w:r>
      <w:r>
        <w:t xml:space="preserve"> на английском языке предлагается также заменить глагольную форму "</w:t>
      </w:r>
      <w:r w:rsidRPr="00D35460">
        <w:rPr>
          <w:i/>
          <w:iCs/>
        </w:rPr>
        <w:t>should</w:t>
      </w:r>
      <w:r>
        <w:t>" на "</w:t>
      </w:r>
      <w:r w:rsidRPr="00D35460">
        <w:rPr>
          <w:i/>
          <w:iCs/>
        </w:rPr>
        <w:t>shall</w:t>
      </w:r>
      <w:r>
        <w:t>".</w:t>
      </w:r>
    </w:p>
    <w:p w:rsidR="006F16EB" w:rsidRDefault="006F16EB" w:rsidP="00D35460">
      <w:pPr>
        <w:pStyle w:val="SingleTxt"/>
      </w:pPr>
      <w:r>
        <w:t>16.</w:t>
      </w:r>
      <w:r>
        <w:tab/>
      </w:r>
      <w:r w:rsidR="00D35460">
        <w:t xml:space="preserve">Изменить текст подраздела 5.4.3.4 </w:t>
      </w:r>
      <w:r w:rsidRPr="00D35460">
        <w:rPr>
          <w:b/>
          <w:bCs/>
        </w:rPr>
        <w:t>МПОГ</w:t>
      </w:r>
      <w:r>
        <w:t xml:space="preserve"> следующим образом:</w:t>
      </w:r>
    </w:p>
    <w:p w:rsidR="006F16EB" w:rsidRDefault="006F16EB" w:rsidP="006F16EB">
      <w:pPr>
        <w:pStyle w:val="SingleTxt"/>
      </w:pPr>
      <w:r>
        <w:t>"5.4.3.4</w:t>
      </w:r>
      <w:r>
        <w:tab/>
        <w:t xml:space="preserve">По </w:t>
      </w:r>
      <w:r w:rsidRPr="00D35460">
        <w:rPr>
          <w:u w:val="single"/>
        </w:rPr>
        <w:t>форме и</w:t>
      </w:r>
      <w:r>
        <w:t xml:space="preserve"> содержанию письменные инструкции должны соответствовать следующему четырехстраничному образцу".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4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E3764">
      <w:pPr>
        <w:pStyle w:val="SingleTxt"/>
      </w:pPr>
      <w:r>
        <w:t>17.</w:t>
      </w:r>
      <w:r>
        <w:tab/>
        <w:t xml:space="preserve">Изменение, предложенное для вводного текста, касающегося средств защиты, на стр. 4 письменных инструкций в соответствии с </w:t>
      </w:r>
      <w:r w:rsidRPr="00D35460">
        <w:rPr>
          <w:b/>
          <w:bCs/>
        </w:rPr>
        <w:t>МПОГ</w:t>
      </w:r>
      <w:r>
        <w:t>, призвано упорядочить использование таких средств. Нынешний текст сформулирован таким образом, что он не предполагает их использования: "</w:t>
      </w:r>
      <w:r w:rsidRPr="00D35460">
        <w:rPr>
          <w:i/>
          <w:iCs/>
        </w:rPr>
        <w:t>В кабине водителя должно перевозиться следующее снаряжение</w:t>
      </w:r>
      <w:r w:rsidRPr="009E3764">
        <w:rPr>
          <w:i/>
          <w:iCs/>
          <w:vertAlign w:val="superscript"/>
        </w:rPr>
        <w:t>а</w:t>
      </w:r>
      <w:r>
        <w:t>". В положениях подразделов 5.4.3.2 и 5.4.3.3 не упоминается использование средств защиты, и принятие мер с помощью таких средств, перевозимых в кабине водителя, является обязанностью водителя.</w:t>
      </w:r>
    </w:p>
    <w:p w:rsidR="006F16EB" w:rsidRDefault="006F16EB" w:rsidP="006F16EB">
      <w:pPr>
        <w:pStyle w:val="SingleTxt"/>
      </w:pPr>
      <w:r>
        <w:t>18.</w:t>
      </w:r>
      <w:r>
        <w:tab/>
        <w:t xml:space="preserve">Изменить вводный текст, касающийся средств защиты, на стр. 4 письменных инструкций в соответствии с </w:t>
      </w:r>
      <w:r w:rsidRPr="009E3764">
        <w:rPr>
          <w:b/>
          <w:bCs/>
        </w:rPr>
        <w:t>МПОГ</w:t>
      </w:r>
      <w:r>
        <w:t xml:space="preserve"> следующим образом:</w:t>
      </w:r>
    </w:p>
    <w:p w:rsidR="006F16EB" w:rsidRDefault="006F16EB" w:rsidP="009E3764">
      <w:pPr>
        <w:pStyle w:val="SingleTxt"/>
      </w:pPr>
      <w:r>
        <w:t>"</w:t>
      </w:r>
      <w:r w:rsidRPr="009E3764">
        <w:rPr>
          <w:i/>
          <w:iCs/>
        </w:rPr>
        <w:t>В кабине водителя должно перевозиться следующее снаряжение</w:t>
      </w:r>
      <w:r w:rsidRPr="009E3764">
        <w:rPr>
          <w:i/>
          <w:iCs/>
          <w:vertAlign w:val="superscript"/>
        </w:rPr>
        <w:t>а</w:t>
      </w:r>
      <w:r w:rsidRPr="009E3764">
        <w:rPr>
          <w:i/>
          <w:iCs/>
          <w:u w:val="single"/>
        </w:rPr>
        <w:t>, предназначенное для личного пользования</w:t>
      </w:r>
      <w:r>
        <w:t>".</w:t>
      </w:r>
    </w:p>
    <w:p w:rsidR="006F16EB" w:rsidRDefault="006F16EB" w:rsidP="006F16EB">
      <w:pPr>
        <w:pStyle w:val="SingleTxt"/>
      </w:pPr>
      <w:r>
        <w:t xml:space="preserve">Текст подстрочного примечания </w:t>
      </w:r>
      <w:r w:rsidRPr="009E3764">
        <w:rPr>
          <w:i/>
          <w:iCs/>
        </w:rPr>
        <w:t>а</w:t>
      </w:r>
      <w:r>
        <w:t xml:space="preserve"> остается без изменений.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5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SingleTxt"/>
      </w:pPr>
      <w:r>
        <w:t>19.</w:t>
      </w:r>
      <w:r>
        <w:tab/>
        <w:t xml:space="preserve">Изменение, предложенное для вводного текста, касающегося средств защиты, на стр. 4 письменных инструкций в соответствии с </w:t>
      </w:r>
      <w:r w:rsidRPr="009E3764">
        <w:rPr>
          <w:b/>
          <w:bCs/>
        </w:rPr>
        <w:t>ДОПОГ</w:t>
      </w:r>
      <w:r>
        <w:t xml:space="preserve">, призвано упорядочить использование </w:t>
      </w:r>
      <w:r w:rsidRPr="009E3764">
        <w:rPr>
          <w:i/>
          <w:iCs/>
        </w:rPr>
        <w:t>транспортной единицы</w:t>
      </w:r>
      <w:r>
        <w:t>. В нынешней формулировке использован термин "</w:t>
      </w:r>
      <w:r w:rsidRPr="009E3764">
        <w:rPr>
          <w:i/>
          <w:iCs/>
        </w:rPr>
        <w:t>транспортное средство</w:t>
      </w:r>
      <w:r>
        <w:t>", что противоречит следующему за ней предложению, касающемуся средств защиты, и положению подраздела</w:t>
      </w:r>
      <w:r w:rsidR="00980303">
        <w:rPr>
          <w:lang w:val="en-US"/>
        </w:rPr>
        <w:t> </w:t>
      </w:r>
      <w:r>
        <w:t>8.1.5.2: "</w:t>
      </w:r>
      <w:r w:rsidRPr="009E3764">
        <w:rPr>
          <w:i/>
          <w:iCs/>
        </w:rPr>
        <w:t>На транспортной единице должно перевозиться следующее снаряжение</w:t>
      </w:r>
      <w:r>
        <w:t>".</w:t>
      </w:r>
    </w:p>
    <w:p w:rsidR="006F16EB" w:rsidRDefault="006F16EB" w:rsidP="006F16EB">
      <w:pPr>
        <w:pStyle w:val="SingleTxt"/>
      </w:pPr>
      <w:r>
        <w:t>20.</w:t>
      </w:r>
      <w:r>
        <w:tab/>
        <w:t xml:space="preserve">Изменить вводный текст, касающийся средств защиты, на стр. 4 письменных инструкций в соответствии с </w:t>
      </w:r>
      <w:r w:rsidRPr="009E3764">
        <w:rPr>
          <w:b/>
          <w:bCs/>
        </w:rPr>
        <w:t>ДОПОГ</w:t>
      </w:r>
      <w:r>
        <w:t xml:space="preserve"> следующим образом:</w:t>
      </w:r>
    </w:p>
    <w:p w:rsidR="006F16EB" w:rsidRDefault="006F16EB" w:rsidP="006F16EB">
      <w:pPr>
        <w:pStyle w:val="SingleTxt"/>
      </w:pPr>
      <w:r>
        <w:t>"</w:t>
      </w:r>
      <w:r w:rsidRPr="009E3764">
        <w:rPr>
          <w:i/>
          <w:iCs/>
        </w:rPr>
        <w:t xml:space="preserve">Средства индивидуальной и общей защиты, предназначенные для принятия мер общего характера и чрезвычайных мер с учетом конкретного вида опасности, перевозимые на </w:t>
      </w:r>
      <w:r w:rsidRPr="009E3764">
        <w:rPr>
          <w:i/>
          <w:iCs/>
          <w:strike/>
        </w:rPr>
        <w:t>транспортном средстве</w:t>
      </w:r>
      <w:r w:rsidRPr="009E3764">
        <w:rPr>
          <w:i/>
          <w:iCs/>
        </w:rPr>
        <w:t xml:space="preserve"> </w:t>
      </w:r>
      <w:r w:rsidRPr="009E3764">
        <w:rPr>
          <w:i/>
          <w:iCs/>
          <w:u w:val="single"/>
        </w:rPr>
        <w:t>транспортной единице</w:t>
      </w:r>
      <w:r w:rsidRPr="009E3764">
        <w:rPr>
          <w:i/>
          <w:iCs/>
        </w:rPr>
        <w:t xml:space="preserve"> в соответствии с разделом 8.1.5 ДОПОГ</w:t>
      </w:r>
      <w:r>
        <w:t>".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Обоснование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863"/>
        <w:gridCol w:w="5229"/>
      </w:tblGrid>
      <w:tr w:rsidR="00517F82" w:rsidRPr="00517F82" w:rsidTr="00517F82">
        <w:tc>
          <w:tcPr>
            <w:tcW w:w="468" w:type="dxa"/>
            <w:shd w:val="clear" w:color="auto" w:fill="auto"/>
          </w:tcPr>
          <w:p w:rsid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rPr>
                <w:lang w:val="en-US"/>
              </w:rPr>
            </w:pPr>
            <w:r>
              <w:t>21.</w:t>
            </w:r>
          </w:p>
        </w:tc>
        <w:tc>
          <w:tcPr>
            <w:tcW w:w="1863" w:type="dxa"/>
            <w:shd w:val="clear" w:color="auto" w:fill="auto"/>
          </w:tcPr>
          <w:p w:rsid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3"/>
              <w:rPr>
                <w:lang w:val="en-US"/>
              </w:rPr>
            </w:pPr>
            <w:r>
              <w:t>Безопасность:</w:t>
            </w:r>
          </w:p>
        </w:tc>
        <w:tc>
          <w:tcPr>
            <w:tcW w:w="5229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>
              <w:t>Четкий текст позволяет повысить уровень безопасности на всех видах транспорта.</w:t>
            </w:r>
          </w:p>
        </w:tc>
      </w:tr>
      <w:tr w:rsidR="00517F82" w:rsidRPr="00517F82" w:rsidTr="00517F82">
        <w:tc>
          <w:tcPr>
            <w:tcW w:w="468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</w:p>
        </w:tc>
        <w:tc>
          <w:tcPr>
            <w:tcW w:w="1863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3"/>
            </w:pPr>
            <w:r>
              <w:t>Осуществимость:</w:t>
            </w:r>
          </w:p>
        </w:tc>
        <w:tc>
          <w:tcPr>
            <w:tcW w:w="5229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>
              <w:t>Данные предложения направлены на содействие выполнению и обеспечению применения правил. Перевозчики в любом случае уже соблюдают эти обязанности. Предлагаемые поправки позволяют уточнить и унифицировать существующие положения. Они облегчают деятельность регулирующих органов, консультантов по вопросам безопасности и органов, отвечающих за обеспечение соблюдения правил.</w:t>
            </w:r>
          </w:p>
        </w:tc>
      </w:tr>
      <w:tr w:rsidR="00517F82" w:rsidRPr="00517F82" w:rsidTr="00517F82">
        <w:tc>
          <w:tcPr>
            <w:tcW w:w="468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</w:p>
        </w:tc>
        <w:tc>
          <w:tcPr>
            <w:tcW w:w="1863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3"/>
            </w:pPr>
          </w:p>
        </w:tc>
        <w:tc>
          <w:tcPr>
            <w:tcW w:w="5229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>
              <w:t>Неблагоприятных последствий не предвидится.</w:t>
            </w:r>
          </w:p>
        </w:tc>
      </w:tr>
      <w:tr w:rsidR="00517F82" w:rsidRPr="00517F82" w:rsidTr="00517F82">
        <w:tc>
          <w:tcPr>
            <w:tcW w:w="468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</w:p>
        </w:tc>
        <w:tc>
          <w:tcPr>
            <w:tcW w:w="1863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3"/>
            </w:pPr>
          </w:p>
        </w:tc>
        <w:tc>
          <w:tcPr>
            <w:tcW w:w="5229" w:type="dxa"/>
            <w:shd w:val="clear" w:color="auto" w:fill="auto"/>
          </w:tcPr>
          <w:p w:rsidR="00517F82" w:rsidRPr="00517F82" w:rsidRDefault="00517F82" w:rsidP="0003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>
              <w:t>Учитывая содержание пункта 6 выше и необходимость введения также нового маркировочного знака литиевых батарей в подразделе 5.2.1.9 и знака опасности образца №</w:t>
            </w:r>
            <w:r w:rsidR="0077042A">
              <w:rPr>
                <w:lang w:val="en-US"/>
              </w:rPr>
              <w:t> </w:t>
            </w:r>
            <w:r>
              <w:t>9A (как предлагается в документе 2015/23/Add.1), может потребоваться переходная мера, и делегация Румынии могла бы подготовить проект соответствующего предложения.</w:t>
            </w:r>
          </w:p>
        </w:tc>
      </w:tr>
      <w:tr w:rsidR="00517F82" w:rsidRPr="00517F82" w:rsidTr="00517F82">
        <w:tc>
          <w:tcPr>
            <w:tcW w:w="468" w:type="dxa"/>
            <w:shd w:val="clear" w:color="auto" w:fill="auto"/>
          </w:tcPr>
          <w:p w:rsidR="00517F82" w:rsidRPr="00517F82" w:rsidRDefault="00517F82" w:rsidP="00517F82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</w:p>
        </w:tc>
        <w:tc>
          <w:tcPr>
            <w:tcW w:w="1863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3"/>
            </w:pPr>
            <w:r>
              <w:t>Обеспечение применения:</w:t>
            </w:r>
          </w:p>
        </w:tc>
        <w:tc>
          <w:tcPr>
            <w:tcW w:w="5229" w:type="dxa"/>
            <w:shd w:val="clear" w:color="auto" w:fill="auto"/>
          </w:tcPr>
          <w:p w:rsidR="00517F82" w:rsidRPr="00517F82" w:rsidRDefault="00517F82" w:rsidP="00517F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>
              <w:t>Наличие отдельных обязанностей перевозчика, связанных с письменными инструкциями и перевозимым снаряжением, будет способствовать обеспечению применения правил. Отсутствие письменных инструкций в соответствии с ДОПОГ влечет за собой юридическую ответственность, например в соответствии с Директивой</w:t>
            </w:r>
            <w:r>
              <w:rPr>
                <w:lang w:val="en-US"/>
              </w:rPr>
              <w:t> </w:t>
            </w:r>
            <w:r>
              <w:t>95/50/EC, касающейся единообразных процедур проверок перевозки опасных грузов автомобильным транспортом. В контрольном перечне, приведенном в приложении I к данной Директиве, указаны письменные инструкции, содержащиеся в документах, наличие которых подлежит проверке (пункт 14), а в классификации нарушений, приведенной в приложении II, отсутствие письменных инструкций отнесено к нарушениям, связанным с риском категории II.</w:t>
            </w:r>
          </w:p>
        </w:tc>
      </w:tr>
    </w:tbl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9803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Будущая работа</w:t>
      </w: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980303" w:rsidRPr="00980303" w:rsidRDefault="00980303" w:rsidP="00980303">
      <w:pPr>
        <w:pStyle w:val="SingleTxt"/>
        <w:spacing w:after="0" w:line="120" w:lineRule="exact"/>
        <w:rPr>
          <w:sz w:val="10"/>
        </w:rPr>
      </w:pPr>
    </w:p>
    <w:p w:rsidR="006F16EB" w:rsidRDefault="006F16EB" w:rsidP="006F16EB">
      <w:pPr>
        <w:pStyle w:val="SingleTxt"/>
      </w:pPr>
      <w:r>
        <w:t>22.</w:t>
      </w:r>
      <w:r>
        <w:tab/>
        <w:t>Вопросы, связанные с использованием таких терминов, как "</w:t>
      </w:r>
      <w:r w:rsidRPr="00517F82">
        <w:rPr>
          <w:i/>
          <w:iCs/>
        </w:rPr>
        <w:t>чрезвычайная ситуация</w:t>
      </w:r>
      <w:r>
        <w:t>", "</w:t>
      </w:r>
      <w:r w:rsidRPr="00517F82">
        <w:rPr>
          <w:i/>
          <w:iCs/>
        </w:rPr>
        <w:t>происшествие</w:t>
      </w:r>
      <w:r>
        <w:t>" или "</w:t>
      </w:r>
      <w:r w:rsidRPr="00517F82">
        <w:rPr>
          <w:i/>
          <w:iCs/>
        </w:rPr>
        <w:t>авария</w:t>
      </w:r>
      <w:r>
        <w:t>", "</w:t>
      </w:r>
      <w:r w:rsidRPr="00517F82">
        <w:rPr>
          <w:i/>
          <w:iCs/>
        </w:rPr>
        <w:t>иметь место или возникнуть</w:t>
      </w:r>
      <w:r>
        <w:t>" и "</w:t>
      </w:r>
      <w:r w:rsidRPr="00517F82">
        <w:rPr>
          <w:i/>
          <w:iCs/>
        </w:rPr>
        <w:t>член экипажа</w:t>
      </w:r>
      <w:r>
        <w:t>" (</w:t>
      </w:r>
      <w:r w:rsidRPr="00517F82">
        <w:rPr>
          <w:b/>
          <w:bCs/>
        </w:rPr>
        <w:t>ДОПОГ</w:t>
      </w:r>
      <w:r>
        <w:t xml:space="preserve"> и </w:t>
      </w:r>
      <w:r w:rsidRPr="00517F82">
        <w:rPr>
          <w:b/>
          <w:bCs/>
        </w:rPr>
        <w:t>ВОПОГ</w:t>
      </w:r>
      <w:r>
        <w:t>) или "</w:t>
      </w:r>
      <w:r w:rsidRPr="0077042A">
        <w:rPr>
          <w:i/>
          <w:iCs/>
        </w:rPr>
        <w:t>член экипажа</w:t>
      </w:r>
      <w:r>
        <w:t>" (подраздел 1.10.1.4 МПОГ/ДОПОГ/ВОПОГ), будут рассматриваться в другом документе на одной из следующих сессий Совместного совещания. В этой связи экспертам предлагается высказать свое мнение.</w:t>
      </w:r>
    </w:p>
    <w:p w:rsidR="00FC68E5" w:rsidRPr="001742F0" w:rsidRDefault="006F16EB" w:rsidP="006F16EB">
      <w:pPr>
        <w:pStyle w:val="SingleTxt"/>
      </w:pPr>
      <w:r>
        <w:t>23.</w:t>
      </w:r>
      <w:r>
        <w:tab/>
        <w:t>В ходе сессии Совместного совещания в сентябре 2015 года можно было бы провести краткое заседание рабочей группы для определения вариантов использования единого подхода в разделе 5.4.3 (для всех видов транспорта) в связи с разделом 1.8.5 или желательных характеристик базы данных об авариях. Это предоставило бы представителям всех видов транспорта возможность предложить свои пути решения этой проблемы.</w:t>
      </w:r>
    </w:p>
    <w:p w:rsidR="006F16EB" w:rsidRPr="006F16EB" w:rsidRDefault="00174601" w:rsidP="006F16EB">
      <w:pPr>
        <w:pStyle w:val="SingleTxt"/>
        <w:spacing w:after="0" w:line="240" w:lineRule="auto"/>
        <w:rPr>
          <w:lang w:val="en-US"/>
        </w:rPr>
      </w:pPr>
      <w:r w:rsidRPr="00174601">
        <w:rPr>
          <w:noProof/>
          <w:w w:val="100"/>
          <w:lang w:val="en-GB" w:eastAsia="en-GB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6F16EB" w:rsidRPr="006F16EB" w:rsidSect="00FC68E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5C" w:rsidRDefault="00A62A5C" w:rsidP="008A1A7A">
      <w:pPr>
        <w:spacing w:line="240" w:lineRule="auto"/>
      </w:pPr>
      <w:r>
        <w:separator/>
      </w:r>
    </w:p>
  </w:endnote>
  <w:endnote w:type="continuationSeparator" w:id="0">
    <w:p w:rsidR="00A62A5C" w:rsidRDefault="00A62A5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FC68E5" w:rsidTr="00FC68E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C68E5" w:rsidRPr="00FC68E5" w:rsidRDefault="00174601" w:rsidP="00FC68E5">
          <w:pPr>
            <w:pStyle w:val="Pieddepage"/>
            <w:rPr>
              <w:color w:val="000000"/>
            </w:rPr>
          </w:pPr>
          <w:r>
            <w:fldChar w:fldCharType="begin"/>
          </w:r>
          <w:r w:rsidR="00FC68E5">
            <w:instrText xml:space="preserve"> PAGE  \* Arabic  \* MERGEFORMAT </w:instrText>
          </w:r>
          <w:r>
            <w:fldChar w:fldCharType="separate"/>
          </w:r>
          <w:r w:rsidR="005F1E64">
            <w:rPr>
              <w:noProof/>
            </w:rPr>
            <w:t>2</w:t>
          </w:r>
          <w:r>
            <w:fldChar w:fldCharType="end"/>
          </w:r>
          <w:r w:rsidR="00FC68E5">
            <w:t>/</w:t>
          </w:r>
          <w:fldSimple w:instr=" NUMPAGES  \* Arabic  \* MERGEFORMAT ">
            <w:r w:rsidR="005F1E64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C68E5" w:rsidRPr="00FC68E5" w:rsidRDefault="00174601" w:rsidP="00FC68E5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FC68E5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42F0">
            <w:rPr>
              <w:b w:val="0"/>
              <w:color w:val="000000"/>
              <w:sz w:val="14"/>
            </w:rPr>
            <w:t>GE.15-10581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C68E5" w:rsidRPr="00FC68E5" w:rsidRDefault="00FC68E5" w:rsidP="00FC68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FC68E5" w:rsidTr="00FC68E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C68E5" w:rsidRPr="00FC68E5" w:rsidRDefault="00174601" w:rsidP="00FC68E5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FC68E5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42F0">
            <w:rPr>
              <w:b w:val="0"/>
              <w:color w:val="000000"/>
              <w:sz w:val="14"/>
            </w:rPr>
            <w:t>GE.15-10581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68E5" w:rsidRPr="00FC68E5" w:rsidRDefault="00174601" w:rsidP="00FC68E5">
          <w:pPr>
            <w:pStyle w:val="Pieddepage"/>
            <w:jc w:val="right"/>
          </w:pPr>
          <w:r>
            <w:fldChar w:fldCharType="begin"/>
          </w:r>
          <w:r w:rsidR="00FC68E5">
            <w:instrText xml:space="preserve"> PAGE  \* Arabic  \* MERGEFORMAT </w:instrText>
          </w:r>
          <w:r>
            <w:fldChar w:fldCharType="separate"/>
          </w:r>
          <w:r w:rsidR="005F1E64">
            <w:rPr>
              <w:noProof/>
            </w:rPr>
            <w:t>5</w:t>
          </w:r>
          <w:r>
            <w:fldChar w:fldCharType="end"/>
          </w:r>
          <w:r w:rsidR="00FC68E5">
            <w:t>/</w:t>
          </w:r>
          <w:fldSimple w:instr=" NUMPAGES  \* Arabic  \* MERGEFORMAT ">
            <w:r w:rsidR="005F1E64">
              <w:rPr>
                <w:noProof/>
              </w:rPr>
              <w:t>5</w:t>
            </w:r>
          </w:fldSimple>
        </w:p>
      </w:tc>
    </w:tr>
  </w:tbl>
  <w:p w:rsidR="00FC68E5" w:rsidRPr="00FC68E5" w:rsidRDefault="00FC68E5" w:rsidP="00FC68E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FC68E5" w:rsidTr="00FC68E5">
      <w:tc>
        <w:tcPr>
          <w:tcW w:w="3873" w:type="dxa"/>
        </w:tcPr>
        <w:p w:rsidR="00FC68E5" w:rsidRDefault="00FC68E5" w:rsidP="00E87CF5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3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3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GE.15-10581 (R)</w:t>
          </w:r>
          <w:r>
            <w:rPr>
              <w:color w:val="010000"/>
            </w:rPr>
            <w:t xml:space="preserve">    </w:t>
          </w:r>
          <w:r w:rsidR="00E87CF5">
            <w:rPr>
              <w:color w:val="010000"/>
              <w:lang w:val="en-US"/>
            </w:rPr>
            <w:t>16</w:t>
          </w:r>
          <w:r>
            <w:rPr>
              <w:color w:val="010000"/>
            </w:rPr>
            <w:t>0715    220715</w:t>
          </w:r>
        </w:p>
        <w:p w:rsidR="00FC68E5" w:rsidRPr="00FC68E5" w:rsidRDefault="00FC68E5" w:rsidP="00FC68E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*1510581*</w:t>
          </w:r>
        </w:p>
      </w:tc>
      <w:tc>
        <w:tcPr>
          <w:tcW w:w="5127" w:type="dxa"/>
        </w:tcPr>
        <w:p w:rsidR="00FC68E5" w:rsidRDefault="00FC68E5" w:rsidP="00FC68E5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68E5" w:rsidRPr="00FC68E5" w:rsidRDefault="00FC68E5" w:rsidP="00FC68E5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5C" w:rsidRPr="00980303" w:rsidRDefault="00980303" w:rsidP="00980303">
      <w:pPr>
        <w:pStyle w:val="Pieddepage"/>
        <w:spacing w:after="80"/>
        <w:ind w:left="792"/>
        <w:rPr>
          <w:sz w:val="16"/>
        </w:rPr>
      </w:pPr>
      <w:r w:rsidRPr="00980303">
        <w:rPr>
          <w:sz w:val="16"/>
        </w:rPr>
        <w:t>__________________</w:t>
      </w:r>
    </w:p>
  </w:footnote>
  <w:footnote w:type="continuationSeparator" w:id="0">
    <w:p w:rsidR="00A62A5C" w:rsidRPr="00980303" w:rsidRDefault="00980303" w:rsidP="00980303">
      <w:pPr>
        <w:pStyle w:val="Pieddepage"/>
        <w:spacing w:after="80"/>
        <w:ind w:left="792"/>
        <w:rPr>
          <w:sz w:val="16"/>
        </w:rPr>
      </w:pPr>
      <w:r w:rsidRPr="00980303">
        <w:rPr>
          <w:sz w:val="16"/>
        </w:rPr>
        <w:t>__________________</w:t>
      </w:r>
    </w:p>
  </w:footnote>
  <w:footnote w:type="continuationNotice" w:id="1">
    <w:p w:rsidR="00980303" w:rsidRPr="00980303" w:rsidRDefault="00980303" w:rsidP="00980303">
      <w:pPr>
        <w:pStyle w:val="Pieddepage"/>
      </w:pPr>
    </w:p>
  </w:footnote>
  <w:footnote w:id="2">
    <w:p w:rsidR="00980303" w:rsidRPr="00980303" w:rsidRDefault="00980303" w:rsidP="00980303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980303">
        <w:tab/>
      </w:r>
      <w:bookmarkStart w:id="1" w:name="lt_pId159"/>
      <w:r w:rsidRPr="003945FC">
        <w:t xml:space="preserve">В соответствии с программой работы Комитета по внутреннему транспорту </w:t>
      </w:r>
      <w:r w:rsidRPr="00980303">
        <w:br/>
      </w:r>
      <w:r w:rsidRPr="003945FC">
        <w:t>на 2014−2015 годы (ECE/TRANS/240, пункт 100; ECE/TRANS/2014/23, направление деятельности 9, пункт 9.2).</w:t>
      </w:r>
      <w:bookmarkEnd w:id="1"/>
    </w:p>
  </w:footnote>
  <w:footnote w:id="3">
    <w:p w:rsidR="00980303" w:rsidRPr="00980303" w:rsidRDefault="00980303" w:rsidP="00980303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980303">
        <w:tab/>
      </w:r>
      <w:r>
        <w:rPr>
          <w:rStyle w:val="Appelnotedebasdep"/>
        </w:rPr>
        <w:footnoteRef/>
      </w:r>
      <w:r w:rsidRPr="00980303">
        <w:tab/>
      </w:r>
      <w:bookmarkStart w:id="2" w:name="lt_pId162"/>
      <w:r w:rsidRPr="003945FC">
        <w:t>Распространено Межправительственной организацией по международным железнодорожным перевозкам (ОТИФ) в качестве документа OTIF/RID/RC/2015/35.</w:t>
      </w:r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C68E5" w:rsidTr="00FC68E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C68E5" w:rsidRPr="00FC68E5" w:rsidRDefault="00174601" w:rsidP="00FC68E5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 w:rsidR="00FC68E5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42F0">
            <w:rPr>
              <w:b/>
            </w:rPr>
            <w:t>ECE/TRANS/WP.15/AC.1/2015/35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68E5" w:rsidRDefault="00FC68E5" w:rsidP="00FC68E5">
          <w:pPr>
            <w:pStyle w:val="En-tte"/>
          </w:pPr>
        </w:p>
      </w:tc>
    </w:tr>
  </w:tbl>
  <w:p w:rsidR="00FC68E5" w:rsidRPr="00FC68E5" w:rsidRDefault="00FC68E5" w:rsidP="00FC68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C68E5" w:rsidTr="00FC68E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C68E5" w:rsidRDefault="00FC68E5" w:rsidP="00FC68E5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FC68E5" w:rsidRPr="00FC68E5" w:rsidRDefault="00174601" w:rsidP="00FC68E5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FC68E5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42F0">
            <w:rPr>
              <w:b/>
            </w:rPr>
            <w:t>ECE/TRANS/WP.15/AC.1/2015/35</w:t>
          </w:r>
          <w:r>
            <w:rPr>
              <w:b/>
            </w:rPr>
            <w:fldChar w:fldCharType="end"/>
          </w:r>
        </w:p>
      </w:tc>
    </w:tr>
  </w:tbl>
  <w:p w:rsidR="00FC68E5" w:rsidRPr="00FC68E5" w:rsidRDefault="00FC68E5" w:rsidP="00FC68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FC68E5" w:rsidTr="00FC68E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C68E5" w:rsidRPr="00FC68E5" w:rsidRDefault="00FC68E5" w:rsidP="00FC68E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C68E5" w:rsidRDefault="00FC68E5" w:rsidP="00FC68E5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C68E5" w:rsidRPr="00FC68E5" w:rsidRDefault="00FC68E5" w:rsidP="00FC68E5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/TRANS/WP.15/AC.1/2015/35</w:t>
          </w:r>
        </w:p>
      </w:tc>
    </w:tr>
    <w:tr w:rsidR="00FC68E5" w:rsidRPr="001742F0" w:rsidTr="00FC68E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68E5" w:rsidRPr="00FC68E5" w:rsidRDefault="00FC68E5" w:rsidP="00FC68E5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68E5" w:rsidRPr="00FC68E5" w:rsidRDefault="00FC68E5" w:rsidP="00FC68E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68E5" w:rsidRPr="00FC68E5" w:rsidRDefault="00FC68E5" w:rsidP="00FC68E5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68E5" w:rsidRPr="006F16EB" w:rsidRDefault="00FC68E5" w:rsidP="00FC68E5">
          <w:pPr>
            <w:pStyle w:val="Distribution"/>
            <w:rPr>
              <w:color w:val="000000"/>
              <w:lang w:val="en-US"/>
            </w:rPr>
          </w:pPr>
          <w:r w:rsidRPr="006F16EB">
            <w:rPr>
              <w:color w:val="000000"/>
              <w:lang w:val="en-US"/>
            </w:rPr>
            <w:t>Distr.: General</w:t>
          </w:r>
        </w:p>
        <w:p w:rsidR="00FC68E5" w:rsidRPr="006F16EB" w:rsidRDefault="00FC68E5" w:rsidP="00FC68E5">
          <w:pPr>
            <w:pStyle w:val="Publication"/>
            <w:rPr>
              <w:color w:val="000000"/>
              <w:lang w:val="en-US"/>
            </w:rPr>
          </w:pPr>
          <w:r w:rsidRPr="006F16EB">
            <w:rPr>
              <w:color w:val="000000"/>
              <w:lang w:val="en-US"/>
            </w:rPr>
            <w:t>26 June 2015</w:t>
          </w:r>
        </w:p>
        <w:p w:rsidR="00FC68E5" w:rsidRPr="006F16EB" w:rsidRDefault="00FC68E5" w:rsidP="00FC68E5">
          <w:pPr>
            <w:rPr>
              <w:color w:val="000000"/>
              <w:lang w:val="en-US"/>
            </w:rPr>
          </w:pPr>
          <w:r w:rsidRPr="006F16EB">
            <w:rPr>
              <w:color w:val="000000"/>
              <w:lang w:val="en-US"/>
            </w:rPr>
            <w:t>Russian</w:t>
          </w:r>
        </w:p>
        <w:p w:rsidR="00FC68E5" w:rsidRPr="006F16EB" w:rsidRDefault="00FC68E5" w:rsidP="00FC68E5">
          <w:pPr>
            <w:pStyle w:val="Original"/>
            <w:rPr>
              <w:color w:val="000000"/>
              <w:lang w:val="en-US"/>
            </w:rPr>
          </w:pPr>
          <w:r w:rsidRPr="006F16EB">
            <w:rPr>
              <w:color w:val="000000"/>
              <w:lang w:val="en-US"/>
            </w:rPr>
            <w:t>Original: English</w:t>
          </w:r>
        </w:p>
        <w:p w:rsidR="00FC68E5" w:rsidRPr="006F16EB" w:rsidRDefault="00FC68E5" w:rsidP="00FC68E5">
          <w:pPr>
            <w:rPr>
              <w:lang w:val="en-US"/>
            </w:rPr>
          </w:pPr>
        </w:p>
      </w:tc>
    </w:tr>
  </w:tbl>
  <w:p w:rsidR="00FC68E5" w:rsidRPr="006F16EB" w:rsidRDefault="00FC68E5" w:rsidP="00FC68E5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581*"/>
    <w:docVar w:name="CreationDt" w:val="7/22/2015 9:29: AM"/>
    <w:docVar w:name="DocCategory" w:val="Doc"/>
    <w:docVar w:name="DocType" w:val="Final"/>
    <w:docVar w:name="DutyStation" w:val="Geneva"/>
    <w:docVar w:name="FooterJN" w:val="GE.15-10581"/>
    <w:docVar w:name="jobn" w:val="GE.15-10581 (R)"/>
    <w:docVar w:name="jobnDT" w:val="GE.15-10581 (R)   220715"/>
    <w:docVar w:name="jobnDTDT" w:val="GE.15-10581 (R)   220715   220715"/>
    <w:docVar w:name="JobNo" w:val="GE.1510581R"/>
    <w:docVar w:name="JobNo2" w:val="1513478R"/>
    <w:docVar w:name="LocalDrive" w:val="0"/>
    <w:docVar w:name="OandT" w:val=" "/>
    <w:docVar w:name="PaperSize" w:val="A4"/>
    <w:docVar w:name="sss1" w:val="ECE/TRANS/WP.15/AC.1/2015/35"/>
    <w:docVar w:name="sss2" w:val="-"/>
    <w:docVar w:name="Symbol1" w:val="ECE/TRANS/WP.15/AC.1/2015/35"/>
    <w:docVar w:name="Symbol2" w:val="-"/>
  </w:docVars>
  <w:rsids>
    <w:rsidRoot w:val="00A62A5C"/>
    <w:rsid w:val="00004615"/>
    <w:rsid w:val="00004756"/>
    <w:rsid w:val="00015201"/>
    <w:rsid w:val="00024A67"/>
    <w:rsid w:val="00025CF3"/>
    <w:rsid w:val="0002669B"/>
    <w:rsid w:val="00033C1F"/>
    <w:rsid w:val="00036FD8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3C44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42F0"/>
    <w:rsid w:val="00174601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2E7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1F89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17F82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1E64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16E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042A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487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0303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3764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2A5C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D3ED1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35460"/>
    <w:rsid w:val="00D434AF"/>
    <w:rsid w:val="00D44FA6"/>
    <w:rsid w:val="00D554C9"/>
    <w:rsid w:val="00D61BB7"/>
    <w:rsid w:val="00D62DA9"/>
    <w:rsid w:val="00D70D97"/>
    <w:rsid w:val="00D7165D"/>
    <w:rsid w:val="00D75705"/>
    <w:rsid w:val="00D8750C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87CF5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68E5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FC68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8E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68E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8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8E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E6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C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E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E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1486-EC24-4D30-A602-0A061453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8072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Maison</cp:lastModifiedBy>
  <cp:revision>2</cp:revision>
  <cp:lastPrinted>2015-08-07T08:50:00Z</cp:lastPrinted>
  <dcterms:created xsi:type="dcterms:W3CDTF">2015-08-11T08:41:00Z</dcterms:created>
  <dcterms:modified xsi:type="dcterms:W3CDTF">2015-08-11T08:41:00Z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1510581R</vt:lpwstr>
  </property>
  <property fmtid="{D5CDD505-2E9C-101B-9397-08002B2CF9AE}" pid="3" name="ODSRefJobNo">
    <vt:lpwstr>1513478R</vt:lpwstr>
  </property>
  <property fmtid="{D5CDD505-2E9C-101B-9397-08002B2CF9AE}" pid="4" name="Symbol1">
    <vt:lpwstr>ECE/TRANS/WP.15/AC.1/2015/35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June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