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3B" w:rsidRDefault="00085C3B" w:rsidP="00085C3B">
      <w:pPr>
        <w:spacing w:line="240" w:lineRule="auto"/>
        <w:rPr>
          <w:sz w:val="2"/>
        </w:rPr>
        <w:sectPr w:rsidR="00085C3B" w:rsidSect="00085C3B">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085C3B" w:rsidRDefault="00085C3B" w:rsidP="00085C3B">
      <w:pPr>
        <w:pStyle w:val="H1"/>
        <w:spacing w:after="120"/>
        <w:rPr>
          <w:sz w:val="28"/>
        </w:rPr>
      </w:pPr>
      <w:r>
        <w:rPr>
          <w:sz w:val="28"/>
        </w:rPr>
        <w:lastRenderedPageBreak/>
        <w:t>Commission économique pour l’Europe</w:t>
      </w:r>
    </w:p>
    <w:p w:rsidR="00085C3B" w:rsidRDefault="00085C3B" w:rsidP="00085C3B">
      <w:pPr>
        <w:pStyle w:val="H1"/>
        <w:spacing w:after="120" w:line="300" w:lineRule="exact"/>
        <w:rPr>
          <w:b w:val="0"/>
          <w:sz w:val="28"/>
        </w:rPr>
      </w:pPr>
      <w:r>
        <w:rPr>
          <w:b w:val="0"/>
          <w:sz w:val="28"/>
        </w:rPr>
        <w:t>Comité des transports intérieurs</w:t>
      </w:r>
    </w:p>
    <w:p w:rsidR="00135A27" w:rsidRDefault="00135A27" w:rsidP="00135A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35A27">
        <w:rPr>
          <w:lang w:val="fr-CH"/>
        </w:rPr>
        <w:t>Groupe de travail des transports</w:t>
      </w:r>
      <w:r>
        <w:rPr>
          <w:lang w:val="fr-CH"/>
        </w:rPr>
        <w:t xml:space="preserve"> </w:t>
      </w:r>
      <w:r w:rsidRPr="00135A27">
        <w:rPr>
          <w:lang w:val="fr-CH"/>
        </w:rPr>
        <w:br/>
        <w:t>de marchandises dangereuses</w:t>
      </w:r>
    </w:p>
    <w:p w:rsidR="00135A27" w:rsidRPr="00135A27" w:rsidRDefault="00135A27" w:rsidP="00135A27">
      <w:pPr>
        <w:spacing w:line="120" w:lineRule="exact"/>
        <w:rPr>
          <w:sz w:val="10"/>
          <w:lang w:val="fr-CH"/>
        </w:rPr>
      </w:pPr>
    </w:p>
    <w:p w:rsidR="00135A27" w:rsidRDefault="00135A27" w:rsidP="00135A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35A27">
        <w:rPr>
          <w:lang w:val="fr-CH"/>
        </w:rPr>
        <w:t>Réunion commune de la Commission d’experts</w:t>
      </w:r>
      <w:r>
        <w:rPr>
          <w:lang w:val="fr-CH"/>
        </w:rPr>
        <w:t xml:space="preserve"> </w:t>
      </w:r>
      <w:r w:rsidRPr="00135A27">
        <w:rPr>
          <w:lang w:val="fr-CH"/>
        </w:rPr>
        <w:t xml:space="preserve">du RID </w:t>
      </w:r>
      <w:r>
        <w:rPr>
          <w:lang w:val="fr-CH"/>
        </w:rPr>
        <w:br/>
      </w:r>
      <w:r w:rsidRPr="00135A27">
        <w:rPr>
          <w:lang w:val="fr-CH"/>
        </w:rPr>
        <w:t>et du Groupe de travail des transports</w:t>
      </w:r>
      <w:r>
        <w:rPr>
          <w:lang w:val="fr-CH"/>
        </w:rPr>
        <w:t xml:space="preserve"> </w:t>
      </w:r>
      <w:r>
        <w:rPr>
          <w:lang w:val="fr-CH"/>
        </w:rPr>
        <w:br/>
      </w:r>
      <w:r w:rsidRPr="00135A27">
        <w:rPr>
          <w:lang w:val="fr-CH"/>
        </w:rPr>
        <w:t>de marchandises dangereuses</w:t>
      </w:r>
    </w:p>
    <w:p w:rsidR="00135A27" w:rsidRPr="00135A27" w:rsidRDefault="00135A27" w:rsidP="00135A27">
      <w:pPr>
        <w:rPr>
          <w:lang w:val="fr-CH"/>
        </w:rPr>
      </w:pPr>
      <w:r w:rsidRPr="00135A27">
        <w:rPr>
          <w:lang w:val="fr-CH"/>
        </w:rPr>
        <w:t>Genève, 15</w:t>
      </w:r>
      <w:r>
        <w:rPr>
          <w:lang w:val="fr-CH"/>
        </w:rPr>
        <w:t>-</w:t>
      </w:r>
      <w:r w:rsidRPr="00135A27">
        <w:rPr>
          <w:lang w:val="fr-CH"/>
        </w:rPr>
        <w:t>25</w:t>
      </w:r>
      <w:r w:rsidR="00BC7816">
        <w:rPr>
          <w:lang w:val="fr-CH"/>
        </w:rPr>
        <w:t> </w:t>
      </w:r>
      <w:r w:rsidRPr="00135A27">
        <w:rPr>
          <w:lang w:val="fr-CH"/>
        </w:rPr>
        <w:t>septembre 2015</w:t>
      </w:r>
    </w:p>
    <w:p w:rsidR="00135A27" w:rsidRPr="00135A27" w:rsidRDefault="00135A27" w:rsidP="00135A27">
      <w:pPr>
        <w:rPr>
          <w:lang w:val="fr-CH"/>
        </w:rPr>
      </w:pPr>
      <w:r w:rsidRPr="00135A27">
        <w:rPr>
          <w:lang w:val="fr-CH"/>
        </w:rPr>
        <w:t>Point 3 b) de l’ordre du jour provisoire</w:t>
      </w:r>
    </w:p>
    <w:p w:rsidR="00085C3B" w:rsidRDefault="00135A27" w:rsidP="00135A2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35A27">
        <w:rPr>
          <w:lang w:val="fr-CH"/>
        </w:rPr>
        <w:t>Propositions diverses d’amendements au RID/ADR/ADN</w:t>
      </w:r>
      <w:r>
        <w:rPr>
          <w:lang w:val="fr-CH"/>
        </w:rPr>
        <w:t> </w:t>
      </w:r>
      <w:r w:rsidRPr="00135A27">
        <w:rPr>
          <w:lang w:val="fr-CH"/>
        </w:rPr>
        <w:t>:</w:t>
      </w:r>
      <w:r>
        <w:rPr>
          <w:lang w:val="fr-CH"/>
        </w:rPr>
        <w:t xml:space="preserve"> </w:t>
      </w:r>
      <w:r>
        <w:rPr>
          <w:lang w:val="fr-CH"/>
        </w:rPr>
        <w:br/>
      </w:r>
      <w:r w:rsidRPr="00135A27">
        <w:rPr>
          <w:lang w:val="fr-CH"/>
        </w:rPr>
        <w:t>nouvelles propositions</w:t>
      </w:r>
    </w:p>
    <w:p w:rsidR="00135A27" w:rsidRPr="00135A27" w:rsidRDefault="00135A27" w:rsidP="00135A27">
      <w:pPr>
        <w:spacing w:line="120" w:lineRule="exact"/>
        <w:rPr>
          <w:sz w:val="10"/>
          <w:lang w:val="fr-CH"/>
        </w:rPr>
      </w:pPr>
    </w:p>
    <w:p w:rsidR="00135A27" w:rsidRPr="00135A27" w:rsidRDefault="00135A27" w:rsidP="00135A27">
      <w:pPr>
        <w:spacing w:line="120" w:lineRule="exact"/>
        <w:rPr>
          <w:sz w:val="10"/>
          <w:lang w:val="fr-CH"/>
        </w:rPr>
      </w:pPr>
    </w:p>
    <w:p w:rsidR="00135A27" w:rsidRPr="00135A27" w:rsidRDefault="00135A27" w:rsidP="00135A27">
      <w:pPr>
        <w:spacing w:line="120" w:lineRule="exact"/>
        <w:rPr>
          <w:sz w:val="10"/>
          <w:lang w:val="fr-CH"/>
        </w:rPr>
      </w:pPr>
    </w:p>
    <w:p w:rsidR="00135A27" w:rsidRDefault="00135A27" w:rsidP="00135A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5457">
        <w:tab/>
      </w:r>
      <w:r w:rsidRPr="00955457">
        <w:tab/>
        <w:t xml:space="preserve">Amendements à la section 5.4.3 (Consignes écrites) </w:t>
      </w:r>
      <w:r>
        <w:br/>
      </w:r>
      <w:r w:rsidRPr="00955457">
        <w:t>du RID/ADR/ADN</w:t>
      </w:r>
    </w:p>
    <w:p w:rsidR="00135A27" w:rsidRPr="00135A27" w:rsidRDefault="00135A27" w:rsidP="00135A27">
      <w:pPr>
        <w:pStyle w:val="SingleTxt"/>
        <w:spacing w:after="0" w:line="120" w:lineRule="exact"/>
        <w:rPr>
          <w:sz w:val="10"/>
        </w:rPr>
      </w:pPr>
    </w:p>
    <w:p w:rsidR="00135A27" w:rsidRPr="00135A27" w:rsidRDefault="00135A27" w:rsidP="00135A27">
      <w:pPr>
        <w:pStyle w:val="SingleTxt"/>
        <w:spacing w:after="0" w:line="120" w:lineRule="exact"/>
        <w:rPr>
          <w:sz w:val="10"/>
        </w:rPr>
      </w:pPr>
    </w:p>
    <w:p w:rsidR="00135A27" w:rsidRDefault="00135A27" w:rsidP="00135A2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8"/>
          <w:szCs w:val="18"/>
        </w:rPr>
      </w:pPr>
      <w:r w:rsidRPr="00955457">
        <w:tab/>
      </w:r>
      <w:r w:rsidRPr="00955457">
        <w:tab/>
        <w:t>Communication du Gouvernement roumain</w:t>
      </w:r>
      <w:r w:rsidRPr="00135A27">
        <w:rPr>
          <w:rStyle w:val="Appelnotedebasdep"/>
          <w:b w:val="0"/>
          <w:color w:val="auto"/>
          <w:sz w:val="20"/>
          <w:szCs w:val="20"/>
        </w:rPr>
        <w:footnoteReference w:id="1"/>
      </w:r>
      <w:r w:rsidRPr="00135A27">
        <w:rPr>
          <w:sz w:val="20"/>
          <w:szCs w:val="20"/>
          <w:vertAlign w:val="superscript"/>
        </w:rPr>
        <w:t>,</w:t>
      </w:r>
      <w:r w:rsidRPr="00135A27">
        <w:rPr>
          <w:sz w:val="18"/>
          <w:szCs w:val="18"/>
        </w:rPr>
        <w:t xml:space="preserve"> </w:t>
      </w:r>
      <w:r w:rsidRPr="00135A27">
        <w:rPr>
          <w:rStyle w:val="Appelnotedebasdep"/>
          <w:b w:val="0"/>
          <w:color w:val="auto"/>
          <w:sz w:val="20"/>
          <w:szCs w:val="20"/>
        </w:rPr>
        <w:footnoteReference w:id="2"/>
      </w:r>
    </w:p>
    <w:p w:rsidR="00135A27" w:rsidRPr="00135A27" w:rsidRDefault="00135A27" w:rsidP="00135A27">
      <w:pPr>
        <w:spacing w:line="120" w:lineRule="exact"/>
        <w:rPr>
          <w:sz w:val="10"/>
        </w:rPr>
      </w:pPr>
    </w:p>
    <w:p w:rsidR="00135A27" w:rsidRDefault="00135A27" w:rsidP="00135A27">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135A27" w:rsidTr="00135A27">
        <w:tc>
          <w:tcPr>
            <w:tcW w:w="10051" w:type="dxa"/>
            <w:tcBorders>
              <w:top w:val="single" w:sz="2" w:space="0" w:color="auto"/>
            </w:tcBorders>
            <w:shd w:val="clear" w:color="auto" w:fill="auto"/>
          </w:tcPr>
          <w:p w:rsidR="00135A27" w:rsidRPr="00135A27" w:rsidRDefault="00135A27" w:rsidP="00135A27">
            <w:pPr>
              <w:tabs>
                <w:tab w:val="left" w:pos="240"/>
              </w:tabs>
              <w:spacing w:before="240" w:after="120"/>
              <w:rPr>
                <w:i/>
                <w:sz w:val="24"/>
              </w:rPr>
            </w:pPr>
            <w:r>
              <w:rPr>
                <w:i/>
                <w:sz w:val="24"/>
              </w:rPr>
              <w:tab/>
              <w:t>Résumé</w:t>
            </w:r>
          </w:p>
        </w:tc>
      </w:tr>
      <w:tr w:rsidR="00135A27" w:rsidTr="00135A27">
        <w:tc>
          <w:tcPr>
            <w:tcW w:w="10051" w:type="dxa"/>
            <w:shd w:val="clear" w:color="auto" w:fill="auto"/>
          </w:tcPr>
          <w:p w:rsidR="00135A27" w:rsidRPr="00135A27" w:rsidRDefault="00135A27" w:rsidP="00135A27">
            <w:pPr>
              <w:pStyle w:val="SingleTxt"/>
              <w:ind w:left="3658" w:hanging="2391"/>
            </w:pPr>
            <w:r w:rsidRPr="00955457">
              <w:rPr>
                <w:b/>
              </w:rPr>
              <w:t>Résumé analytique</w:t>
            </w:r>
            <w:r>
              <w:rPr>
                <w:b/>
              </w:rPr>
              <w:t> </w:t>
            </w:r>
            <w:r w:rsidRPr="00955457">
              <w:t>:</w:t>
            </w:r>
            <w:r w:rsidRPr="00955457">
              <w:tab/>
            </w:r>
            <w:r>
              <w:tab/>
            </w:r>
            <w:r w:rsidRPr="00955457">
              <w:t>Vision unifiée des dispositions de la section 5.4.3 relatives aux consignes écrites.</w:t>
            </w:r>
          </w:p>
        </w:tc>
      </w:tr>
      <w:tr w:rsidR="00135A27" w:rsidTr="00135A27">
        <w:tc>
          <w:tcPr>
            <w:tcW w:w="10051" w:type="dxa"/>
            <w:shd w:val="clear" w:color="auto" w:fill="auto"/>
          </w:tcPr>
          <w:p w:rsidR="00135A27" w:rsidRPr="00135A27" w:rsidRDefault="00135A27" w:rsidP="00135A27">
            <w:pPr>
              <w:pStyle w:val="SingleTxt"/>
            </w:pPr>
            <w:r w:rsidRPr="00955457">
              <w:rPr>
                <w:b/>
              </w:rPr>
              <w:t>Mesures à prendre</w:t>
            </w:r>
            <w:r>
              <w:rPr>
                <w:b/>
              </w:rPr>
              <w:t> </w:t>
            </w:r>
            <w:r w:rsidRPr="00955457">
              <w:t>:</w:t>
            </w:r>
            <w:r w:rsidRPr="00955457">
              <w:tab/>
            </w:r>
            <w:r>
              <w:tab/>
            </w:r>
            <w:r w:rsidRPr="00955457">
              <w:t>Modifier les dispositions de la section 5.4.3.</w:t>
            </w:r>
          </w:p>
        </w:tc>
      </w:tr>
      <w:tr w:rsidR="00135A27" w:rsidTr="00135A27">
        <w:tc>
          <w:tcPr>
            <w:tcW w:w="10051" w:type="dxa"/>
            <w:tcBorders>
              <w:bottom w:val="nil"/>
            </w:tcBorders>
            <w:shd w:val="clear" w:color="auto" w:fill="auto"/>
          </w:tcPr>
          <w:p w:rsidR="00135A27" w:rsidRPr="00135A27" w:rsidRDefault="00135A27" w:rsidP="00135A27">
            <w:pPr>
              <w:pStyle w:val="SingleTxt"/>
              <w:ind w:left="3658" w:hanging="2391"/>
            </w:pPr>
            <w:r w:rsidRPr="00955457">
              <w:rPr>
                <w:b/>
              </w:rPr>
              <w:t>Documents de référence</w:t>
            </w:r>
            <w:r>
              <w:rPr>
                <w:b/>
              </w:rPr>
              <w:t> </w:t>
            </w:r>
            <w:r w:rsidRPr="00135A27">
              <w:t>:</w:t>
            </w:r>
            <w:r w:rsidRPr="00955457">
              <w:rPr>
                <w:b/>
              </w:rPr>
              <w:tab/>
            </w:r>
            <w:r w:rsidRPr="00955457">
              <w:rPr>
                <w:rFonts w:eastAsia="MS Mincho"/>
              </w:rPr>
              <w:t>ECE/TRANS/WP.15/AC.1/2015/1 et paragraphe 61 du rapport de la session de mars 2015 de la Réunion commune de la Commission d</w:t>
            </w:r>
            <w:r>
              <w:rPr>
                <w:rFonts w:eastAsia="MS Mincho"/>
              </w:rPr>
              <w:t>’</w:t>
            </w:r>
            <w:r w:rsidRPr="00955457">
              <w:rPr>
                <w:rFonts w:eastAsia="MS Mincho"/>
              </w:rPr>
              <w:t>experts du RID et du Groupe de travail des transports de marchandises dangereuses (ECE/TRANS/WP.15/AC.1/138)</w:t>
            </w:r>
            <w:r w:rsidRPr="00955457">
              <w:t>.</w:t>
            </w:r>
          </w:p>
        </w:tc>
      </w:tr>
      <w:tr w:rsidR="00135A27" w:rsidTr="00135A27">
        <w:tc>
          <w:tcPr>
            <w:tcW w:w="10051" w:type="dxa"/>
            <w:tcBorders>
              <w:bottom w:val="single" w:sz="2" w:space="0" w:color="auto"/>
            </w:tcBorders>
            <w:shd w:val="clear" w:color="auto" w:fill="auto"/>
          </w:tcPr>
          <w:p w:rsidR="00135A27" w:rsidRPr="00135A27" w:rsidRDefault="00135A27" w:rsidP="00135A27">
            <w:pPr>
              <w:pStyle w:val="SingleTxt"/>
            </w:pPr>
          </w:p>
        </w:tc>
      </w:tr>
    </w:tbl>
    <w:p w:rsidR="00185A20" w:rsidRDefault="00185A20">
      <w:pPr>
        <w:spacing w:line="240" w:lineRule="auto"/>
      </w:pPr>
      <w:r>
        <w:br w:type="page"/>
      </w:r>
    </w:p>
    <w:p w:rsidR="00135A27" w:rsidRDefault="00135A27" w:rsidP="0019455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lastRenderedPageBreak/>
        <w:tab/>
      </w:r>
      <w:r w:rsidRPr="00955457">
        <w:tab/>
        <w:t>Introduction</w:t>
      </w:r>
    </w:p>
    <w:p w:rsidR="00194556" w:rsidRPr="008F12A4" w:rsidRDefault="00194556" w:rsidP="008F12A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F12A4" w:rsidRPr="008F12A4" w:rsidRDefault="008F12A4" w:rsidP="008F12A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Pr="00955457" w:rsidRDefault="00135A27" w:rsidP="008F12A4">
      <w:pPr>
        <w:pStyle w:val="SingleTxt"/>
        <w:numPr>
          <w:ilvl w:val="0"/>
          <w:numId w:val="8"/>
        </w:numPr>
        <w:tabs>
          <w:tab w:val="clear" w:pos="475"/>
          <w:tab w:val="num" w:pos="1742"/>
        </w:tabs>
        <w:ind w:left="1267"/>
      </w:pPr>
      <w:r w:rsidRPr="00955457">
        <w:t>La délégation roumaine a reçu des commentaires et des observations concernant les propositions qui figurent aux paragraphes 10 à 12 du document ECE/TRANS/WP.15/AC.1/2015/1, soumis à la session de mars 2015 de la Réunion conjointe RID/ADR.</w:t>
      </w:r>
    </w:p>
    <w:p w:rsidR="00135A27" w:rsidRPr="00955457" w:rsidRDefault="00135A27" w:rsidP="008F12A4">
      <w:pPr>
        <w:pStyle w:val="SingleTxt"/>
        <w:numPr>
          <w:ilvl w:val="0"/>
          <w:numId w:val="8"/>
        </w:numPr>
        <w:tabs>
          <w:tab w:val="clear" w:pos="475"/>
          <w:tab w:val="num" w:pos="1742"/>
        </w:tabs>
        <w:ind w:left="1267"/>
      </w:pPr>
      <w:r w:rsidRPr="00955457">
        <w:t>Comme il est indiqué au paragraphe 61 du rapport de la session, les experts ont été invités à avoir un échange d</w:t>
      </w:r>
      <w:r>
        <w:t>’</w:t>
      </w:r>
      <w:r w:rsidRPr="00955457">
        <w:t>expérience sur une série de questions en ce qui concerne le contenu de la section 5.4.3 pour les différents modes de transport.</w:t>
      </w:r>
    </w:p>
    <w:p w:rsidR="00135A27" w:rsidRPr="00955457" w:rsidRDefault="00135A27" w:rsidP="008F12A4">
      <w:pPr>
        <w:pStyle w:val="SingleTxt"/>
        <w:numPr>
          <w:ilvl w:val="0"/>
          <w:numId w:val="8"/>
        </w:numPr>
        <w:tabs>
          <w:tab w:val="clear" w:pos="475"/>
          <w:tab w:val="num" w:pos="1742"/>
        </w:tabs>
        <w:ind w:left="1267"/>
      </w:pPr>
      <w:r w:rsidRPr="00955457">
        <w:t xml:space="preserve">Dans ce contexte, un certain nombre de solutions sont proposées en vue de régler certains des problèmes présentés aux paragraphes 10 et 11 du document </w:t>
      </w:r>
      <w:r w:rsidR="008F12A4">
        <w:t>ECE/TRANS/WP.15/AC.1/2015/1.</w:t>
      </w:r>
    </w:p>
    <w:p w:rsidR="00135A27" w:rsidRPr="00955457" w:rsidRDefault="00135A27" w:rsidP="008F12A4">
      <w:pPr>
        <w:pStyle w:val="SingleTxt"/>
        <w:numPr>
          <w:ilvl w:val="0"/>
          <w:numId w:val="8"/>
        </w:numPr>
        <w:tabs>
          <w:tab w:val="clear" w:pos="475"/>
          <w:tab w:val="num" w:pos="1742"/>
        </w:tabs>
        <w:ind w:left="1267"/>
      </w:pPr>
      <w:r w:rsidRPr="00955457">
        <w:t>L</w:t>
      </w:r>
      <w:r>
        <w:t>’</w:t>
      </w:r>
      <w:r w:rsidRPr="00955457">
        <w:t>objectif est de ne pas modifier les consignes écrites sans raison importante. Il s</w:t>
      </w:r>
      <w:r>
        <w:t>’</w:t>
      </w:r>
      <w:r w:rsidRPr="00955457">
        <w:t>agit de reformuler les textes existants afin de définir une approche harmonisée</w:t>
      </w:r>
      <w:r w:rsidR="008F12A4">
        <w:t>.</w:t>
      </w:r>
    </w:p>
    <w:p w:rsidR="00135A27" w:rsidRPr="00955457" w:rsidRDefault="00135A27" w:rsidP="008F12A4">
      <w:pPr>
        <w:pStyle w:val="SingleTxt"/>
        <w:numPr>
          <w:ilvl w:val="0"/>
          <w:numId w:val="8"/>
        </w:numPr>
        <w:tabs>
          <w:tab w:val="clear" w:pos="475"/>
          <w:tab w:val="num" w:pos="1742"/>
        </w:tabs>
        <w:ind w:left="1267"/>
      </w:pPr>
      <w:r w:rsidRPr="00955457">
        <w:t>Après leur introduction dans l</w:t>
      </w:r>
      <w:r>
        <w:t>’</w:t>
      </w:r>
      <w:r w:rsidRPr="00955457">
        <w:t>édition 2009 de l</w:t>
      </w:r>
      <w:r>
        <w:t>’</w:t>
      </w:r>
      <w:r w:rsidRPr="00955457">
        <w:t>ADR, les consignes écrites ont été modifiées dans l</w:t>
      </w:r>
      <w:r>
        <w:t>’</w:t>
      </w:r>
      <w:r w:rsidRPr="00955457">
        <w:t>édition 2011, puis encore dans l</w:t>
      </w:r>
      <w:r>
        <w:t>’</w:t>
      </w:r>
      <w:r w:rsidRPr="00955457">
        <w:t>édition 2015, et assorties d</w:t>
      </w:r>
      <w:r>
        <w:t>’</w:t>
      </w:r>
      <w:r w:rsidRPr="00955457">
        <w:t>une disposition transitoire applicable jusqu</w:t>
      </w:r>
      <w:r>
        <w:t>’</w:t>
      </w:r>
      <w:r w:rsidRPr="00955457">
        <w:t>en 2017. Après leur introduction dans les éditions 2011 du RID et de l</w:t>
      </w:r>
      <w:r>
        <w:t>’</w:t>
      </w:r>
      <w:r w:rsidRPr="00955457">
        <w:t>ADN, elles ont été modifiées dans l</w:t>
      </w:r>
      <w:r>
        <w:t>’</w:t>
      </w:r>
      <w:r w:rsidRPr="00955457">
        <w:t>édition de 2015 sans disposition transitoire</w:t>
      </w:r>
      <w:r w:rsidR="008F12A4">
        <w:t>.</w:t>
      </w:r>
    </w:p>
    <w:p w:rsidR="00135A27" w:rsidRDefault="00135A27" w:rsidP="008F12A4">
      <w:pPr>
        <w:pStyle w:val="SingleTxt"/>
        <w:numPr>
          <w:ilvl w:val="0"/>
          <w:numId w:val="8"/>
        </w:numPr>
        <w:tabs>
          <w:tab w:val="clear" w:pos="475"/>
          <w:tab w:val="num" w:pos="1742"/>
        </w:tabs>
        <w:ind w:left="1267"/>
      </w:pPr>
      <w:r w:rsidRPr="00955457">
        <w:t>Tout en étant consciente des difficultés que pourrait créer une nouvelle modification des consignes écrites, la délégation roumaine invite néanmoins la Réunion conjointe à examiner les arguments ci-après en faveur d</w:t>
      </w:r>
      <w:r>
        <w:t>’</w:t>
      </w:r>
      <w:r w:rsidRPr="00955457">
        <w:t>une modification du texte de la section 5.4.3.</w:t>
      </w:r>
    </w:p>
    <w:p w:rsidR="001C4AD7" w:rsidRPr="001C4AD7" w:rsidRDefault="001C4AD7" w:rsidP="001C4AD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C4AD7" w:rsidRPr="001C4AD7" w:rsidRDefault="001C4AD7" w:rsidP="001C4AD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8F12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Propositions</w:t>
      </w:r>
    </w:p>
    <w:p w:rsidR="008F12A4" w:rsidRPr="008F12A4" w:rsidRDefault="008F12A4" w:rsidP="008F12A4">
      <w:pPr>
        <w:spacing w:line="120" w:lineRule="exact"/>
        <w:rPr>
          <w:sz w:val="10"/>
          <w:lang w:val="fr-CH"/>
        </w:rPr>
      </w:pPr>
    </w:p>
    <w:p w:rsidR="008F12A4" w:rsidRPr="008F12A4" w:rsidRDefault="008F12A4" w:rsidP="008F12A4">
      <w:pPr>
        <w:spacing w:line="120" w:lineRule="exact"/>
        <w:rPr>
          <w:sz w:val="10"/>
          <w:lang w:val="fr-CH"/>
        </w:rPr>
      </w:pPr>
    </w:p>
    <w:p w:rsidR="00135A27" w:rsidRDefault="00135A27" w:rsidP="008F12A4">
      <w:pPr>
        <w:pStyle w:val="SingleTxt"/>
        <w:numPr>
          <w:ilvl w:val="0"/>
          <w:numId w:val="8"/>
        </w:numPr>
        <w:tabs>
          <w:tab w:val="clear" w:pos="475"/>
          <w:tab w:val="num" w:pos="1742"/>
        </w:tabs>
        <w:ind w:left="1267"/>
      </w:pPr>
      <w:r w:rsidRPr="00955457">
        <w:t>Le présent document est organisé de manière à associer clairement chaque raisonnement à la proposition qui en découle.</w:t>
      </w:r>
    </w:p>
    <w:p w:rsidR="008F12A4" w:rsidRPr="008F12A4" w:rsidRDefault="008F12A4" w:rsidP="008F12A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8F12A4" w:rsidRPr="008F12A4" w:rsidRDefault="008F12A4" w:rsidP="008F12A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103C9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Proposition 1</w:t>
      </w:r>
    </w:p>
    <w:p w:rsidR="008F12A4" w:rsidRPr="008F12A4" w:rsidRDefault="008F12A4" w:rsidP="008F12A4">
      <w:pPr>
        <w:spacing w:line="120" w:lineRule="exact"/>
        <w:rPr>
          <w:sz w:val="10"/>
        </w:rPr>
      </w:pPr>
    </w:p>
    <w:p w:rsidR="008F12A4" w:rsidRPr="008F12A4" w:rsidRDefault="008F12A4" w:rsidP="008F12A4">
      <w:pPr>
        <w:spacing w:line="120" w:lineRule="exact"/>
        <w:rPr>
          <w:sz w:val="10"/>
        </w:rPr>
      </w:pPr>
    </w:p>
    <w:p w:rsidR="00135A27" w:rsidRPr="00955457" w:rsidRDefault="00135A27" w:rsidP="008F12A4">
      <w:pPr>
        <w:pStyle w:val="SingleTxt"/>
        <w:numPr>
          <w:ilvl w:val="0"/>
          <w:numId w:val="8"/>
        </w:numPr>
        <w:tabs>
          <w:tab w:val="clear" w:pos="475"/>
          <w:tab w:val="num" w:pos="1742"/>
        </w:tabs>
        <w:ind w:left="1267"/>
      </w:pPr>
      <w:r w:rsidRPr="00955457">
        <w:t xml:space="preserve">Dans la colonne (2) (Caractéristiques de danger) du tableau des consignes écrites selon le </w:t>
      </w:r>
      <w:r w:rsidRPr="00955457">
        <w:rPr>
          <w:b/>
        </w:rPr>
        <w:t>RID</w:t>
      </w:r>
      <w:r w:rsidRPr="00955457">
        <w:t>, ajouter le risque de brûlures pour la classe 9. Ainsi, les caractéristiques de danger de chaque classe de marchandise dangereuse seraient les mêmes pour tous les modes de transport</w:t>
      </w:r>
      <w:r w:rsidR="008F12A4">
        <w:t>.</w:t>
      </w:r>
    </w:p>
    <w:p w:rsidR="00135A27" w:rsidRDefault="00135A27" w:rsidP="008F12A4">
      <w:pPr>
        <w:pStyle w:val="SingleTxt"/>
        <w:numPr>
          <w:ilvl w:val="0"/>
          <w:numId w:val="8"/>
        </w:numPr>
        <w:tabs>
          <w:tab w:val="clear" w:pos="475"/>
          <w:tab w:val="num" w:pos="1742"/>
        </w:tabs>
        <w:ind w:left="1267"/>
      </w:pPr>
      <w:r w:rsidRPr="00955457">
        <w:t xml:space="preserve">Une autre solution serait de considérer que les caractéristiques de danger indiquées dans le </w:t>
      </w:r>
      <w:r w:rsidRPr="00955457">
        <w:rPr>
          <w:b/>
        </w:rPr>
        <w:t xml:space="preserve">RID </w:t>
      </w:r>
      <w:r w:rsidRPr="00955457">
        <w:t>pour la marque correspondant aux matières transportées à chaud sont suffisantes et de supprimer le risque de brûlures pour la classe 9 dans l</w:t>
      </w:r>
      <w:r>
        <w:t>’</w:t>
      </w:r>
      <w:r w:rsidRPr="00955457">
        <w:rPr>
          <w:b/>
        </w:rPr>
        <w:t>ADR</w:t>
      </w:r>
      <w:r w:rsidRPr="00955457">
        <w:t xml:space="preserve"> et l</w:t>
      </w:r>
      <w:r>
        <w:t>’</w:t>
      </w:r>
      <w:r w:rsidRPr="00955457">
        <w:rPr>
          <w:b/>
        </w:rPr>
        <w:t>ADN</w:t>
      </w:r>
      <w:r w:rsidRPr="00955457">
        <w:t>.</w:t>
      </w:r>
    </w:p>
    <w:p w:rsidR="008F12A4" w:rsidRPr="008F12A4" w:rsidRDefault="008F12A4" w:rsidP="008F12A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103C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Option 1</w:t>
      </w:r>
    </w:p>
    <w:p w:rsidR="008F12A4" w:rsidRPr="008F12A4" w:rsidRDefault="008F12A4" w:rsidP="008F12A4">
      <w:pPr>
        <w:spacing w:line="120" w:lineRule="exact"/>
        <w:rPr>
          <w:sz w:val="10"/>
        </w:rPr>
      </w:pPr>
    </w:p>
    <w:p w:rsidR="00135A27" w:rsidRDefault="00135A27" w:rsidP="008F12A4">
      <w:pPr>
        <w:pStyle w:val="SingleTxt"/>
        <w:numPr>
          <w:ilvl w:val="0"/>
          <w:numId w:val="8"/>
        </w:numPr>
        <w:tabs>
          <w:tab w:val="clear" w:pos="475"/>
          <w:tab w:val="num" w:pos="1742"/>
        </w:tabs>
        <w:ind w:left="1267"/>
      </w:pPr>
      <w:r w:rsidRPr="00955457">
        <w:t xml:space="preserve">Dans la colonne (2) (Caractéristiques de danger) du tableau des consignes écrites selon le </w:t>
      </w:r>
      <w:r w:rsidRPr="00955457">
        <w:rPr>
          <w:b/>
        </w:rPr>
        <w:t>RID</w:t>
      </w:r>
      <w:r w:rsidRPr="00955457">
        <w:t>, en regard de l</w:t>
      </w:r>
      <w:r>
        <w:t>’</w:t>
      </w:r>
      <w:r w:rsidRPr="00955457">
        <w:t xml:space="preserve">étiquette 9, ajouter </w:t>
      </w:r>
      <w:r w:rsidR="008F12A4">
        <w:t>« </w:t>
      </w:r>
      <w:r w:rsidRPr="00955457">
        <w:t>Risque de brûlures</w:t>
      </w:r>
      <w:r>
        <w:t> »</w:t>
      </w:r>
      <w:r w:rsidRPr="00955457">
        <w:t xml:space="preserve"> avant </w:t>
      </w:r>
      <w:r w:rsidR="008F12A4">
        <w:t>« </w:t>
      </w:r>
      <w:r w:rsidRPr="00955457">
        <w:t>Risque d</w:t>
      </w:r>
      <w:r>
        <w:t>’</w:t>
      </w:r>
      <w:r w:rsidRPr="00955457">
        <w:t>incendie</w:t>
      </w:r>
      <w:r>
        <w:t> »</w:t>
      </w:r>
      <w:r w:rsidRPr="00955457">
        <w:t>; ou</w:t>
      </w:r>
    </w:p>
    <w:p w:rsidR="00103C9A" w:rsidRPr="00103C9A" w:rsidRDefault="00103C9A" w:rsidP="00103C9A">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103C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Option 2</w:t>
      </w:r>
    </w:p>
    <w:p w:rsidR="00103C9A" w:rsidRPr="00103C9A" w:rsidRDefault="00103C9A" w:rsidP="00103C9A">
      <w:pPr>
        <w:spacing w:line="120" w:lineRule="exact"/>
        <w:rPr>
          <w:sz w:val="10"/>
        </w:rPr>
      </w:pPr>
    </w:p>
    <w:p w:rsidR="00135A27" w:rsidRDefault="00135A27" w:rsidP="008F12A4">
      <w:pPr>
        <w:pStyle w:val="SingleTxt"/>
        <w:numPr>
          <w:ilvl w:val="0"/>
          <w:numId w:val="8"/>
        </w:numPr>
        <w:tabs>
          <w:tab w:val="clear" w:pos="475"/>
          <w:tab w:val="num" w:pos="1742"/>
        </w:tabs>
        <w:ind w:left="1267"/>
      </w:pPr>
      <w:r w:rsidRPr="00955457">
        <w:t>Dans la colonne (2) (Caractéristiques de danger) du tableau des consignes écrites selon l</w:t>
      </w:r>
      <w:r>
        <w:t>’</w:t>
      </w:r>
      <w:r w:rsidRPr="00955457">
        <w:rPr>
          <w:b/>
        </w:rPr>
        <w:t>ADR</w:t>
      </w:r>
      <w:r w:rsidRPr="00955457">
        <w:t xml:space="preserve"> et l</w:t>
      </w:r>
      <w:r>
        <w:t>’</w:t>
      </w:r>
      <w:r w:rsidRPr="00955457">
        <w:rPr>
          <w:b/>
        </w:rPr>
        <w:t>ADN</w:t>
      </w:r>
      <w:r w:rsidRPr="00955457">
        <w:t>, en regard de l</w:t>
      </w:r>
      <w:r>
        <w:t>’</w:t>
      </w:r>
      <w:r w:rsidRPr="00955457">
        <w:t xml:space="preserve">étiquette 9, supprimer </w:t>
      </w:r>
      <w:r w:rsidR="00C45B72">
        <w:t>« </w:t>
      </w:r>
      <w:r w:rsidRPr="00955457">
        <w:t>Risque de brûlures</w:t>
      </w:r>
      <w:r>
        <w:t> »</w:t>
      </w:r>
      <w:r w:rsidRPr="00955457">
        <w:t>.</w:t>
      </w:r>
    </w:p>
    <w:p w:rsidR="00A43945" w:rsidRPr="00A43945" w:rsidRDefault="00A43945" w:rsidP="00A43945">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A43945" w:rsidRPr="00A43945" w:rsidRDefault="00A43945" w:rsidP="00A43945">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A4394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lastRenderedPageBreak/>
        <w:tab/>
      </w:r>
      <w:r w:rsidRPr="00955457">
        <w:tab/>
        <w:t>Proposition 2</w:t>
      </w:r>
    </w:p>
    <w:p w:rsidR="000911F5" w:rsidRPr="000911F5" w:rsidRDefault="000911F5" w:rsidP="000911F5">
      <w:pPr>
        <w:spacing w:line="120" w:lineRule="exact"/>
        <w:rPr>
          <w:sz w:val="10"/>
        </w:rPr>
      </w:pPr>
    </w:p>
    <w:p w:rsidR="000911F5" w:rsidRPr="000911F5" w:rsidRDefault="000911F5" w:rsidP="000911F5">
      <w:pPr>
        <w:spacing w:line="120" w:lineRule="exact"/>
        <w:rPr>
          <w:sz w:val="10"/>
        </w:rPr>
      </w:pPr>
    </w:p>
    <w:p w:rsidR="00135A27" w:rsidRPr="00955457" w:rsidRDefault="000911F5" w:rsidP="000911F5">
      <w:pPr>
        <w:pStyle w:val="SingleTxt"/>
        <w:numPr>
          <w:ilvl w:val="0"/>
          <w:numId w:val="10"/>
        </w:numPr>
        <w:tabs>
          <w:tab w:val="clear" w:pos="475"/>
          <w:tab w:val="num" w:pos="1742"/>
        </w:tabs>
        <w:ind w:left="1267"/>
        <w:rPr>
          <w:strike/>
        </w:rPr>
      </w:pPr>
      <w:r>
        <w:rPr>
          <w:color w:val="000000"/>
          <w:lang w:eastAsia="en-GB"/>
        </w:rPr>
        <w:t>L</w:t>
      </w:r>
      <w:r w:rsidR="00135A27" w:rsidRPr="00955457">
        <w:rPr>
          <w:color w:val="000000"/>
          <w:lang w:eastAsia="en-GB"/>
        </w:rPr>
        <w:t>es propositions d</w:t>
      </w:r>
      <w:r w:rsidR="00135A27">
        <w:rPr>
          <w:color w:val="000000"/>
          <w:lang w:eastAsia="en-GB"/>
        </w:rPr>
        <w:t>’</w:t>
      </w:r>
      <w:r w:rsidR="00135A27" w:rsidRPr="00955457">
        <w:rPr>
          <w:color w:val="000000"/>
          <w:lang w:eastAsia="en-GB"/>
        </w:rPr>
        <w:t xml:space="preserve">amendements ci-après visent à éliminer la contradiction </w:t>
      </w:r>
      <w:r w:rsidR="00135A27" w:rsidRPr="00A43945">
        <w:t>qui</w:t>
      </w:r>
      <w:r w:rsidR="00135A27" w:rsidRPr="00955457">
        <w:rPr>
          <w:color w:val="000000"/>
          <w:lang w:eastAsia="en-GB"/>
        </w:rPr>
        <w:t xml:space="preserve"> existe entre les dispositions du paragraphe 5.4.3.4 et le Nota 2 des consignes écrites pour </w:t>
      </w:r>
      <w:r w:rsidR="00135A27" w:rsidRPr="00A43945">
        <w:t>tous</w:t>
      </w:r>
      <w:r w:rsidR="00135A27" w:rsidRPr="00955457">
        <w:rPr>
          <w:color w:val="000000"/>
          <w:lang w:eastAsia="en-GB"/>
        </w:rPr>
        <w:t xml:space="preserve"> les modes de transport, en remplaçant </w:t>
      </w:r>
      <w:r w:rsidR="00A43945">
        <w:rPr>
          <w:color w:val="000000"/>
          <w:lang w:eastAsia="en-GB"/>
        </w:rPr>
        <w:t>« </w:t>
      </w:r>
      <w:r w:rsidR="00135A27" w:rsidRPr="00955457">
        <w:rPr>
          <w:color w:val="000000"/>
          <w:lang w:eastAsia="en-GB"/>
        </w:rPr>
        <w:t>adaptées</w:t>
      </w:r>
      <w:r w:rsidR="00135A27">
        <w:rPr>
          <w:color w:val="000000"/>
          <w:lang w:eastAsia="en-GB"/>
        </w:rPr>
        <w:t> »</w:t>
      </w:r>
      <w:r w:rsidR="00135A27" w:rsidRPr="00955457">
        <w:rPr>
          <w:color w:val="000000"/>
          <w:lang w:eastAsia="en-GB"/>
        </w:rPr>
        <w:t xml:space="preserve"> par </w:t>
      </w:r>
      <w:r w:rsidR="00A43945">
        <w:rPr>
          <w:color w:val="000000"/>
          <w:lang w:eastAsia="en-GB"/>
        </w:rPr>
        <w:t>« </w:t>
      </w:r>
      <w:r w:rsidR="00135A27" w:rsidRPr="00955457">
        <w:rPr>
          <w:color w:val="000000"/>
          <w:lang w:eastAsia="en-GB"/>
        </w:rPr>
        <w:t>complétées à l</w:t>
      </w:r>
      <w:r w:rsidR="00135A27">
        <w:rPr>
          <w:color w:val="000000"/>
          <w:lang w:eastAsia="en-GB"/>
        </w:rPr>
        <w:t>’</w:t>
      </w:r>
      <w:r w:rsidR="00135A27" w:rsidRPr="00955457">
        <w:rPr>
          <w:color w:val="000000"/>
          <w:lang w:eastAsia="en-GB"/>
        </w:rPr>
        <w:t>aide d</w:t>
      </w:r>
      <w:r w:rsidR="00135A27">
        <w:rPr>
          <w:color w:val="000000"/>
          <w:lang w:eastAsia="en-GB"/>
        </w:rPr>
        <w:t>’</w:t>
      </w:r>
      <w:r w:rsidR="00135A27" w:rsidRPr="00955457">
        <w:rPr>
          <w:color w:val="000000"/>
          <w:lang w:eastAsia="en-GB"/>
        </w:rPr>
        <w:t>un feuillet supplémentaire</w:t>
      </w:r>
      <w:r w:rsidR="00135A27">
        <w:rPr>
          <w:color w:val="000000"/>
          <w:lang w:eastAsia="en-GB"/>
        </w:rPr>
        <w:t> »</w:t>
      </w:r>
      <w:r w:rsidR="00135A27" w:rsidRPr="00955457">
        <w:rPr>
          <w:color w:val="000000"/>
          <w:lang w:eastAsia="en-GB"/>
        </w:rPr>
        <w:t xml:space="preserve"> dans le Nota</w:t>
      </w:r>
      <w:r>
        <w:rPr>
          <w:color w:val="000000"/>
          <w:lang w:eastAsia="en-GB"/>
        </w:rPr>
        <w:t xml:space="preserve"> </w:t>
      </w:r>
      <w:r w:rsidR="00135A27" w:rsidRPr="00955457">
        <w:rPr>
          <w:color w:val="000000"/>
          <w:lang w:eastAsia="en-GB"/>
        </w:rPr>
        <w:t>2. Cela autoriserait l</w:t>
      </w:r>
      <w:r w:rsidR="00135A27">
        <w:rPr>
          <w:color w:val="000000"/>
          <w:lang w:eastAsia="en-GB"/>
        </w:rPr>
        <w:t>’</w:t>
      </w:r>
      <w:r w:rsidR="00135A27" w:rsidRPr="00955457">
        <w:rPr>
          <w:color w:val="000000"/>
          <w:lang w:eastAsia="en-GB"/>
        </w:rPr>
        <w:t>ajout d</w:t>
      </w:r>
      <w:r w:rsidR="00135A27">
        <w:rPr>
          <w:color w:val="000000"/>
          <w:lang w:eastAsia="en-GB"/>
        </w:rPr>
        <w:t>’</w:t>
      </w:r>
      <w:r w:rsidR="00135A27" w:rsidRPr="00955457">
        <w:rPr>
          <w:color w:val="000000"/>
          <w:lang w:eastAsia="en-GB"/>
        </w:rPr>
        <w:t>un feuillet comportant les éventuelles indications supplémentaires que le transporteur ou l</w:t>
      </w:r>
      <w:r w:rsidR="00135A27">
        <w:rPr>
          <w:color w:val="000000"/>
          <w:lang w:eastAsia="en-GB"/>
        </w:rPr>
        <w:t>’</w:t>
      </w:r>
      <w:r w:rsidR="00135A27" w:rsidRPr="00955457">
        <w:rPr>
          <w:color w:val="000000"/>
          <w:lang w:eastAsia="en-GB"/>
        </w:rPr>
        <w:t>expéditeur estime nécessaires (par exemple, numéro de téléphone d</w:t>
      </w:r>
      <w:r w:rsidR="00135A27">
        <w:rPr>
          <w:color w:val="000000"/>
          <w:lang w:eastAsia="en-GB"/>
        </w:rPr>
        <w:t>’</w:t>
      </w:r>
      <w:r w:rsidR="00135A27" w:rsidRPr="00955457">
        <w:rPr>
          <w:color w:val="000000"/>
          <w:lang w:eastAsia="en-GB"/>
        </w:rPr>
        <w:t xml:space="preserve">urgence, personne à contacter, etc.). Par voie de conséquence, il faudrait également modifier la fin du texte dans le </w:t>
      </w:r>
      <w:r w:rsidR="00135A27" w:rsidRPr="00955457">
        <w:rPr>
          <w:b/>
          <w:bCs/>
          <w:color w:val="000000"/>
          <w:lang w:eastAsia="en-GB"/>
        </w:rPr>
        <w:t>RID</w:t>
      </w:r>
      <w:r w:rsidR="00135A27" w:rsidRPr="00955457">
        <w:rPr>
          <w:color w:val="000000"/>
          <w:lang w:eastAsia="en-GB"/>
        </w:rPr>
        <w:t>.</w:t>
      </w:r>
    </w:p>
    <w:p w:rsidR="00135A27" w:rsidRPr="00955457" w:rsidRDefault="00135A27" w:rsidP="000911F5">
      <w:pPr>
        <w:pStyle w:val="SingleTxt"/>
        <w:numPr>
          <w:ilvl w:val="0"/>
          <w:numId w:val="10"/>
        </w:numPr>
        <w:tabs>
          <w:tab w:val="clear" w:pos="475"/>
          <w:tab w:val="num" w:pos="1742"/>
        </w:tabs>
        <w:ind w:left="1267"/>
      </w:pPr>
      <w:r w:rsidRPr="00955457">
        <w:t>Pour tous les modes de transport, à la page 3 des consignes écrites, modifier le libellé du Nota 2 comme suit</w:t>
      </w:r>
      <w:r w:rsidR="000911F5">
        <w:t> </w:t>
      </w:r>
      <w:r w:rsidRPr="00955457">
        <w:t>:</w:t>
      </w:r>
    </w:p>
    <w:p w:rsidR="00135A27" w:rsidRPr="000911F5" w:rsidRDefault="00135A27" w:rsidP="000911F5">
      <w:pPr>
        <w:pStyle w:val="SingleTxt"/>
        <w:rPr>
          <w:b/>
        </w:rPr>
      </w:pPr>
      <w:r w:rsidRPr="000911F5">
        <w:rPr>
          <w:b/>
        </w:rPr>
        <w:t>ADR et ADN</w:t>
      </w:r>
      <w:r w:rsidR="000911F5">
        <w:rPr>
          <w:b/>
        </w:rPr>
        <w:t> </w:t>
      </w:r>
      <w:r w:rsidRPr="000911F5">
        <w:rPr>
          <w:b/>
        </w:rPr>
        <w:t>:</w:t>
      </w:r>
    </w:p>
    <w:p w:rsidR="00135A27" w:rsidRPr="00BC7816" w:rsidRDefault="00CC01BA" w:rsidP="005722E0">
      <w:pPr>
        <w:pStyle w:val="SingleTxt"/>
        <w:rPr>
          <w:bCs/>
        </w:rPr>
      </w:pPr>
      <w:r w:rsidRPr="00BC7816">
        <w:rPr>
          <w:bCs/>
        </w:rPr>
        <w:t>« </w:t>
      </w:r>
      <w:r w:rsidR="00135A27" w:rsidRPr="00BC7816">
        <w:rPr>
          <w:b/>
          <w:bCs/>
        </w:rPr>
        <w:t>NOTA 2</w:t>
      </w:r>
      <w:r w:rsidRPr="00BC7816">
        <w:rPr>
          <w:b/>
          <w:bCs/>
        </w:rPr>
        <w:t> </w:t>
      </w:r>
      <w:r w:rsidR="00135A27" w:rsidRPr="00BC7816">
        <w:rPr>
          <w:b/>
          <w:bCs/>
        </w:rPr>
        <w:t>:</w:t>
      </w:r>
      <w:r w:rsidR="00135A27" w:rsidRPr="00BC7816">
        <w:rPr>
          <w:bCs/>
        </w:rPr>
        <w:tab/>
        <w:t xml:space="preserve">Les indications supplémentaires données ci-dessus peuvent être </w:t>
      </w:r>
      <w:r w:rsidR="00135A27" w:rsidRPr="00BC7816">
        <w:rPr>
          <w:bCs/>
          <w:strike/>
        </w:rPr>
        <w:t>adaptées</w:t>
      </w:r>
      <w:r w:rsidR="00135A27" w:rsidRPr="00BC7816">
        <w:rPr>
          <w:bCs/>
        </w:rPr>
        <w:t xml:space="preserve"> </w:t>
      </w:r>
      <w:r w:rsidR="00135A27" w:rsidRPr="00BC7816">
        <w:rPr>
          <w:bCs/>
          <w:u w:val="single"/>
        </w:rPr>
        <w:t>complétées à l’aide d’un feuillet supplémentaire</w:t>
      </w:r>
      <w:r w:rsidR="00135A27" w:rsidRPr="00BC7816">
        <w:rPr>
          <w:bCs/>
        </w:rPr>
        <w:t xml:space="preserve"> pour tenir compte des classes de marchandises dangereuses et des moyens utilisés pour les transporter. ».</w:t>
      </w:r>
    </w:p>
    <w:p w:rsidR="00135A27" w:rsidRPr="00955457" w:rsidRDefault="00135A27" w:rsidP="00CC01BA">
      <w:pPr>
        <w:pStyle w:val="SingleTxt"/>
        <w:rPr>
          <w:b/>
        </w:rPr>
      </w:pPr>
      <w:r w:rsidRPr="00955457">
        <w:rPr>
          <w:b/>
        </w:rPr>
        <w:t>RID</w:t>
      </w:r>
      <w:r w:rsidR="00BC7816">
        <w:rPr>
          <w:b/>
        </w:rPr>
        <w:t> </w:t>
      </w:r>
      <w:r w:rsidRPr="00955457">
        <w:rPr>
          <w:b/>
        </w:rPr>
        <w:t>:</w:t>
      </w:r>
    </w:p>
    <w:p w:rsidR="00135A27" w:rsidRPr="00BC7816" w:rsidRDefault="00CC01BA" w:rsidP="00CC01BA">
      <w:pPr>
        <w:pStyle w:val="SingleTxt"/>
        <w:rPr>
          <w:bCs/>
        </w:rPr>
      </w:pPr>
      <w:r w:rsidRPr="00BC7816">
        <w:rPr>
          <w:bCs/>
        </w:rPr>
        <w:t>« </w:t>
      </w:r>
      <w:r w:rsidR="00135A27" w:rsidRPr="00BC7816">
        <w:rPr>
          <w:b/>
          <w:bCs/>
        </w:rPr>
        <w:t>NOTA 2</w:t>
      </w:r>
      <w:r w:rsidR="00BC7816">
        <w:rPr>
          <w:b/>
          <w:bCs/>
        </w:rPr>
        <w:t> </w:t>
      </w:r>
      <w:r w:rsidR="00135A27" w:rsidRPr="00BC7816">
        <w:rPr>
          <w:b/>
          <w:bCs/>
        </w:rPr>
        <w:t>:</w:t>
      </w:r>
      <w:r w:rsidR="00135A27" w:rsidRPr="00BC7816">
        <w:rPr>
          <w:bCs/>
        </w:rPr>
        <w:tab/>
        <w:t xml:space="preserve">Les indications supplémentaires données ci-dessus peuvent être </w:t>
      </w:r>
      <w:r w:rsidR="00135A27" w:rsidRPr="00BC7816">
        <w:rPr>
          <w:bCs/>
          <w:strike/>
        </w:rPr>
        <w:t>adaptées</w:t>
      </w:r>
      <w:r w:rsidR="00135A27" w:rsidRPr="00BC7816">
        <w:rPr>
          <w:bCs/>
        </w:rPr>
        <w:t xml:space="preserve"> </w:t>
      </w:r>
      <w:r w:rsidR="00135A27" w:rsidRPr="00BC7816">
        <w:rPr>
          <w:bCs/>
          <w:u w:val="single"/>
        </w:rPr>
        <w:t>complétées à l’aide d’un feuillet supplémentaire</w:t>
      </w:r>
      <w:r w:rsidR="00135A27" w:rsidRPr="00BC7816">
        <w:rPr>
          <w:bCs/>
        </w:rPr>
        <w:t xml:space="preserve"> pour tenir compte des classes de marchandises dangereuses et des moyens utilisés pour les transporter et, le cas échéant,</w:t>
      </w:r>
      <w:r w:rsidR="00135A27" w:rsidRPr="00BC7816">
        <w:rPr>
          <w:bCs/>
          <w:strike/>
        </w:rPr>
        <w:t xml:space="preserve"> pour les compléter conformément aux</w:t>
      </w:r>
      <w:r w:rsidR="00135A27" w:rsidRPr="00BC7816">
        <w:rPr>
          <w:bCs/>
        </w:rPr>
        <w:t xml:space="preserve"> </w:t>
      </w:r>
      <w:r w:rsidR="00135A27" w:rsidRPr="00BC7816">
        <w:rPr>
          <w:bCs/>
          <w:u w:val="single"/>
        </w:rPr>
        <w:t>des</w:t>
      </w:r>
      <w:r w:rsidR="00135A27" w:rsidRPr="00BC7816">
        <w:rPr>
          <w:bCs/>
        </w:rPr>
        <w:t xml:space="preserve"> exigences nationales existantes. ».</w:t>
      </w:r>
    </w:p>
    <w:p w:rsidR="005722E0" w:rsidRPr="005722E0" w:rsidRDefault="005722E0" w:rsidP="005722E0">
      <w:pPr>
        <w:pStyle w:val="SingleTxt"/>
        <w:spacing w:after="0" w:line="120" w:lineRule="exact"/>
        <w:rPr>
          <w:bCs/>
          <w:sz w:val="10"/>
        </w:rPr>
      </w:pPr>
    </w:p>
    <w:p w:rsidR="005722E0" w:rsidRPr="005722E0" w:rsidRDefault="005722E0" w:rsidP="005722E0">
      <w:pPr>
        <w:pStyle w:val="SingleTxt"/>
        <w:spacing w:after="0" w:line="120" w:lineRule="exact"/>
        <w:rPr>
          <w:bCs/>
          <w:i/>
          <w:sz w:val="10"/>
        </w:rPr>
      </w:pPr>
    </w:p>
    <w:p w:rsidR="00135A27" w:rsidRDefault="00135A27" w:rsidP="005722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Proposition 3</w:t>
      </w:r>
    </w:p>
    <w:p w:rsidR="005722E0" w:rsidRPr="005722E0" w:rsidRDefault="005722E0" w:rsidP="005722E0">
      <w:pPr>
        <w:spacing w:line="120" w:lineRule="exact"/>
        <w:rPr>
          <w:sz w:val="10"/>
        </w:rPr>
      </w:pPr>
    </w:p>
    <w:p w:rsidR="005722E0" w:rsidRPr="005722E0" w:rsidRDefault="005722E0" w:rsidP="005722E0">
      <w:pPr>
        <w:spacing w:line="120" w:lineRule="exact"/>
        <w:rPr>
          <w:sz w:val="10"/>
        </w:rPr>
      </w:pPr>
    </w:p>
    <w:p w:rsidR="00135A27" w:rsidRPr="00955457" w:rsidRDefault="00135A27" w:rsidP="000911F5">
      <w:pPr>
        <w:pStyle w:val="SingleTxt"/>
        <w:numPr>
          <w:ilvl w:val="0"/>
          <w:numId w:val="10"/>
        </w:numPr>
        <w:tabs>
          <w:tab w:val="clear" w:pos="475"/>
          <w:tab w:val="num" w:pos="1742"/>
        </w:tabs>
        <w:ind w:left="1267"/>
      </w:pPr>
      <w:r w:rsidRPr="00955457">
        <w:t xml:space="preserve">La modification du mot </w:t>
      </w:r>
      <w:r w:rsidR="005722E0">
        <w:t>« </w:t>
      </w:r>
      <w:r w:rsidRPr="00955457">
        <w:t>adaptées</w:t>
      </w:r>
      <w:r>
        <w:t> »</w:t>
      </w:r>
      <w:r w:rsidRPr="00955457">
        <w:t xml:space="preserve"> au Nota 2 de la page 3 des consignes écrites selon le </w:t>
      </w:r>
      <w:r w:rsidRPr="00955457">
        <w:rPr>
          <w:b/>
        </w:rPr>
        <w:t>RID</w:t>
      </w:r>
      <w:r w:rsidRPr="00955457">
        <w:t xml:space="preserve"> implique la modification du texte du 5.4.3.4 afin de définir non seulement le fond mais la forme des consignes écrites. La présente proposition ne vise aucunement à limiter ou à fixer définitivement la taille du document contenant les consignes écrites selon le </w:t>
      </w:r>
      <w:r w:rsidRPr="00955457">
        <w:rPr>
          <w:b/>
        </w:rPr>
        <w:t>RID/ADR/ADN</w:t>
      </w:r>
      <w:r w:rsidRPr="00955457">
        <w:t>.</w:t>
      </w:r>
    </w:p>
    <w:p w:rsidR="00135A27" w:rsidRPr="00955457" w:rsidRDefault="00135A27" w:rsidP="000911F5">
      <w:pPr>
        <w:pStyle w:val="SingleTxt"/>
        <w:numPr>
          <w:ilvl w:val="0"/>
          <w:numId w:val="10"/>
        </w:numPr>
        <w:tabs>
          <w:tab w:val="clear" w:pos="475"/>
          <w:tab w:val="num" w:pos="1742"/>
        </w:tabs>
        <w:ind w:left="1267"/>
      </w:pPr>
      <w:r w:rsidRPr="00955457">
        <w:t xml:space="preserve">Il est également proposé, au même paragraphe, de remplacer </w:t>
      </w:r>
      <w:r w:rsidR="00D43FE6">
        <w:t>« </w:t>
      </w:r>
      <w:r w:rsidRPr="00955457">
        <w:t>devraient</w:t>
      </w:r>
      <w:r>
        <w:t> »</w:t>
      </w:r>
      <w:r w:rsidRPr="00955457">
        <w:t xml:space="preserve"> par </w:t>
      </w:r>
      <w:r w:rsidR="005722E0">
        <w:t>« </w:t>
      </w:r>
      <w:r w:rsidRPr="00955457">
        <w:t>doivent</w:t>
      </w:r>
      <w:r>
        <w:t> »</w:t>
      </w:r>
      <w:r w:rsidRPr="00955457">
        <w:t>.</w:t>
      </w:r>
    </w:p>
    <w:p w:rsidR="00135A27" w:rsidRPr="00955457" w:rsidRDefault="00135A27" w:rsidP="000911F5">
      <w:pPr>
        <w:pStyle w:val="SingleTxt"/>
        <w:numPr>
          <w:ilvl w:val="0"/>
          <w:numId w:val="10"/>
        </w:numPr>
        <w:tabs>
          <w:tab w:val="clear" w:pos="475"/>
          <w:tab w:val="num" w:pos="1742"/>
        </w:tabs>
        <w:ind w:left="1267"/>
      </w:pPr>
      <w:r w:rsidRPr="00955457">
        <w:t xml:space="preserve">Modifier le </w:t>
      </w:r>
      <w:r w:rsidRPr="00955457">
        <w:rPr>
          <w:bCs/>
        </w:rPr>
        <w:t xml:space="preserve">paragraphe 5.4.3.4 du </w:t>
      </w:r>
      <w:r w:rsidRPr="00955457">
        <w:rPr>
          <w:b/>
          <w:bCs/>
        </w:rPr>
        <w:t>RID</w:t>
      </w:r>
      <w:r w:rsidRPr="00955457">
        <w:rPr>
          <w:bCs/>
        </w:rPr>
        <w:t xml:space="preserve"> comme suit</w:t>
      </w:r>
      <w:r w:rsidR="005722E0">
        <w:rPr>
          <w:bCs/>
        </w:rPr>
        <w:t> </w:t>
      </w:r>
      <w:r w:rsidRPr="00955457">
        <w:t>:</w:t>
      </w:r>
    </w:p>
    <w:p w:rsidR="00135A27" w:rsidRDefault="005722E0" w:rsidP="005722E0">
      <w:pPr>
        <w:pStyle w:val="SingleTxt"/>
      </w:pPr>
      <w:r>
        <w:t>« </w:t>
      </w:r>
      <w:r w:rsidR="00135A27" w:rsidRPr="00955457">
        <w:t>5.4.3.4</w:t>
      </w:r>
      <w:r w:rsidR="00135A27" w:rsidRPr="00955457">
        <w:tab/>
        <w:t xml:space="preserve">Les consignes écrites </w:t>
      </w:r>
      <w:r w:rsidR="00135A27" w:rsidRPr="00955457">
        <w:rPr>
          <w:strike/>
        </w:rPr>
        <w:t>devraient</w:t>
      </w:r>
      <w:r w:rsidR="00B55CBB" w:rsidRPr="00B55CBB">
        <w:t xml:space="preserve"> </w:t>
      </w:r>
      <w:r w:rsidR="00135A27" w:rsidRPr="00955457">
        <w:rPr>
          <w:u w:val="single"/>
        </w:rPr>
        <w:t>doivent</w:t>
      </w:r>
      <w:r w:rsidR="00135A27" w:rsidRPr="00955457">
        <w:t xml:space="preserve"> correspondre sur le fond </w:t>
      </w:r>
      <w:r w:rsidR="00135A27" w:rsidRPr="00955457">
        <w:rPr>
          <w:u w:val="single"/>
        </w:rPr>
        <w:t>et sur la forme</w:t>
      </w:r>
      <w:r w:rsidR="00135A27" w:rsidRPr="00955457">
        <w:t xml:space="preserve"> au modèle de quatre pages suivant.</w:t>
      </w:r>
      <w:r w:rsidR="00135A27">
        <w:t> »</w:t>
      </w:r>
      <w:r w:rsidR="009C57CF">
        <w:t>.</w:t>
      </w:r>
    </w:p>
    <w:p w:rsidR="005722E0" w:rsidRPr="005722E0" w:rsidRDefault="005722E0" w:rsidP="005722E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5722E0" w:rsidRPr="005722E0" w:rsidRDefault="005722E0" w:rsidP="005722E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Default="00135A27" w:rsidP="005722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Proposition 4</w:t>
      </w:r>
    </w:p>
    <w:p w:rsidR="005722E0" w:rsidRPr="005722E0" w:rsidRDefault="005722E0" w:rsidP="005722E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5722E0" w:rsidRPr="005722E0" w:rsidRDefault="005722E0" w:rsidP="005722E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35A27" w:rsidRPr="00955457" w:rsidRDefault="00135A27" w:rsidP="000911F5">
      <w:pPr>
        <w:pStyle w:val="SingleTxt"/>
        <w:numPr>
          <w:ilvl w:val="0"/>
          <w:numId w:val="10"/>
        </w:numPr>
        <w:tabs>
          <w:tab w:val="clear" w:pos="475"/>
          <w:tab w:val="num" w:pos="1742"/>
        </w:tabs>
        <w:ind w:left="1267"/>
      </w:pPr>
      <w:r w:rsidRPr="00955457">
        <w:t>La modification qu</w:t>
      </w:r>
      <w:r>
        <w:t>’</w:t>
      </w:r>
      <w:r w:rsidRPr="00955457">
        <w:t>il est proposé d</w:t>
      </w:r>
      <w:r>
        <w:t>’</w:t>
      </w:r>
      <w:r w:rsidRPr="00955457">
        <w:t xml:space="preserve">apporter à la phrase introductive relative aux équipements, à la page 4 des consignes écrites selon le </w:t>
      </w:r>
      <w:r w:rsidRPr="00955457">
        <w:rPr>
          <w:b/>
        </w:rPr>
        <w:t>RID</w:t>
      </w:r>
      <w:r w:rsidRPr="00955457">
        <w:t>, vise à prescrire l</w:t>
      </w:r>
      <w:r>
        <w:t>’</w:t>
      </w:r>
      <w:r w:rsidRPr="00955457">
        <w:t>utilisation des équipements. Le texte actuel est formulé de telle manière que leur utilisation n</w:t>
      </w:r>
      <w:r>
        <w:t>’</w:t>
      </w:r>
      <w:r w:rsidRPr="00955457">
        <w:t>est pas exigée</w:t>
      </w:r>
      <w:r w:rsidR="005722E0">
        <w:t> </w:t>
      </w:r>
      <w:r w:rsidRPr="00955457">
        <w:t xml:space="preserve">: </w:t>
      </w:r>
      <w:r w:rsidR="005722E0">
        <w:t>« </w:t>
      </w:r>
      <w:r w:rsidRPr="00955457">
        <w:t xml:space="preserve">Les équipements </w:t>
      </w:r>
      <w:proofErr w:type="spellStart"/>
      <w:r w:rsidRPr="00955457">
        <w:t>suivants</w:t>
      </w:r>
      <w:r w:rsidRPr="007401D1">
        <w:rPr>
          <w:i/>
          <w:vertAlign w:val="superscript"/>
        </w:rPr>
        <w:t>a</w:t>
      </w:r>
      <w:proofErr w:type="spellEnd"/>
      <w:r w:rsidRPr="00955457">
        <w:t xml:space="preserve"> doivent se trouver dans la cabine du conducteur</w:t>
      </w:r>
      <w:r w:rsidR="005722E0">
        <w:t> </w:t>
      </w:r>
      <w:r w:rsidRPr="00955457">
        <w:t>:</w:t>
      </w:r>
      <w:r>
        <w:t> »</w:t>
      </w:r>
      <w:r w:rsidRPr="00955457">
        <w:t>. Les dispositions du 5.4.3.2 et du 5.4.3.3 ne mentionnent pas l</w:t>
      </w:r>
      <w:r>
        <w:t>’</w:t>
      </w:r>
      <w:r w:rsidRPr="00955457">
        <w:t>utilisation d</w:t>
      </w:r>
      <w:r>
        <w:t>’</w:t>
      </w:r>
      <w:r w:rsidRPr="00955457">
        <w:t>équipement; or, le conducteur à l</w:t>
      </w:r>
      <w:r>
        <w:t>’</w:t>
      </w:r>
      <w:r w:rsidRPr="00955457">
        <w:t>obligation d</w:t>
      </w:r>
      <w:r>
        <w:t>’</w:t>
      </w:r>
      <w:r w:rsidRPr="00955457">
        <w:t>utiliser les équipements présents dans la cabine.</w:t>
      </w:r>
    </w:p>
    <w:p w:rsidR="00135A27" w:rsidRPr="00955457" w:rsidRDefault="00135A27" w:rsidP="000911F5">
      <w:pPr>
        <w:pStyle w:val="SingleTxt"/>
        <w:numPr>
          <w:ilvl w:val="0"/>
          <w:numId w:val="10"/>
        </w:numPr>
        <w:tabs>
          <w:tab w:val="clear" w:pos="475"/>
          <w:tab w:val="num" w:pos="1742"/>
        </w:tabs>
        <w:ind w:left="1267"/>
      </w:pPr>
      <w:r w:rsidRPr="00955457">
        <w:t xml:space="preserve">À la page 4 des consignes écrites selon le </w:t>
      </w:r>
      <w:r w:rsidRPr="00955457">
        <w:rPr>
          <w:b/>
        </w:rPr>
        <w:t>RID</w:t>
      </w:r>
      <w:r w:rsidRPr="00955457">
        <w:t>, modifier la phrase introductive relative aux équipements comme suit</w:t>
      </w:r>
      <w:r w:rsidR="005722E0">
        <w:t> </w:t>
      </w:r>
      <w:r w:rsidRPr="00955457">
        <w:t>:</w:t>
      </w:r>
    </w:p>
    <w:p w:rsidR="00135A27" w:rsidRPr="00955457" w:rsidRDefault="005722E0" w:rsidP="005722E0">
      <w:pPr>
        <w:pStyle w:val="SingleTxt"/>
      </w:pPr>
      <w:r>
        <w:t>« </w:t>
      </w:r>
      <w:r w:rsidR="00135A27" w:rsidRPr="00955457">
        <w:t xml:space="preserve">Les équipements </w:t>
      </w:r>
      <w:proofErr w:type="spellStart"/>
      <w:r w:rsidR="00135A27" w:rsidRPr="00955457">
        <w:t>suivants</w:t>
      </w:r>
      <w:r w:rsidR="00135A27" w:rsidRPr="007401D1">
        <w:rPr>
          <w:i/>
          <w:vertAlign w:val="superscript"/>
        </w:rPr>
        <w:t>a</w:t>
      </w:r>
      <w:proofErr w:type="spellEnd"/>
      <w:r w:rsidR="00135A27" w:rsidRPr="00955457">
        <w:t xml:space="preserve"> doivent se trouver dans la cabine du conducteur </w:t>
      </w:r>
      <w:r w:rsidR="00135A27" w:rsidRPr="00955457">
        <w:rPr>
          <w:u w:val="single"/>
        </w:rPr>
        <w:t>pour son usage personnel</w:t>
      </w:r>
      <w:r>
        <w:rPr>
          <w:u w:val="single"/>
        </w:rPr>
        <w:t> </w:t>
      </w:r>
      <w:r w:rsidR="00135A27" w:rsidRPr="00955457">
        <w:t>:</w:t>
      </w:r>
      <w:r w:rsidR="00135A27">
        <w:t> »</w:t>
      </w:r>
      <w:r w:rsidR="00135A27" w:rsidRPr="00955457">
        <w:t>.</w:t>
      </w:r>
    </w:p>
    <w:p w:rsidR="00135A27" w:rsidRDefault="00135A27" w:rsidP="005722E0">
      <w:pPr>
        <w:pStyle w:val="SingleTxt"/>
      </w:pPr>
      <w:r w:rsidRPr="00955457">
        <w:t xml:space="preserve">Le texte de la note </w:t>
      </w:r>
      <w:r w:rsidRPr="004301B0">
        <w:rPr>
          <w:i/>
        </w:rPr>
        <w:t>a</w:t>
      </w:r>
      <w:r w:rsidRPr="00955457">
        <w:t xml:space="preserve"> reste inchangé.</w:t>
      </w:r>
    </w:p>
    <w:p w:rsidR="005722E0" w:rsidRPr="005722E0" w:rsidRDefault="005722E0" w:rsidP="005722E0">
      <w:pPr>
        <w:pStyle w:val="SingleTxt"/>
        <w:spacing w:after="0" w:line="120" w:lineRule="exact"/>
        <w:rPr>
          <w:sz w:val="10"/>
        </w:rPr>
      </w:pPr>
    </w:p>
    <w:p w:rsidR="005722E0" w:rsidRPr="005722E0" w:rsidRDefault="005722E0" w:rsidP="005722E0">
      <w:pPr>
        <w:pStyle w:val="SingleTxt"/>
        <w:spacing w:after="0" w:line="120" w:lineRule="exact"/>
        <w:rPr>
          <w:sz w:val="10"/>
        </w:rPr>
      </w:pPr>
    </w:p>
    <w:p w:rsidR="00135A27" w:rsidRDefault="00135A27" w:rsidP="005722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Proposition 5</w:t>
      </w:r>
    </w:p>
    <w:p w:rsidR="005722E0" w:rsidRPr="005722E0" w:rsidRDefault="005722E0" w:rsidP="005722E0">
      <w:pPr>
        <w:spacing w:line="120" w:lineRule="exact"/>
        <w:rPr>
          <w:sz w:val="10"/>
        </w:rPr>
      </w:pPr>
    </w:p>
    <w:p w:rsidR="005722E0" w:rsidRPr="005722E0" w:rsidRDefault="005722E0" w:rsidP="005722E0">
      <w:pPr>
        <w:spacing w:line="120" w:lineRule="exact"/>
        <w:rPr>
          <w:sz w:val="10"/>
        </w:rPr>
      </w:pPr>
    </w:p>
    <w:p w:rsidR="00135A27" w:rsidRPr="00955457" w:rsidRDefault="00135A27" w:rsidP="000911F5">
      <w:pPr>
        <w:pStyle w:val="SingleTxt"/>
        <w:numPr>
          <w:ilvl w:val="0"/>
          <w:numId w:val="10"/>
        </w:numPr>
        <w:tabs>
          <w:tab w:val="clear" w:pos="475"/>
          <w:tab w:val="num" w:pos="1742"/>
        </w:tabs>
        <w:ind w:left="1267"/>
      </w:pPr>
      <w:r w:rsidRPr="00955457">
        <w:t>La modification qu</w:t>
      </w:r>
      <w:r>
        <w:t>’</w:t>
      </w:r>
      <w:r w:rsidRPr="00955457">
        <w:t>il est proposé d</w:t>
      </w:r>
      <w:r>
        <w:t>’</w:t>
      </w:r>
      <w:r w:rsidRPr="00955457">
        <w:t>apporter à l</w:t>
      </w:r>
      <w:r>
        <w:t>’</w:t>
      </w:r>
      <w:r w:rsidRPr="00955457">
        <w:t>intitulé de la section relative aux équipements, à la page 4 des consignes écrites selon l</w:t>
      </w:r>
      <w:r>
        <w:t>’</w:t>
      </w:r>
      <w:r w:rsidRPr="00955457">
        <w:rPr>
          <w:b/>
        </w:rPr>
        <w:t>ADR</w:t>
      </w:r>
      <w:r w:rsidRPr="00955457">
        <w:t>, vise à rectifier l</w:t>
      </w:r>
      <w:r>
        <w:t>’</w:t>
      </w:r>
      <w:r w:rsidRPr="00955457">
        <w:t>incohérence que constitue l</w:t>
      </w:r>
      <w:r>
        <w:t>’</w:t>
      </w:r>
      <w:r w:rsidRPr="00955457">
        <w:t xml:space="preserve">utilisation du terme </w:t>
      </w:r>
      <w:r w:rsidR="005722E0">
        <w:t>« </w:t>
      </w:r>
      <w:r w:rsidRPr="00955457">
        <w:t>véhicule</w:t>
      </w:r>
      <w:r>
        <w:t> »</w:t>
      </w:r>
      <w:r w:rsidRPr="00955457">
        <w:t xml:space="preserve"> par rapport à la phrase suivante de la section et aux dispositions du paragraphe 8.1.5.2</w:t>
      </w:r>
      <w:r w:rsidR="005722E0">
        <w:t> </w:t>
      </w:r>
      <w:r w:rsidRPr="00955457">
        <w:t xml:space="preserve">: </w:t>
      </w:r>
      <w:r w:rsidR="005722E0">
        <w:t>« </w:t>
      </w:r>
      <w:r w:rsidRPr="00955457">
        <w:t>Toute unité de transport doit avoir à son bord les équipements suivants</w:t>
      </w:r>
      <w:r w:rsidR="005722E0">
        <w:t> </w:t>
      </w:r>
      <w:r w:rsidRPr="00955457">
        <w:t>:</w:t>
      </w:r>
      <w:r>
        <w:t> »</w:t>
      </w:r>
      <w:r w:rsidRPr="00955457">
        <w:t>.</w:t>
      </w:r>
    </w:p>
    <w:p w:rsidR="00135A27" w:rsidRPr="00955457" w:rsidRDefault="00135A27" w:rsidP="000911F5">
      <w:pPr>
        <w:pStyle w:val="SingleTxt"/>
        <w:numPr>
          <w:ilvl w:val="0"/>
          <w:numId w:val="10"/>
        </w:numPr>
        <w:tabs>
          <w:tab w:val="clear" w:pos="475"/>
          <w:tab w:val="num" w:pos="1742"/>
        </w:tabs>
        <w:ind w:left="1267"/>
      </w:pPr>
      <w:r w:rsidRPr="00955457">
        <w:t xml:space="preserve">À la page 4 des consignes écrites selon </w:t>
      </w:r>
      <w:r w:rsidRPr="004301B0">
        <w:t>l’</w:t>
      </w:r>
      <w:r w:rsidRPr="00955457">
        <w:rPr>
          <w:b/>
        </w:rPr>
        <w:t>ADR</w:t>
      </w:r>
      <w:r w:rsidRPr="00955457">
        <w:t>, modifier l</w:t>
      </w:r>
      <w:r>
        <w:t>’</w:t>
      </w:r>
      <w:r w:rsidRPr="00955457">
        <w:t xml:space="preserve">intitulé de la section relative aux équipements </w:t>
      </w:r>
      <w:r w:rsidRPr="00955457">
        <w:rPr>
          <w:bCs/>
        </w:rPr>
        <w:t>comme suit</w:t>
      </w:r>
      <w:r w:rsidR="00CC42C8">
        <w:rPr>
          <w:bCs/>
        </w:rPr>
        <w:t> </w:t>
      </w:r>
      <w:r w:rsidRPr="00955457">
        <w:t>:</w:t>
      </w:r>
    </w:p>
    <w:p w:rsidR="00135A27" w:rsidRDefault="00CC42C8" w:rsidP="00CC42C8">
      <w:pPr>
        <w:pStyle w:val="SingleTxt"/>
      </w:pPr>
      <w:r>
        <w:t>« </w:t>
      </w:r>
      <w:r w:rsidR="00135A27" w:rsidRPr="00955457">
        <w:t>Équipement de protection générale et individuelle à porter lors de mesures d</w:t>
      </w:r>
      <w:r w:rsidR="00135A27">
        <w:t>’</w:t>
      </w:r>
      <w:r w:rsidR="00135A27" w:rsidRPr="00955457">
        <w:t xml:space="preserve">urgence générales ou comportant des risques particuliers à détenir à bord </w:t>
      </w:r>
      <w:r w:rsidR="00135A27" w:rsidRPr="00955457">
        <w:rPr>
          <w:strike/>
        </w:rPr>
        <w:t>du véhicule</w:t>
      </w:r>
      <w:r w:rsidR="004301B0">
        <w:rPr>
          <w:strike/>
        </w:rPr>
        <w:t xml:space="preserve"> </w:t>
      </w:r>
      <w:r w:rsidR="00135A27" w:rsidRPr="00955457">
        <w:rPr>
          <w:u w:val="single"/>
        </w:rPr>
        <w:t>de l</w:t>
      </w:r>
      <w:r w:rsidR="00135A27">
        <w:rPr>
          <w:u w:val="single"/>
        </w:rPr>
        <w:t>’</w:t>
      </w:r>
      <w:r w:rsidR="00135A27" w:rsidRPr="00955457">
        <w:rPr>
          <w:u w:val="single"/>
        </w:rPr>
        <w:t>unité de transport</w:t>
      </w:r>
      <w:r w:rsidR="00135A27" w:rsidRPr="00955457">
        <w:t xml:space="preserve"> conformément à la section 8.1.5 de l</w:t>
      </w:r>
      <w:r w:rsidR="00135A27">
        <w:t>’</w:t>
      </w:r>
      <w:r w:rsidR="00135A27" w:rsidRPr="00955457">
        <w:t>ADR</w:t>
      </w:r>
      <w:r>
        <w:t>.</w:t>
      </w:r>
      <w:r w:rsidR="00135A27">
        <w:t> »</w:t>
      </w:r>
      <w:r w:rsidR="00135A27" w:rsidRPr="00955457">
        <w:t>.</w:t>
      </w:r>
    </w:p>
    <w:p w:rsidR="00767F6F" w:rsidRPr="00767F6F" w:rsidRDefault="00767F6F" w:rsidP="00767F6F">
      <w:pPr>
        <w:pStyle w:val="SingleTxt"/>
        <w:spacing w:after="0" w:line="120" w:lineRule="exact"/>
        <w:rPr>
          <w:sz w:val="10"/>
        </w:rPr>
      </w:pPr>
    </w:p>
    <w:p w:rsidR="00767F6F" w:rsidRPr="00767F6F" w:rsidRDefault="00767F6F" w:rsidP="00767F6F">
      <w:pPr>
        <w:pStyle w:val="SingleTxt"/>
        <w:spacing w:after="0" w:line="120" w:lineRule="exact"/>
        <w:rPr>
          <w:sz w:val="10"/>
        </w:rPr>
      </w:pPr>
    </w:p>
    <w:p w:rsidR="00135A27" w:rsidRDefault="00135A27" w:rsidP="00767F6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5457">
        <w:tab/>
      </w:r>
      <w:r w:rsidRPr="00955457">
        <w:tab/>
        <w:t>Justification</w:t>
      </w:r>
    </w:p>
    <w:p w:rsidR="00767F6F" w:rsidRPr="00767F6F" w:rsidRDefault="00767F6F" w:rsidP="00767F6F">
      <w:pPr>
        <w:spacing w:line="120" w:lineRule="exact"/>
        <w:rPr>
          <w:sz w:val="10"/>
        </w:rPr>
      </w:pPr>
    </w:p>
    <w:p w:rsidR="00767F6F" w:rsidRDefault="00767F6F" w:rsidP="00767F6F">
      <w:pPr>
        <w:spacing w:line="120" w:lineRule="exact"/>
        <w:rPr>
          <w:sz w:val="10"/>
        </w:rPr>
      </w:pPr>
    </w:p>
    <w:tbl>
      <w:tblPr>
        <w:tblW w:w="0" w:type="auto"/>
        <w:tblInd w:w="1260" w:type="dxa"/>
        <w:tblLayout w:type="fixed"/>
        <w:tblCellMar>
          <w:left w:w="0" w:type="dxa"/>
          <w:right w:w="0" w:type="dxa"/>
        </w:tblCellMar>
        <w:tblLook w:val="0000"/>
      </w:tblPr>
      <w:tblGrid>
        <w:gridCol w:w="468"/>
        <w:gridCol w:w="1863"/>
        <w:gridCol w:w="5175"/>
      </w:tblGrid>
      <w:tr w:rsidR="00F610C3" w:rsidRPr="00517F82" w:rsidTr="0096603C">
        <w:tc>
          <w:tcPr>
            <w:tcW w:w="468" w:type="dxa"/>
            <w:shd w:val="clear" w:color="auto" w:fill="auto"/>
          </w:tcPr>
          <w:p w:rsidR="00F610C3" w:rsidRDefault="00F610C3" w:rsidP="00781957">
            <w:pPr>
              <w:tabs>
                <w:tab w:val="left" w:pos="288"/>
                <w:tab w:val="left" w:pos="576"/>
                <w:tab w:val="left" w:pos="864"/>
                <w:tab w:val="left" w:pos="1152"/>
              </w:tabs>
              <w:spacing w:after="120"/>
              <w:ind w:right="43"/>
              <w:rPr>
                <w:lang w:val="en-US"/>
              </w:rPr>
            </w:pPr>
            <w:r>
              <w:t>21.</w:t>
            </w:r>
          </w:p>
        </w:tc>
        <w:tc>
          <w:tcPr>
            <w:tcW w:w="1863" w:type="dxa"/>
            <w:shd w:val="clear" w:color="auto" w:fill="auto"/>
          </w:tcPr>
          <w:p w:rsidR="00F610C3" w:rsidRDefault="00F610C3" w:rsidP="00781957">
            <w:pPr>
              <w:tabs>
                <w:tab w:val="left" w:pos="288"/>
                <w:tab w:val="left" w:pos="576"/>
                <w:tab w:val="left" w:pos="864"/>
                <w:tab w:val="left" w:pos="1152"/>
              </w:tabs>
              <w:suppressAutoHyphens/>
              <w:spacing w:after="120"/>
              <w:ind w:right="43"/>
              <w:rPr>
                <w:lang w:val="en-US"/>
              </w:rPr>
            </w:pPr>
            <w:r w:rsidRPr="00955457">
              <w:t>Sécurité</w:t>
            </w:r>
            <w:r>
              <w:t> </w:t>
            </w:r>
            <w:r w:rsidRPr="00955457">
              <w:t>:</w:t>
            </w:r>
          </w:p>
        </w:tc>
        <w:tc>
          <w:tcPr>
            <w:tcW w:w="5175" w:type="dxa"/>
            <w:shd w:val="clear" w:color="auto" w:fill="auto"/>
          </w:tcPr>
          <w:p w:rsidR="00F610C3" w:rsidRPr="00517F82" w:rsidRDefault="00F610C3" w:rsidP="00781957">
            <w:pPr>
              <w:tabs>
                <w:tab w:val="left" w:pos="288"/>
                <w:tab w:val="left" w:pos="576"/>
                <w:tab w:val="left" w:pos="864"/>
                <w:tab w:val="left" w:pos="1152"/>
              </w:tabs>
              <w:spacing w:after="120"/>
              <w:ind w:right="43"/>
              <w:jc w:val="both"/>
            </w:pPr>
            <w:r w:rsidRPr="00955457">
              <w:rPr>
                <w:bCs/>
              </w:rPr>
              <w:t>Un texte plus clair améliore la sécurité pour tous les modes de transport.</w:t>
            </w:r>
          </w:p>
        </w:tc>
      </w:tr>
      <w:tr w:rsidR="00F610C3" w:rsidRPr="00517F82" w:rsidTr="0096603C">
        <w:tc>
          <w:tcPr>
            <w:tcW w:w="468" w:type="dxa"/>
            <w:shd w:val="clear" w:color="auto" w:fill="auto"/>
          </w:tcPr>
          <w:p w:rsidR="00F610C3" w:rsidRDefault="00F610C3" w:rsidP="00781957">
            <w:pPr>
              <w:tabs>
                <w:tab w:val="left" w:pos="288"/>
                <w:tab w:val="left" w:pos="576"/>
                <w:tab w:val="left" w:pos="864"/>
                <w:tab w:val="left" w:pos="1152"/>
              </w:tabs>
              <w:spacing w:after="120"/>
              <w:ind w:right="43"/>
            </w:pPr>
          </w:p>
        </w:tc>
        <w:tc>
          <w:tcPr>
            <w:tcW w:w="1863" w:type="dxa"/>
            <w:shd w:val="clear" w:color="auto" w:fill="auto"/>
          </w:tcPr>
          <w:p w:rsidR="00F610C3" w:rsidRPr="00955457" w:rsidRDefault="00F610C3" w:rsidP="00781957">
            <w:pPr>
              <w:tabs>
                <w:tab w:val="left" w:pos="288"/>
                <w:tab w:val="left" w:pos="576"/>
                <w:tab w:val="left" w:pos="864"/>
                <w:tab w:val="left" w:pos="1152"/>
              </w:tabs>
              <w:suppressAutoHyphens/>
              <w:spacing w:after="120"/>
              <w:ind w:right="43"/>
            </w:pPr>
            <w:r w:rsidRPr="00955457">
              <w:rPr>
                <w:bCs/>
              </w:rPr>
              <w:t>Faisabilité</w:t>
            </w:r>
            <w:r>
              <w:rPr>
                <w:bCs/>
              </w:rPr>
              <w:t> </w:t>
            </w:r>
            <w:r w:rsidRPr="00955457">
              <w:rPr>
                <w:bCs/>
              </w:rPr>
              <w:t>:</w:t>
            </w:r>
          </w:p>
        </w:tc>
        <w:tc>
          <w:tcPr>
            <w:tcW w:w="5175" w:type="dxa"/>
            <w:shd w:val="clear" w:color="auto" w:fill="auto"/>
          </w:tcPr>
          <w:p w:rsidR="00F610C3" w:rsidRPr="00955457" w:rsidRDefault="00F610C3" w:rsidP="00781957">
            <w:pPr>
              <w:tabs>
                <w:tab w:val="left" w:pos="288"/>
                <w:tab w:val="left" w:pos="576"/>
                <w:tab w:val="left" w:pos="864"/>
                <w:tab w:val="left" w:pos="1152"/>
              </w:tabs>
              <w:spacing w:after="120"/>
              <w:ind w:right="43"/>
              <w:jc w:val="both"/>
              <w:rPr>
                <w:bCs/>
              </w:rPr>
            </w:pPr>
            <w:r w:rsidRPr="00955457">
              <w:rPr>
                <w:bCs/>
              </w:rPr>
              <w:t>Les présentes propositions visent à faciliter l</w:t>
            </w:r>
            <w:r>
              <w:rPr>
                <w:bCs/>
              </w:rPr>
              <w:t>’</w:t>
            </w:r>
            <w:r w:rsidRPr="00955457">
              <w:rPr>
                <w:bCs/>
              </w:rPr>
              <w:t>application et le respect des prescriptions. En tout état de cause, les transporteurs respectent déjà les obligations concernées. Les modifications proposées harmonisent et rendent plus claires les dispositions existantes. Elles facilitent le travail des instances de réglementation, des conseillers en matière de sécurité et des organes de contrôle.</w:t>
            </w:r>
          </w:p>
        </w:tc>
      </w:tr>
      <w:tr w:rsidR="00F610C3" w:rsidRPr="00517F82" w:rsidTr="0096603C">
        <w:tc>
          <w:tcPr>
            <w:tcW w:w="468" w:type="dxa"/>
            <w:shd w:val="clear" w:color="auto" w:fill="auto"/>
          </w:tcPr>
          <w:p w:rsidR="00F610C3" w:rsidRDefault="00F610C3" w:rsidP="00781957">
            <w:pPr>
              <w:tabs>
                <w:tab w:val="left" w:pos="288"/>
                <w:tab w:val="left" w:pos="576"/>
                <w:tab w:val="left" w:pos="864"/>
                <w:tab w:val="left" w:pos="1152"/>
              </w:tabs>
              <w:spacing w:after="120"/>
              <w:ind w:right="43"/>
            </w:pPr>
          </w:p>
        </w:tc>
        <w:tc>
          <w:tcPr>
            <w:tcW w:w="1863" w:type="dxa"/>
            <w:shd w:val="clear" w:color="auto" w:fill="auto"/>
          </w:tcPr>
          <w:p w:rsidR="00F610C3" w:rsidRPr="00955457" w:rsidRDefault="00F610C3" w:rsidP="00781957">
            <w:pPr>
              <w:tabs>
                <w:tab w:val="left" w:pos="288"/>
                <w:tab w:val="left" w:pos="576"/>
                <w:tab w:val="left" w:pos="864"/>
                <w:tab w:val="left" w:pos="1152"/>
              </w:tabs>
              <w:suppressAutoHyphens/>
              <w:spacing w:after="120"/>
              <w:ind w:right="43"/>
            </w:pPr>
          </w:p>
        </w:tc>
        <w:tc>
          <w:tcPr>
            <w:tcW w:w="5175" w:type="dxa"/>
            <w:shd w:val="clear" w:color="auto" w:fill="auto"/>
          </w:tcPr>
          <w:p w:rsidR="00F610C3" w:rsidRPr="00955457" w:rsidRDefault="00F610C3" w:rsidP="00781957">
            <w:pPr>
              <w:tabs>
                <w:tab w:val="left" w:pos="288"/>
                <w:tab w:val="left" w:pos="576"/>
                <w:tab w:val="left" w:pos="864"/>
                <w:tab w:val="left" w:pos="1152"/>
              </w:tabs>
              <w:spacing w:after="120"/>
              <w:ind w:right="43"/>
              <w:jc w:val="both"/>
              <w:rPr>
                <w:bCs/>
              </w:rPr>
            </w:pPr>
            <w:r w:rsidRPr="00955457">
              <w:rPr>
                <w:bCs/>
              </w:rPr>
              <w:t>Ces modifications ne devraient présenter aucun désavantage.</w:t>
            </w:r>
          </w:p>
        </w:tc>
      </w:tr>
      <w:tr w:rsidR="00F610C3" w:rsidRPr="00517F82" w:rsidTr="0096603C">
        <w:tc>
          <w:tcPr>
            <w:tcW w:w="468" w:type="dxa"/>
            <w:shd w:val="clear" w:color="auto" w:fill="auto"/>
          </w:tcPr>
          <w:p w:rsidR="00F610C3" w:rsidRDefault="00F610C3" w:rsidP="00781957">
            <w:pPr>
              <w:tabs>
                <w:tab w:val="left" w:pos="288"/>
                <w:tab w:val="left" w:pos="576"/>
                <w:tab w:val="left" w:pos="864"/>
                <w:tab w:val="left" w:pos="1152"/>
              </w:tabs>
              <w:spacing w:after="120"/>
              <w:ind w:right="43"/>
            </w:pPr>
          </w:p>
        </w:tc>
        <w:tc>
          <w:tcPr>
            <w:tcW w:w="1863" w:type="dxa"/>
            <w:shd w:val="clear" w:color="auto" w:fill="auto"/>
          </w:tcPr>
          <w:p w:rsidR="00F610C3" w:rsidRPr="00955457" w:rsidRDefault="00F610C3" w:rsidP="00781957">
            <w:pPr>
              <w:tabs>
                <w:tab w:val="left" w:pos="288"/>
                <w:tab w:val="left" w:pos="576"/>
                <w:tab w:val="left" w:pos="864"/>
                <w:tab w:val="left" w:pos="1152"/>
              </w:tabs>
              <w:suppressAutoHyphens/>
              <w:spacing w:after="120"/>
              <w:ind w:right="43"/>
            </w:pPr>
          </w:p>
        </w:tc>
        <w:tc>
          <w:tcPr>
            <w:tcW w:w="5175" w:type="dxa"/>
            <w:shd w:val="clear" w:color="auto" w:fill="auto"/>
          </w:tcPr>
          <w:p w:rsidR="00F610C3" w:rsidRPr="0096603C" w:rsidRDefault="00F610C3" w:rsidP="0096603C">
            <w:pPr>
              <w:tabs>
                <w:tab w:val="left" w:pos="288"/>
                <w:tab w:val="left" w:pos="576"/>
                <w:tab w:val="left" w:pos="864"/>
                <w:tab w:val="left" w:pos="1152"/>
              </w:tabs>
              <w:spacing w:after="120" w:line="240" w:lineRule="auto"/>
              <w:ind w:right="43"/>
              <w:jc w:val="both"/>
              <w:rPr>
                <w:bCs/>
                <w:sz w:val="2"/>
              </w:rPr>
            </w:pPr>
            <w:r w:rsidRPr="00955457">
              <w:rPr>
                <w:bCs/>
              </w:rPr>
              <w:t>Compte tenu du paragraphe 6 ci-dessus et de la nécessité d</w:t>
            </w:r>
            <w:r>
              <w:rPr>
                <w:bCs/>
              </w:rPr>
              <w:t>’</w:t>
            </w:r>
            <w:r w:rsidRPr="00955457">
              <w:rPr>
                <w:bCs/>
              </w:rPr>
              <w:t>introduire également une nouvelle marque pour les batteries au lithium au 5.2.1.9 ainsi qu</w:t>
            </w:r>
            <w:r>
              <w:rPr>
                <w:bCs/>
              </w:rPr>
              <w:t>’</w:t>
            </w:r>
            <w:r w:rsidRPr="00955457">
              <w:rPr>
                <w:bCs/>
              </w:rPr>
              <w:t>une étiquette 9A (comme proposé dans le document ECE/TRANS/WP.15/</w:t>
            </w:r>
            <w:r w:rsidR="00F86E06">
              <w:rPr>
                <w:bCs/>
              </w:rPr>
              <w:t xml:space="preserve"> </w:t>
            </w:r>
            <w:r w:rsidRPr="00955457">
              <w:rPr>
                <w:bCs/>
              </w:rPr>
              <w:t>AC.1/2015/23/Add.1), une disposition transitoire pourrait être nécessaire; la délégation roumaine est disposée à en assurer l</w:t>
            </w:r>
            <w:r>
              <w:rPr>
                <w:bCs/>
              </w:rPr>
              <w:t>’</w:t>
            </w:r>
            <w:r w:rsidRPr="00955457">
              <w:rPr>
                <w:bCs/>
              </w:rPr>
              <w:t>élaboration.</w:t>
            </w:r>
          </w:p>
        </w:tc>
      </w:tr>
      <w:tr w:rsidR="00F610C3" w:rsidRPr="00517F82" w:rsidTr="0096603C">
        <w:tc>
          <w:tcPr>
            <w:tcW w:w="468" w:type="dxa"/>
            <w:shd w:val="clear" w:color="auto" w:fill="auto"/>
          </w:tcPr>
          <w:p w:rsidR="00F610C3" w:rsidRDefault="00F610C3" w:rsidP="00781957">
            <w:pPr>
              <w:tabs>
                <w:tab w:val="left" w:pos="288"/>
                <w:tab w:val="left" w:pos="576"/>
                <w:tab w:val="left" w:pos="864"/>
                <w:tab w:val="left" w:pos="1152"/>
              </w:tabs>
              <w:spacing w:after="120"/>
              <w:ind w:right="43"/>
            </w:pPr>
          </w:p>
        </w:tc>
        <w:tc>
          <w:tcPr>
            <w:tcW w:w="1863" w:type="dxa"/>
            <w:shd w:val="clear" w:color="auto" w:fill="auto"/>
          </w:tcPr>
          <w:p w:rsidR="00F610C3" w:rsidRPr="00955457" w:rsidRDefault="00F610C3" w:rsidP="00781957">
            <w:pPr>
              <w:tabs>
                <w:tab w:val="left" w:pos="288"/>
                <w:tab w:val="left" w:pos="576"/>
                <w:tab w:val="left" w:pos="864"/>
                <w:tab w:val="left" w:pos="1152"/>
              </w:tabs>
              <w:suppressAutoHyphens/>
              <w:spacing w:after="120"/>
              <w:ind w:right="43"/>
            </w:pPr>
            <w:r w:rsidRPr="00955457">
              <w:rPr>
                <w:bCs/>
              </w:rPr>
              <w:t>Applicabilité</w:t>
            </w:r>
            <w:r>
              <w:rPr>
                <w:bCs/>
              </w:rPr>
              <w:t> </w:t>
            </w:r>
            <w:r w:rsidRPr="00955457">
              <w:rPr>
                <w:bCs/>
              </w:rPr>
              <w:t>:</w:t>
            </w:r>
          </w:p>
        </w:tc>
        <w:tc>
          <w:tcPr>
            <w:tcW w:w="5175" w:type="dxa"/>
            <w:shd w:val="clear" w:color="auto" w:fill="auto"/>
          </w:tcPr>
          <w:p w:rsidR="00F610C3" w:rsidRPr="0096603C" w:rsidRDefault="00F610C3" w:rsidP="0096603C">
            <w:pPr>
              <w:tabs>
                <w:tab w:val="left" w:pos="288"/>
                <w:tab w:val="left" w:pos="576"/>
                <w:tab w:val="left" w:pos="864"/>
                <w:tab w:val="left" w:pos="1152"/>
              </w:tabs>
              <w:spacing w:line="240" w:lineRule="auto"/>
              <w:ind w:right="43"/>
              <w:jc w:val="both"/>
              <w:rPr>
                <w:bCs/>
                <w:sz w:val="2"/>
              </w:rPr>
            </w:pPr>
            <w:r w:rsidRPr="00955457">
              <w:rPr>
                <w:bCs/>
              </w:rPr>
              <w:t>L</w:t>
            </w:r>
            <w:r>
              <w:rPr>
                <w:bCs/>
              </w:rPr>
              <w:t>’</w:t>
            </w:r>
            <w:r w:rsidRPr="00955457">
              <w:rPr>
                <w:bCs/>
              </w:rPr>
              <w:t>existence d</w:t>
            </w:r>
            <w:r>
              <w:rPr>
                <w:bCs/>
              </w:rPr>
              <w:t>’</w:t>
            </w:r>
            <w:r w:rsidRPr="00955457">
              <w:rPr>
                <w:bCs/>
              </w:rPr>
              <w:t>obligations distinctes pour le transporteur en ce qui concerne les consignes écrites et les équipements devant se trouver à bord renforcerait l</w:t>
            </w:r>
            <w:r>
              <w:rPr>
                <w:bCs/>
              </w:rPr>
              <w:t>’</w:t>
            </w:r>
            <w:r w:rsidRPr="00955457">
              <w:rPr>
                <w:bCs/>
              </w:rPr>
              <w:t>applicabilité des dispositions pertinentes. L</w:t>
            </w:r>
            <w:r>
              <w:rPr>
                <w:bCs/>
              </w:rPr>
              <w:t>’</w:t>
            </w:r>
            <w:r w:rsidRPr="00955457">
              <w:rPr>
                <w:bCs/>
              </w:rPr>
              <w:t>absence de consignes écrites conformément à l</w:t>
            </w:r>
            <w:r>
              <w:rPr>
                <w:bCs/>
              </w:rPr>
              <w:t>’</w:t>
            </w:r>
            <w:r w:rsidRPr="00955457">
              <w:rPr>
                <w:bCs/>
              </w:rPr>
              <w:t>ADR est sanctionnée, par exemple dans la Directive 95/50/CE concernant des procédures uniformes en matière de contrôle des transports de marchandises dangereuses par route. Les consignes écrites font partie des documents dont la présence à bord doit être contrôlée en vertu de la liste de contrôle qui figure à l</w:t>
            </w:r>
            <w:r>
              <w:rPr>
                <w:bCs/>
              </w:rPr>
              <w:t>’</w:t>
            </w:r>
            <w:r w:rsidRPr="00955457">
              <w:rPr>
                <w:bCs/>
              </w:rPr>
              <w:t>annexe I de la directive (point 14) et, selon l</w:t>
            </w:r>
            <w:r>
              <w:rPr>
                <w:bCs/>
              </w:rPr>
              <w:t>’</w:t>
            </w:r>
            <w:r w:rsidRPr="00955457">
              <w:rPr>
                <w:bCs/>
              </w:rPr>
              <w:t>annexe II, leur absence constitue une infraction de la catégorie de risques II.</w:t>
            </w:r>
          </w:p>
        </w:tc>
      </w:tr>
    </w:tbl>
    <w:p w:rsidR="00135A27" w:rsidRDefault="00767F6F" w:rsidP="00B2317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135A27" w:rsidRPr="00955457">
        <w:t>Travaux futurs</w:t>
      </w:r>
    </w:p>
    <w:p w:rsidR="00767F6F" w:rsidRPr="00767F6F" w:rsidRDefault="00767F6F" w:rsidP="00B2317F">
      <w:pPr>
        <w:keepNext/>
        <w:keepLines/>
        <w:spacing w:line="120" w:lineRule="exact"/>
        <w:rPr>
          <w:sz w:val="10"/>
        </w:rPr>
      </w:pPr>
    </w:p>
    <w:p w:rsidR="00767F6F" w:rsidRPr="00767F6F" w:rsidRDefault="00767F6F" w:rsidP="00B2317F">
      <w:pPr>
        <w:keepNext/>
        <w:keepLines/>
        <w:spacing w:line="120" w:lineRule="exact"/>
        <w:rPr>
          <w:sz w:val="10"/>
        </w:rPr>
      </w:pPr>
    </w:p>
    <w:p w:rsidR="00135A27" w:rsidRPr="00955457" w:rsidRDefault="00421444" w:rsidP="00B2317F">
      <w:pPr>
        <w:pStyle w:val="SingleTxt"/>
        <w:keepNext/>
        <w:keepLines/>
      </w:pPr>
      <w:r>
        <w:t>22.</w:t>
      </w:r>
      <w:r>
        <w:tab/>
      </w:r>
      <w:r w:rsidR="00135A27" w:rsidRPr="00955457">
        <w:t>Les questions liées à l</w:t>
      </w:r>
      <w:r w:rsidR="00135A27">
        <w:t>’</w:t>
      </w:r>
      <w:r w:rsidR="00135A27" w:rsidRPr="00955457">
        <w:t>utilisation des termes</w:t>
      </w:r>
      <w:r>
        <w:t> </w:t>
      </w:r>
      <w:r w:rsidR="00135A27" w:rsidRPr="00955457">
        <w:t>:</w:t>
      </w:r>
      <w:r>
        <w:t xml:space="preserve"> « </w:t>
      </w:r>
      <w:r w:rsidR="00135A27" w:rsidRPr="00955457">
        <w:t>situation d</w:t>
      </w:r>
      <w:r w:rsidR="00135A27">
        <w:t>’</w:t>
      </w:r>
      <w:r w:rsidR="00135A27" w:rsidRPr="00955457">
        <w:t>urgence</w:t>
      </w:r>
      <w:r w:rsidR="00135A27">
        <w:t> »</w:t>
      </w:r>
      <w:r w:rsidR="00135A27" w:rsidRPr="00955457">
        <w:t xml:space="preserve">, </w:t>
      </w:r>
      <w:r>
        <w:t>« </w:t>
      </w:r>
      <w:r w:rsidR="00135A27" w:rsidRPr="00955457">
        <w:t>incident</w:t>
      </w:r>
      <w:r w:rsidR="00135A27">
        <w:t> »</w:t>
      </w:r>
      <w:r w:rsidR="00135A27" w:rsidRPr="00955457">
        <w:t xml:space="preserve"> ou </w:t>
      </w:r>
      <w:r>
        <w:t>« </w:t>
      </w:r>
      <w:r w:rsidR="00135A27" w:rsidRPr="00955457">
        <w:t>accident</w:t>
      </w:r>
      <w:r w:rsidR="00135A27">
        <w:t> »</w:t>
      </w:r>
      <w:r w:rsidR="00135A27" w:rsidRPr="00955457">
        <w:t xml:space="preserve">, </w:t>
      </w:r>
      <w:r>
        <w:t>« </w:t>
      </w:r>
      <w:r w:rsidR="00135A27" w:rsidRPr="00955457">
        <w:t>pouvant survenir</w:t>
      </w:r>
      <w:r w:rsidR="00135A27">
        <w:t> »</w:t>
      </w:r>
      <w:r w:rsidR="00135A27" w:rsidRPr="00955457">
        <w:t xml:space="preserve">, et </w:t>
      </w:r>
      <w:r>
        <w:t>« </w:t>
      </w:r>
      <w:proofErr w:type="spellStart"/>
      <w:r w:rsidR="00135A27" w:rsidRPr="00955457">
        <w:rPr>
          <w:i/>
        </w:rPr>
        <w:t>member</w:t>
      </w:r>
      <w:proofErr w:type="spellEnd"/>
      <w:r w:rsidR="00135A27" w:rsidRPr="00955457">
        <w:rPr>
          <w:i/>
        </w:rPr>
        <w:t xml:space="preserve"> of </w:t>
      </w:r>
      <w:proofErr w:type="gramStart"/>
      <w:r w:rsidR="00135A27" w:rsidRPr="00955457">
        <w:rPr>
          <w:i/>
        </w:rPr>
        <w:t>a</w:t>
      </w:r>
      <w:proofErr w:type="gramEnd"/>
      <w:r w:rsidR="00135A27" w:rsidRPr="00955457">
        <w:rPr>
          <w:i/>
        </w:rPr>
        <w:t xml:space="preserve"> </w:t>
      </w:r>
      <w:proofErr w:type="spellStart"/>
      <w:r w:rsidR="00135A27" w:rsidRPr="00955457">
        <w:rPr>
          <w:i/>
        </w:rPr>
        <w:t>crew</w:t>
      </w:r>
      <w:proofErr w:type="spellEnd"/>
      <w:r w:rsidR="00135A27">
        <w:t> »</w:t>
      </w:r>
      <w:r w:rsidR="00135A27" w:rsidRPr="00955457">
        <w:t xml:space="preserve"> (</w:t>
      </w:r>
      <w:r w:rsidR="00135A27" w:rsidRPr="00955457">
        <w:rPr>
          <w:b/>
        </w:rPr>
        <w:t>ADR</w:t>
      </w:r>
      <w:r w:rsidR="00135A27" w:rsidRPr="00955457">
        <w:t xml:space="preserve"> et </w:t>
      </w:r>
      <w:r w:rsidR="00135A27" w:rsidRPr="00955457">
        <w:rPr>
          <w:b/>
        </w:rPr>
        <w:t>ADN</w:t>
      </w:r>
      <w:r w:rsidR="00135A27" w:rsidRPr="00955457">
        <w:t xml:space="preserve">) ou </w:t>
      </w:r>
      <w:r>
        <w:t>« </w:t>
      </w:r>
      <w:proofErr w:type="spellStart"/>
      <w:r w:rsidR="00135A27" w:rsidRPr="00955457">
        <w:rPr>
          <w:i/>
        </w:rPr>
        <w:t>crew</w:t>
      </w:r>
      <w:proofErr w:type="spellEnd"/>
      <w:r w:rsidR="00135A27" w:rsidRPr="00955457">
        <w:rPr>
          <w:i/>
        </w:rPr>
        <w:t xml:space="preserve"> </w:t>
      </w:r>
      <w:proofErr w:type="spellStart"/>
      <w:r w:rsidR="00135A27" w:rsidRPr="00955457">
        <w:rPr>
          <w:i/>
        </w:rPr>
        <w:t>member</w:t>
      </w:r>
      <w:proofErr w:type="spellEnd"/>
      <w:r w:rsidR="00135A27">
        <w:t> »</w:t>
      </w:r>
      <w:r w:rsidR="00135A27" w:rsidRPr="00955457">
        <w:t xml:space="preserve"> (par</w:t>
      </w:r>
      <w:r>
        <w:t>. </w:t>
      </w:r>
      <w:r w:rsidR="00135A27" w:rsidRPr="00955457">
        <w:t>1.10.1.4 du RID/ADR/ADN) feront l</w:t>
      </w:r>
      <w:r w:rsidR="00135A27">
        <w:t>’</w:t>
      </w:r>
      <w:r w:rsidR="00135A27" w:rsidRPr="00955457">
        <w:t>objet d</w:t>
      </w:r>
      <w:r w:rsidR="00135A27">
        <w:t>’</w:t>
      </w:r>
      <w:r w:rsidR="00135A27" w:rsidRPr="00955457">
        <w:t>un autre document qui sera soumis à une session future de la Réunion conjointe. Les experts sont invités à faire part de leurs vues à ce sujet.</w:t>
      </w:r>
    </w:p>
    <w:p w:rsidR="00135A27" w:rsidRPr="008F12A4" w:rsidRDefault="00421444" w:rsidP="00421444">
      <w:pPr>
        <w:pStyle w:val="SingleTxt"/>
        <w:rPr>
          <w:lang w:val="fr-CH"/>
        </w:rPr>
      </w:pPr>
      <w:r>
        <w:t>23.</w:t>
      </w:r>
      <w:r>
        <w:tab/>
      </w:r>
      <w:r w:rsidR="00135A27" w:rsidRPr="00955457">
        <w:t>Une courte réunion de travail à l</w:t>
      </w:r>
      <w:r w:rsidR="00135A27">
        <w:t>’</w:t>
      </w:r>
      <w:r w:rsidR="00135A27" w:rsidRPr="00955457">
        <w:t>occasion de la session de septembre 2015 de la Réunion conjointe pourrait permettre de trouver des solutions harmonisées pour le 5.4.3 (pour tous les modes de transport) en ce qui concerne le 1.8.5 ou les caractéristiques souhaitées de la base de données d</w:t>
      </w:r>
      <w:r w:rsidR="00135A27">
        <w:t>’</w:t>
      </w:r>
      <w:r w:rsidR="00135A27" w:rsidRPr="00955457">
        <w:t>accidents. Ce serait l</w:t>
      </w:r>
      <w:r w:rsidR="00135A27">
        <w:t>’</w:t>
      </w:r>
      <w:r w:rsidR="00135A27" w:rsidRPr="00955457">
        <w:t>occasion pour les représentants de tous les modes de transport de faire part de leurs propositions de solutions.</w:t>
      </w:r>
    </w:p>
    <w:p w:rsidR="008F12A4" w:rsidRPr="00135A27" w:rsidRDefault="00973C3E" w:rsidP="008F12A4">
      <w:pPr>
        <w:pStyle w:val="SingleTxt"/>
        <w:spacing w:after="0" w:line="240" w:lineRule="auto"/>
        <w:rPr>
          <w:lang w:val="fr-CH"/>
        </w:rPr>
      </w:pPr>
      <w:r w:rsidRPr="00973C3E">
        <w:rPr>
          <w:noProof/>
          <w:w w:val="100"/>
          <w:lang w:val="en-GB" w:eastAsia="en-GB"/>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8F12A4" w:rsidRPr="00135A27" w:rsidSect="00085C3B">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7D" w:rsidRDefault="005E227D" w:rsidP="00F3330B">
      <w:pPr>
        <w:spacing w:line="240" w:lineRule="auto"/>
      </w:pPr>
      <w:r>
        <w:separator/>
      </w:r>
    </w:p>
  </w:endnote>
  <w:endnote w:type="continuationSeparator" w:id="0">
    <w:p w:rsidR="005E227D" w:rsidRDefault="005E227D"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85C3B" w:rsidTr="00085C3B">
      <w:trPr>
        <w:jc w:val="center"/>
      </w:trPr>
      <w:tc>
        <w:tcPr>
          <w:tcW w:w="5126" w:type="dxa"/>
          <w:shd w:val="clear" w:color="auto" w:fill="auto"/>
        </w:tcPr>
        <w:p w:rsidR="00085C3B" w:rsidRPr="00085C3B" w:rsidRDefault="00973C3E" w:rsidP="00085C3B">
          <w:pPr>
            <w:pStyle w:val="Pieddepage"/>
            <w:jc w:val="right"/>
            <w:rPr>
              <w:b w:val="0"/>
              <w:w w:val="103"/>
              <w:sz w:val="14"/>
            </w:rPr>
          </w:pPr>
          <w:fldSimple w:instr=" DOCVARIABLE &quot;FooterJN&quot; \* MERGEFORMAT ">
            <w:r w:rsidR="005C49A3">
              <w:rPr>
                <w:b w:val="0"/>
                <w:w w:val="103"/>
                <w:sz w:val="14"/>
              </w:rPr>
              <w:t>GE.15-10581</w:t>
            </w:r>
          </w:fldSimple>
        </w:p>
      </w:tc>
      <w:tc>
        <w:tcPr>
          <w:tcW w:w="5127" w:type="dxa"/>
          <w:shd w:val="clear" w:color="auto" w:fill="auto"/>
        </w:tcPr>
        <w:p w:rsidR="00085C3B" w:rsidRPr="00085C3B" w:rsidRDefault="00973C3E" w:rsidP="00085C3B">
          <w:pPr>
            <w:pStyle w:val="Pieddepage"/>
            <w:rPr>
              <w:w w:val="103"/>
            </w:rPr>
          </w:pPr>
          <w:r>
            <w:rPr>
              <w:w w:val="103"/>
            </w:rPr>
            <w:fldChar w:fldCharType="begin"/>
          </w:r>
          <w:r w:rsidR="00085C3B">
            <w:rPr>
              <w:w w:val="103"/>
            </w:rPr>
            <w:instrText xml:space="preserve"> PAGE  \* Arabic  \* MERGEFORMAT </w:instrText>
          </w:r>
          <w:r>
            <w:rPr>
              <w:w w:val="103"/>
            </w:rPr>
            <w:fldChar w:fldCharType="separate"/>
          </w:r>
          <w:r w:rsidR="00813EEA">
            <w:rPr>
              <w:noProof/>
              <w:w w:val="103"/>
            </w:rPr>
            <w:t>2</w:t>
          </w:r>
          <w:r>
            <w:rPr>
              <w:w w:val="103"/>
            </w:rPr>
            <w:fldChar w:fldCharType="end"/>
          </w:r>
          <w:r w:rsidR="00085C3B">
            <w:rPr>
              <w:w w:val="103"/>
            </w:rPr>
            <w:t>/</w:t>
          </w:r>
          <w:fldSimple w:instr=" NUMPAGES  \* Arabic  \* MERGEFORMAT ">
            <w:r w:rsidR="00813EEA">
              <w:rPr>
                <w:noProof/>
                <w:w w:val="103"/>
              </w:rPr>
              <w:t>5</w:t>
            </w:r>
          </w:fldSimple>
        </w:p>
      </w:tc>
    </w:tr>
  </w:tbl>
  <w:p w:rsidR="00085C3B" w:rsidRPr="00085C3B" w:rsidRDefault="00085C3B" w:rsidP="00085C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085C3B" w:rsidTr="00085C3B">
      <w:trPr>
        <w:jc w:val="center"/>
      </w:trPr>
      <w:tc>
        <w:tcPr>
          <w:tcW w:w="5126" w:type="dxa"/>
          <w:shd w:val="clear" w:color="auto" w:fill="auto"/>
        </w:tcPr>
        <w:p w:rsidR="00085C3B" w:rsidRPr="00085C3B" w:rsidRDefault="00973C3E" w:rsidP="00085C3B">
          <w:pPr>
            <w:pStyle w:val="Pieddepage"/>
            <w:jc w:val="right"/>
            <w:rPr>
              <w:w w:val="103"/>
            </w:rPr>
          </w:pPr>
          <w:r>
            <w:rPr>
              <w:w w:val="103"/>
            </w:rPr>
            <w:fldChar w:fldCharType="begin"/>
          </w:r>
          <w:r w:rsidR="00085C3B">
            <w:rPr>
              <w:w w:val="103"/>
            </w:rPr>
            <w:instrText xml:space="preserve"> PAGE  \* Arabic  \* MERGEFORMAT </w:instrText>
          </w:r>
          <w:r>
            <w:rPr>
              <w:w w:val="103"/>
            </w:rPr>
            <w:fldChar w:fldCharType="separate"/>
          </w:r>
          <w:r w:rsidR="00813EEA">
            <w:rPr>
              <w:noProof/>
              <w:w w:val="103"/>
            </w:rPr>
            <w:t>5</w:t>
          </w:r>
          <w:r>
            <w:rPr>
              <w:w w:val="103"/>
            </w:rPr>
            <w:fldChar w:fldCharType="end"/>
          </w:r>
          <w:r w:rsidR="00085C3B">
            <w:rPr>
              <w:w w:val="103"/>
            </w:rPr>
            <w:t>/</w:t>
          </w:r>
          <w:fldSimple w:instr=" NUMPAGES  \* Arabic  \* MERGEFORMAT ">
            <w:r w:rsidR="00813EEA">
              <w:rPr>
                <w:noProof/>
                <w:w w:val="103"/>
              </w:rPr>
              <w:t>5</w:t>
            </w:r>
          </w:fldSimple>
        </w:p>
      </w:tc>
      <w:tc>
        <w:tcPr>
          <w:tcW w:w="5127" w:type="dxa"/>
          <w:shd w:val="clear" w:color="auto" w:fill="auto"/>
        </w:tcPr>
        <w:p w:rsidR="00085C3B" w:rsidRPr="00085C3B" w:rsidRDefault="00973C3E" w:rsidP="00085C3B">
          <w:pPr>
            <w:pStyle w:val="Pieddepage"/>
            <w:rPr>
              <w:b w:val="0"/>
              <w:w w:val="103"/>
              <w:sz w:val="14"/>
            </w:rPr>
          </w:pPr>
          <w:fldSimple w:instr=" DOCVARIABLE &quot;FooterJN&quot; \* MERGEFORMAT ">
            <w:r w:rsidR="005C49A3">
              <w:rPr>
                <w:b w:val="0"/>
                <w:w w:val="103"/>
                <w:sz w:val="14"/>
              </w:rPr>
              <w:t>GE.15-10581</w:t>
            </w:r>
          </w:fldSimple>
        </w:p>
      </w:tc>
    </w:tr>
  </w:tbl>
  <w:p w:rsidR="00085C3B" w:rsidRPr="00085C3B" w:rsidRDefault="00085C3B" w:rsidP="00085C3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3B" w:rsidRDefault="00085C3B">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5&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085C3B" w:rsidTr="00085C3B">
      <w:tc>
        <w:tcPr>
          <w:tcW w:w="3859" w:type="dxa"/>
        </w:tcPr>
        <w:p w:rsidR="00085C3B" w:rsidRDefault="00973C3E" w:rsidP="00085C3B">
          <w:pPr>
            <w:pStyle w:val="Pieddepage"/>
            <w:rPr>
              <w:b w:val="0"/>
              <w:sz w:val="20"/>
            </w:rPr>
          </w:pPr>
          <w:fldSimple w:instr=" DOCVARIABLE &quot;jobn&quot; \* MERGEFORMAT ">
            <w:r w:rsidR="005C49A3">
              <w:rPr>
                <w:b w:val="0"/>
                <w:sz w:val="20"/>
              </w:rPr>
              <w:t>GE.15-10581 (F)</w:t>
            </w:r>
          </w:fldSimple>
          <w:r w:rsidR="00085C3B">
            <w:rPr>
              <w:b w:val="0"/>
              <w:sz w:val="20"/>
            </w:rPr>
            <w:t xml:space="preserve">    060815    </w:t>
          </w:r>
          <w:proofErr w:type="spellStart"/>
          <w:r w:rsidR="00085C3B">
            <w:rPr>
              <w:b w:val="0"/>
              <w:sz w:val="20"/>
            </w:rPr>
            <w:t>060815</w:t>
          </w:r>
          <w:proofErr w:type="spellEnd"/>
        </w:p>
        <w:p w:rsidR="00085C3B" w:rsidRPr="00085C3B" w:rsidRDefault="00973C3E" w:rsidP="00085C3B">
          <w:pPr>
            <w:pStyle w:val="Pieddepage"/>
            <w:spacing w:before="120" w:line="200" w:lineRule="exact"/>
            <w:rPr>
              <w:rFonts w:ascii="Barcode 3 of 9 by request" w:hAnsi="Barcode 3 of 9 by request"/>
              <w:b w:val="0"/>
              <w:spacing w:val="0"/>
              <w:w w:val="100"/>
              <w:sz w:val="24"/>
            </w:rPr>
          </w:pPr>
          <w:fldSimple w:instr=" DOCVARIABLE &quot;Barcode&quot; \* MERGEFORMAT ">
            <w:r w:rsidR="005C49A3">
              <w:rPr>
                <w:rFonts w:ascii="Barcode 3 of 9 by request" w:hAnsi="Barcode 3 of 9 by request"/>
                <w:b w:val="0"/>
                <w:spacing w:val="0"/>
                <w:w w:val="100"/>
                <w:sz w:val="24"/>
              </w:rPr>
              <w:t>*1510581*</w:t>
            </w:r>
          </w:fldSimple>
        </w:p>
      </w:tc>
      <w:tc>
        <w:tcPr>
          <w:tcW w:w="5127" w:type="dxa"/>
        </w:tcPr>
        <w:p w:rsidR="00085C3B" w:rsidRDefault="00085C3B" w:rsidP="00085C3B">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85C3B" w:rsidRPr="00085C3B" w:rsidRDefault="00085C3B" w:rsidP="00085C3B">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7D" w:rsidRPr="00135A27" w:rsidRDefault="00135A27" w:rsidP="00135A27">
      <w:pPr>
        <w:pStyle w:val="Pieddepage"/>
        <w:spacing w:after="80"/>
        <w:ind w:left="792"/>
        <w:rPr>
          <w:sz w:val="16"/>
        </w:rPr>
      </w:pPr>
      <w:r w:rsidRPr="00135A27">
        <w:rPr>
          <w:sz w:val="16"/>
        </w:rPr>
        <w:t>__________________</w:t>
      </w:r>
    </w:p>
  </w:footnote>
  <w:footnote w:type="continuationSeparator" w:id="0">
    <w:p w:rsidR="005E227D" w:rsidRPr="00135A27" w:rsidRDefault="00135A27" w:rsidP="00135A27">
      <w:pPr>
        <w:pStyle w:val="Pieddepage"/>
        <w:spacing w:after="80"/>
        <w:ind w:left="792"/>
        <w:rPr>
          <w:sz w:val="16"/>
        </w:rPr>
      </w:pPr>
      <w:r w:rsidRPr="00135A27">
        <w:rPr>
          <w:sz w:val="16"/>
        </w:rPr>
        <w:t>__________________</w:t>
      </w:r>
    </w:p>
  </w:footnote>
  <w:footnote w:id="1">
    <w:p w:rsidR="00135A27" w:rsidRPr="00135A27" w:rsidRDefault="00135A27" w:rsidP="00135A27">
      <w:pPr>
        <w:pStyle w:val="Notedebasdepage"/>
        <w:widowControl w:val="0"/>
        <w:tabs>
          <w:tab w:val="right" w:pos="1195"/>
          <w:tab w:val="left" w:pos="1267"/>
          <w:tab w:val="left" w:pos="1742"/>
          <w:tab w:val="left" w:pos="2218"/>
          <w:tab w:val="left" w:pos="2693"/>
        </w:tabs>
        <w:ind w:left="1267" w:right="1260" w:hanging="432"/>
      </w:pPr>
      <w:r>
        <w:tab/>
      </w:r>
      <w:r w:rsidRPr="00135A27">
        <w:rPr>
          <w:rStyle w:val="Appelnotedebasdep"/>
          <w:color w:val="auto"/>
        </w:rPr>
        <w:footnoteRef/>
      </w:r>
      <w:r w:rsidRPr="00135A27">
        <w:tab/>
        <w:t>Conformément au programme de travail du Comité des transports intérieurs pour la période 2014-2015 (ECE/TRANS/240, par.</w:t>
      </w:r>
      <w:r w:rsidR="00BC7816">
        <w:t> </w:t>
      </w:r>
      <w:r w:rsidRPr="00135A27">
        <w:t>100, ECE/TRANS/2014/23, module 9, par.</w:t>
      </w:r>
      <w:r w:rsidR="00BC7816">
        <w:t> </w:t>
      </w:r>
      <w:r w:rsidRPr="00135A27">
        <w:t>9.2).</w:t>
      </w:r>
    </w:p>
  </w:footnote>
  <w:footnote w:id="2">
    <w:p w:rsidR="00135A27" w:rsidRPr="001D5B10" w:rsidRDefault="00135A27" w:rsidP="00135A27">
      <w:pPr>
        <w:pStyle w:val="Notedebasdepage"/>
        <w:widowControl w:val="0"/>
        <w:tabs>
          <w:tab w:val="right" w:pos="1195"/>
          <w:tab w:val="left" w:pos="1267"/>
          <w:tab w:val="left" w:pos="1742"/>
          <w:tab w:val="left" w:pos="2218"/>
          <w:tab w:val="left" w:pos="2693"/>
        </w:tabs>
        <w:ind w:left="1267" w:right="1260" w:hanging="432"/>
      </w:pPr>
      <w:r w:rsidRPr="00135A27">
        <w:tab/>
      </w:r>
      <w:r w:rsidRPr="00135A27">
        <w:rPr>
          <w:rStyle w:val="Appelnotedebasdep"/>
          <w:color w:val="auto"/>
        </w:rPr>
        <w:footnoteRef/>
      </w:r>
      <w:r w:rsidRPr="00135A27">
        <w:tab/>
        <w:t xml:space="preserve">Diffusée par </w:t>
      </w:r>
      <w:r>
        <w:t xml:space="preserve">l’Organisation intergouvernementale pour les transports internationaux ferroviaires (OTIF) sous la cote </w:t>
      </w:r>
      <w:r w:rsidRPr="001D5B10">
        <w:t>OTIF/RID/RC/2015/35.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85C3B" w:rsidTr="00085C3B">
      <w:trPr>
        <w:trHeight w:hRule="exact" w:val="864"/>
        <w:jc w:val="center"/>
      </w:trPr>
      <w:tc>
        <w:tcPr>
          <w:tcW w:w="4882" w:type="dxa"/>
          <w:shd w:val="clear" w:color="auto" w:fill="auto"/>
          <w:vAlign w:val="bottom"/>
        </w:tcPr>
        <w:p w:rsidR="00085C3B" w:rsidRPr="00085C3B" w:rsidRDefault="00973C3E" w:rsidP="00085C3B">
          <w:pPr>
            <w:pStyle w:val="En-tte"/>
            <w:spacing w:after="80"/>
            <w:rPr>
              <w:b/>
              <w:color w:val="000000"/>
            </w:rPr>
          </w:pPr>
          <w:fldSimple w:instr=" DOCVARIABLE &quot;sss1&quot; \* MERGEFORMAT ">
            <w:r w:rsidR="005C49A3">
              <w:rPr>
                <w:b/>
                <w:color w:val="000000"/>
              </w:rPr>
              <w:t>ECE/TRANS/WP.15/AC.1/2015/35</w:t>
            </w:r>
          </w:fldSimple>
        </w:p>
      </w:tc>
      <w:tc>
        <w:tcPr>
          <w:tcW w:w="5127" w:type="dxa"/>
          <w:shd w:val="clear" w:color="auto" w:fill="auto"/>
          <w:vAlign w:val="bottom"/>
        </w:tcPr>
        <w:p w:rsidR="00085C3B" w:rsidRDefault="00085C3B" w:rsidP="00085C3B">
          <w:pPr>
            <w:pStyle w:val="En-tte"/>
          </w:pPr>
        </w:p>
      </w:tc>
    </w:tr>
  </w:tbl>
  <w:p w:rsidR="00085C3B" w:rsidRPr="00085C3B" w:rsidRDefault="00085C3B" w:rsidP="00085C3B">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085C3B" w:rsidTr="00085C3B">
      <w:trPr>
        <w:trHeight w:hRule="exact" w:val="864"/>
        <w:jc w:val="center"/>
      </w:trPr>
      <w:tc>
        <w:tcPr>
          <w:tcW w:w="4882" w:type="dxa"/>
          <w:shd w:val="clear" w:color="auto" w:fill="auto"/>
          <w:vAlign w:val="bottom"/>
        </w:tcPr>
        <w:p w:rsidR="00085C3B" w:rsidRDefault="00085C3B" w:rsidP="00085C3B">
          <w:pPr>
            <w:pStyle w:val="En-tte"/>
          </w:pPr>
        </w:p>
      </w:tc>
      <w:tc>
        <w:tcPr>
          <w:tcW w:w="5127" w:type="dxa"/>
          <w:shd w:val="clear" w:color="auto" w:fill="auto"/>
          <w:vAlign w:val="bottom"/>
        </w:tcPr>
        <w:p w:rsidR="00085C3B" w:rsidRPr="00085C3B" w:rsidRDefault="00973C3E" w:rsidP="00085C3B">
          <w:pPr>
            <w:pStyle w:val="En-tte"/>
            <w:spacing w:after="80"/>
            <w:jc w:val="right"/>
            <w:rPr>
              <w:b/>
              <w:color w:val="000000"/>
            </w:rPr>
          </w:pPr>
          <w:fldSimple w:instr=" DOCVARIABLE &quot;sss1&quot; \* MERGEFORMAT ">
            <w:r w:rsidR="005C49A3">
              <w:rPr>
                <w:b/>
                <w:color w:val="000000"/>
              </w:rPr>
              <w:t>ECE/TRANS/WP.15/AC.1/2015/35</w:t>
            </w:r>
          </w:fldSimple>
        </w:p>
      </w:tc>
    </w:tr>
  </w:tbl>
  <w:p w:rsidR="00085C3B" w:rsidRPr="00085C3B" w:rsidRDefault="00085C3B" w:rsidP="00085C3B">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085C3B" w:rsidTr="00085C3B">
      <w:trPr>
        <w:trHeight w:hRule="exact" w:val="864"/>
      </w:trPr>
      <w:tc>
        <w:tcPr>
          <w:tcW w:w="1267" w:type="dxa"/>
          <w:tcBorders>
            <w:bottom w:val="single" w:sz="4" w:space="0" w:color="auto"/>
          </w:tcBorders>
          <w:shd w:val="clear" w:color="auto" w:fill="auto"/>
          <w:vAlign w:val="bottom"/>
        </w:tcPr>
        <w:p w:rsidR="00085C3B" w:rsidRDefault="00085C3B" w:rsidP="00085C3B">
          <w:pPr>
            <w:pStyle w:val="En-tte"/>
            <w:spacing w:after="120"/>
          </w:pPr>
        </w:p>
      </w:tc>
      <w:tc>
        <w:tcPr>
          <w:tcW w:w="2059" w:type="dxa"/>
          <w:tcBorders>
            <w:bottom w:val="single" w:sz="4" w:space="0" w:color="auto"/>
          </w:tcBorders>
          <w:shd w:val="clear" w:color="auto" w:fill="auto"/>
          <w:vAlign w:val="bottom"/>
        </w:tcPr>
        <w:p w:rsidR="00085C3B" w:rsidRPr="00085C3B" w:rsidRDefault="00085C3B" w:rsidP="00085C3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85C3B" w:rsidRDefault="00085C3B" w:rsidP="00085C3B">
          <w:pPr>
            <w:pStyle w:val="En-tte"/>
            <w:spacing w:after="120"/>
          </w:pPr>
        </w:p>
      </w:tc>
      <w:tc>
        <w:tcPr>
          <w:tcW w:w="6653" w:type="dxa"/>
          <w:gridSpan w:val="4"/>
          <w:tcBorders>
            <w:bottom w:val="single" w:sz="4" w:space="0" w:color="auto"/>
          </w:tcBorders>
          <w:shd w:val="clear" w:color="auto" w:fill="auto"/>
          <w:vAlign w:val="bottom"/>
        </w:tcPr>
        <w:p w:rsidR="00085C3B" w:rsidRPr="00085C3B" w:rsidRDefault="00085C3B" w:rsidP="00085C3B">
          <w:pPr>
            <w:spacing w:after="80" w:line="240" w:lineRule="auto"/>
            <w:jc w:val="right"/>
            <w:rPr>
              <w:position w:val="-4"/>
            </w:rPr>
          </w:pPr>
          <w:r>
            <w:rPr>
              <w:position w:val="-4"/>
              <w:sz w:val="40"/>
            </w:rPr>
            <w:t>ECE</w:t>
          </w:r>
          <w:r>
            <w:rPr>
              <w:position w:val="-4"/>
            </w:rPr>
            <w:t>/TRANS/WP.15/AC.1/2015/35</w:t>
          </w:r>
        </w:p>
      </w:tc>
    </w:tr>
    <w:tr w:rsidR="00085C3B" w:rsidRPr="00085C3B" w:rsidTr="00085C3B">
      <w:trPr>
        <w:gridAfter w:val="1"/>
        <w:wAfter w:w="18" w:type="dxa"/>
        <w:trHeight w:hRule="exact" w:val="2880"/>
      </w:trPr>
      <w:tc>
        <w:tcPr>
          <w:tcW w:w="1267" w:type="dxa"/>
          <w:tcBorders>
            <w:top w:val="single" w:sz="4" w:space="0" w:color="auto"/>
            <w:bottom w:val="single" w:sz="12" w:space="0" w:color="auto"/>
          </w:tcBorders>
          <w:shd w:val="clear" w:color="auto" w:fill="auto"/>
        </w:tcPr>
        <w:p w:rsidR="00085C3B" w:rsidRPr="00085C3B" w:rsidRDefault="00085C3B" w:rsidP="00085C3B">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5C3B" w:rsidRPr="00085C3B" w:rsidRDefault="00085C3B" w:rsidP="00085C3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85C3B" w:rsidRPr="00085C3B" w:rsidRDefault="00085C3B" w:rsidP="00085C3B">
          <w:pPr>
            <w:pStyle w:val="En-tte"/>
            <w:spacing w:before="109"/>
          </w:pPr>
        </w:p>
      </w:tc>
      <w:tc>
        <w:tcPr>
          <w:tcW w:w="3280" w:type="dxa"/>
          <w:tcBorders>
            <w:top w:val="single" w:sz="4" w:space="0" w:color="auto"/>
            <w:bottom w:val="single" w:sz="12" w:space="0" w:color="auto"/>
          </w:tcBorders>
          <w:shd w:val="clear" w:color="auto" w:fill="auto"/>
        </w:tcPr>
        <w:p w:rsidR="00085C3B" w:rsidRPr="005C49A3" w:rsidRDefault="00085C3B" w:rsidP="00085C3B">
          <w:pPr>
            <w:pStyle w:val="Distribution"/>
            <w:rPr>
              <w:color w:val="000000"/>
              <w:lang w:val="fr-CH"/>
            </w:rPr>
          </w:pPr>
          <w:proofErr w:type="spellStart"/>
          <w:r w:rsidRPr="005C49A3">
            <w:rPr>
              <w:color w:val="000000"/>
              <w:lang w:val="fr-CH"/>
            </w:rPr>
            <w:t>Distr</w:t>
          </w:r>
          <w:proofErr w:type="spellEnd"/>
          <w:r w:rsidRPr="005C49A3">
            <w:rPr>
              <w:color w:val="000000"/>
              <w:lang w:val="fr-CH"/>
            </w:rPr>
            <w:t>. générale</w:t>
          </w:r>
        </w:p>
        <w:p w:rsidR="00085C3B" w:rsidRPr="005C49A3" w:rsidRDefault="00135A27" w:rsidP="00085C3B">
          <w:pPr>
            <w:pStyle w:val="Publication"/>
            <w:rPr>
              <w:color w:val="000000"/>
              <w:lang w:val="fr-CH"/>
            </w:rPr>
          </w:pPr>
          <w:r w:rsidRPr="005C49A3">
            <w:rPr>
              <w:color w:val="000000"/>
              <w:lang w:val="fr-CH"/>
            </w:rPr>
            <w:t>2</w:t>
          </w:r>
          <w:r w:rsidR="00085C3B" w:rsidRPr="005C49A3">
            <w:rPr>
              <w:color w:val="000000"/>
              <w:lang w:val="fr-CH"/>
            </w:rPr>
            <w:t xml:space="preserve">6 </w:t>
          </w:r>
          <w:r w:rsidRPr="005C49A3">
            <w:rPr>
              <w:color w:val="000000"/>
              <w:lang w:val="fr-CH"/>
            </w:rPr>
            <w:t>juin</w:t>
          </w:r>
          <w:r w:rsidR="00085C3B" w:rsidRPr="005C49A3">
            <w:rPr>
              <w:color w:val="000000"/>
              <w:lang w:val="fr-CH"/>
            </w:rPr>
            <w:t xml:space="preserve"> 2015</w:t>
          </w:r>
        </w:p>
        <w:p w:rsidR="00085C3B" w:rsidRPr="005C49A3" w:rsidRDefault="00085C3B" w:rsidP="00085C3B">
          <w:pPr>
            <w:rPr>
              <w:lang w:val="fr-CH"/>
            </w:rPr>
          </w:pPr>
          <w:r w:rsidRPr="005C49A3">
            <w:rPr>
              <w:lang w:val="fr-CH"/>
            </w:rPr>
            <w:t>Français</w:t>
          </w:r>
        </w:p>
        <w:p w:rsidR="00085C3B" w:rsidRPr="005C49A3" w:rsidRDefault="00085C3B" w:rsidP="00085C3B">
          <w:pPr>
            <w:pStyle w:val="Original"/>
            <w:rPr>
              <w:color w:val="000000"/>
              <w:lang w:val="fr-CH"/>
            </w:rPr>
          </w:pPr>
          <w:r w:rsidRPr="005C49A3">
            <w:rPr>
              <w:color w:val="000000"/>
              <w:lang w:val="fr-CH"/>
            </w:rPr>
            <w:t>Original : anglais</w:t>
          </w:r>
        </w:p>
      </w:tc>
    </w:tr>
  </w:tbl>
  <w:p w:rsidR="00085C3B" w:rsidRPr="005C49A3" w:rsidRDefault="00085C3B" w:rsidP="00085C3B">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7E4F"/>
    <w:multiLevelType w:val="hybridMultilevel"/>
    <w:tmpl w:val="48ECFEEE"/>
    <w:lvl w:ilvl="0" w:tplc="D22216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63FFA"/>
    <w:multiLevelType w:val="hybridMultilevel"/>
    <w:tmpl w:val="4E42D432"/>
    <w:lvl w:ilvl="0" w:tplc="B5BECE92">
      <w:numFmt w:val="decimal"/>
      <w:lvlRestart w:val="0"/>
      <w:lvlText w:val="%1."/>
      <w:lvlJc w:val="left"/>
      <w:pPr>
        <w:tabs>
          <w:tab w:val="num" w:pos="475"/>
        </w:tabs>
        <w:ind w:left="0" w:firstLine="0"/>
      </w:pPr>
      <w:rPr>
        <w:rFonts w:hint="default"/>
        <w:strike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93FAA"/>
    <w:multiLevelType w:val="singleLevel"/>
    <w:tmpl w:val="1CE83BEC"/>
    <w:lvl w:ilvl="0">
      <w:start w:val="1"/>
      <w:numFmt w:val="decimal"/>
      <w:lvlRestart w:val="0"/>
      <w:lvlText w:val="%1."/>
      <w:lvlJc w:val="left"/>
      <w:pPr>
        <w:tabs>
          <w:tab w:val="num" w:pos="475"/>
        </w:tabs>
        <w:ind w:left="0" w:firstLine="0"/>
      </w:pPr>
      <w:rPr>
        <w:w w:val="100"/>
      </w:rPr>
    </w:lvl>
  </w:abstractNum>
  <w:abstractNum w:abstractNumId="8">
    <w:nsid w:val="79766742"/>
    <w:multiLevelType w:val="singleLevel"/>
    <w:tmpl w:val="8AFEC2E8"/>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1"/>
  </w:num>
  <w:num w:numId="6">
    <w:abstractNumId w:val="8"/>
  </w:num>
  <w:num w:numId="7">
    <w:abstractNumId w:val="0"/>
  </w:num>
  <w:num w:numId="8">
    <w:abstractNumId w:val="7"/>
  </w:num>
  <w:num w:numId="9">
    <w:abstractNumId w:val="7"/>
    <w:lvlOverride w:ilvl="0">
      <w:lvl w:ilvl="0">
        <w:start w:val="1"/>
        <w:numFmt w:val="decimal"/>
        <w:lvlRestart w:val="0"/>
        <w:lvlText w:val="%1."/>
        <w:lvlJc w:val="left"/>
        <w:pPr>
          <w:tabs>
            <w:tab w:val="num" w:pos="475"/>
          </w:tabs>
          <w:ind w:left="0" w:firstLine="0"/>
        </w:pPr>
        <w:rPr>
          <w:w w:val="100"/>
        </w:rPr>
      </w:lvl>
    </w:lvlOverride>
  </w:num>
  <w:num w:numId="10">
    <w:abstractNumId w:val="7"/>
    <w:lvlOverride w:ilvl="0">
      <w:lvl w:ilvl="0">
        <w:start w:val="1"/>
        <w:numFmt w:val="decimal"/>
        <w:lvlRestart w:val="0"/>
        <w:lvlText w:val="%1."/>
        <w:lvlJc w:val="left"/>
        <w:pPr>
          <w:tabs>
            <w:tab w:val="num" w:pos="475"/>
          </w:tabs>
          <w:ind w:left="0" w:firstLine="0"/>
        </w:pPr>
        <w:rPr>
          <w:strike w:val="0"/>
          <w:w w:val="100"/>
        </w:rPr>
      </w:lvl>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581*"/>
    <w:docVar w:name="CreationDt" w:val="8/6/2015 2:12: PM"/>
    <w:docVar w:name="DocCategory" w:val="Doc"/>
    <w:docVar w:name="DocType" w:val="Final"/>
    <w:docVar w:name="DutyStation" w:val="Geneva"/>
    <w:docVar w:name="FooterJN" w:val="GE.15-10581"/>
    <w:docVar w:name="jobn" w:val="GE.15-10581 (F)"/>
    <w:docVar w:name="jobnDT" w:val="GE.15-10581 (F)   060815"/>
    <w:docVar w:name="jobnDTDT" w:val="GE.15-10581 (F)   060815   060815"/>
    <w:docVar w:name="JobNo" w:val="GE.1510581F"/>
    <w:docVar w:name="JobNo2" w:val="GE.1513477F"/>
    <w:docVar w:name="LocalDrive" w:val="0"/>
    <w:docVar w:name="OandT" w:val="C. ROBERT"/>
    <w:docVar w:name="PaperSize" w:val="A4"/>
    <w:docVar w:name="sss1" w:val="ECE/TRANS/WP.15/AC.1/2015/35"/>
    <w:docVar w:name="sss2" w:val="-"/>
    <w:docVar w:name="Symbol1" w:val="ECE/TRANS/WP.15/AC.1/2015/35"/>
    <w:docVar w:name="Symbol2" w:val="-"/>
  </w:docVars>
  <w:rsids>
    <w:rsidRoot w:val="005E227D"/>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5C3B"/>
    <w:rsid w:val="0008708F"/>
    <w:rsid w:val="000911F5"/>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3C9A"/>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35A27"/>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5A20"/>
    <w:rsid w:val="00186793"/>
    <w:rsid w:val="0019082C"/>
    <w:rsid w:val="00192D05"/>
    <w:rsid w:val="00193A8C"/>
    <w:rsid w:val="00194556"/>
    <w:rsid w:val="001A2E2D"/>
    <w:rsid w:val="001A4BAA"/>
    <w:rsid w:val="001A4F4E"/>
    <w:rsid w:val="001A76F3"/>
    <w:rsid w:val="001B5583"/>
    <w:rsid w:val="001B5A24"/>
    <w:rsid w:val="001C0599"/>
    <w:rsid w:val="001C3C57"/>
    <w:rsid w:val="001C4664"/>
    <w:rsid w:val="001C4AD7"/>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4436"/>
    <w:rsid w:val="002178A7"/>
    <w:rsid w:val="002220FF"/>
    <w:rsid w:val="00222C28"/>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058E"/>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3E9B"/>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1444"/>
    <w:rsid w:val="0042753D"/>
    <w:rsid w:val="004301B0"/>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08D4"/>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22E0"/>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49A3"/>
    <w:rsid w:val="005C65C2"/>
    <w:rsid w:val="005D7CA9"/>
    <w:rsid w:val="005E227D"/>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3E88"/>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01D1"/>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6F"/>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3EEA"/>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12A4"/>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603C"/>
    <w:rsid w:val="009676D3"/>
    <w:rsid w:val="00971E24"/>
    <w:rsid w:val="00973C3E"/>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3885"/>
    <w:rsid w:val="009B4398"/>
    <w:rsid w:val="009B4EEC"/>
    <w:rsid w:val="009C1815"/>
    <w:rsid w:val="009C5249"/>
    <w:rsid w:val="009C57CF"/>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0E"/>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A0C"/>
    <w:rsid w:val="00A33E3C"/>
    <w:rsid w:val="00A3426E"/>
    <w:rsid w:val="00A353ED"/>
    <w:rsid w:val="00A375D9"/>
    <w:rsid w:val="00A37FBB"/>
    <w:rsid w:val="00A4236C"/>
    <w:rsid w:val="00A43945"/>
    <w:rsid w:val="00A43CAC"/>
    <w:rsid w:val="00A45E20"/>
    <w:rsid w:val="00A46DB8"/>
    <w:rsid w:val="00A52DF2"/>
    <w:rsid w:val="00A54A5E"/>
    <w:rsid w:val="00A55810"/>
    <w:rsid w:val="00A56E3B"/>
    <w:rsid w:val="00A57C5A"/>
    <w:rsid w:val="00A64AD2"/>
    <w:rsid w:val="00A72C1F"/>
    <w:rsid w:val="00A72F5E"/>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074F0"/>
    <w:rsid w:val="00B10BF5"/>
    <w:rsid w:val="00B145B5"/>
    <w:rsid w:val="00B152AC"/>
    <w:rsid w:val="00B16C8B"/>
    <w:rsid w:val="00B20969"/>
    <w:rsid w:val="00B22BE8"/>
    <w:rsid w:val="00B2317F"/>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10C"/>
    <w:rsid w:val="00B556DD"/>
    <w:rsid w:val="00B55CBB"/>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C7816"/>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5B7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1BA"/>
    <w:rsid w:val="00CC3EAA"/>
    <w:rsid w:val="00CC42C8"/>
    <w:rsid w:val="00CD4A8B"/>
    <w:rsid w:val="00CE1E5D"/>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3FE6"/>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7C9"/>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140F7"/>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6374"/>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08F9"/>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10C3"/>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6E0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689"/>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Footnote Reference/"/>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085C3B"/>
    <w:rPr>
      <w:sz w:val="16"/>
      <w:szCs w:val="16"/>
    </w:rPr>
  </w:style>
  <w:style w:type="paragraph" w:styleId="Commentaire">
    <w:name w:val="annotation text"/>
    <w:basedOn w:val="Normal"/>
    <w:link w:val="CommentaireCar"/>
    <w:uiPriority w:val="99"/>
    <w:semiHidden/>
    <w:unhideWhenUsed/>
    <w:rsid w:val="00085C3B"/>
    <w:pPr>
      <w:spacing w:line="240" w:lineRule="auto"/>
    </w:pPr>
    <w:rPr>
      <w:szCs w:val="20"/>
    </w:rPr>
  </w:style>
  <w:style w:type="character" w:customStyle="1" w:styleId="CommentaireCar">
    <w:name w:val="Commentaire Car"/>
    <w:basedOn w:val="Policepardfaut"/>
    <w:link w:val="Commentaire"/>
    <w:uiPriority w:val="99"/>
    <w:semiHidden/>
    <w:rsid w:val="00085C3B"/>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085C3B"/>
    <w:rPr>
      <w:b/>
      <w:bCs/>
    </w:rPr>
  </w:style>
  <w:style w:type="character" w:customStyle="1" w:styleId="ObjetducommentaireCar">
    <w:name w:val="Objet du commentaire Car"/>
    <w:basedOn w:val="CommentaireCar"/>
    <w:link w:val="Objetducommentaire"/>
    <w:uiPriority w:val="99"/>
    <w:semiHidden/>
    <w:rsid w:val="00085C3B"/>
    <w:rPr>
      <w:rFonts w:ascii="Times New Roman" w:hAnsi="Times New Roman"/>
      <w:b/>
      <w:bCs/>
      <w:spacing w:val="4"/>
      <w:w w:val="103"/>
      <w:kern w:val="14"/>
      <w:lang w:val="fr-CA"/>
    </w:rPr>
  </w:style>
  <w:style w:type="paragraph" w:customStyle="1" w:styleId="HChG">
    <w:name w:val="_ H _Ch_G"/>
    <w:basedOn w:val="Normal"/>
    <w:next w:val="Normal"/>
    <w:link w:val="HChGChar"/>
    <w:qFormat/>
    <w:rsid w:val="00135A2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135A2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135A2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135A2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135A27"/>
    <w:rPr>
      <w:rFonts w:ascii="Times New Roman" w:eastAsia="Calibri" w:hAnsi="Times New Roman"/>
      <w:b/>
      <w:sz w:val="24"/>
      <w:lang w:val="fr-CH"/>
    </w:rPr>
  </w:style>
  <w:style w:type="character" w:customStyle="1" w:styleId="HChGChar">
    <w:name w:val="_ H _Ch_G Char"/>
    <w:link w:val="HChG"/>
    <w:locked/>
    <w:rsid w:val="00135A27"/>
    <w:rPr>
      <w:rFonts w:ascii="Times New Roman" w:eastAsia="Calibri" w:hAnsi="Times New Roman"/>
      <w:b/>
      <w:sz w:val="28"/>
      <w:lang w:val="fr-CH"/>
    </w:rPr>
  </w:style>
  <w:style w:type="character" w:customStyle="1" w:styleId="SingleTxtGChar">
    <w:name w:val="_ Single Txt_G Char"/>
    <w:link w:val="SingleTxtG"/>
    <w:rsid w:val="00135A27"/>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85C3B"/>
    <w:rPr>
      <w:sz w:val="16"/>
      <w:szCs w:val="16"/>
    </w:rPr>
  </w:style>
  <w:style w:type="paragraph" w:styleId="CommentText">
    <w:name w:val="annotation text"/>
    <w:basedOn w:val="Normal"/>
    <w:link w:val="CommentTextChar"/>
    <w:uiPriority w:val="99"/>
    <w:semiHidden/>
    <w:unhideWhenUsed/>
    <w:rsid w:val="00085C3B"/>
    <w:pPr>
      <w:spacing w:line="240" w:lineRule="auto"/>
    </w:pPr>
    <w:rPr>
      <w:szCs w:val="20"/>
    </w:rPr>
  </w:style>
  <w:style w:type="character" w:customStyle="1" w:styleId="CommentTextChar">
    <w:name w:val="Comment Text Char"/>
    <w:basedOn w:val="DefaultParagraphFont"/>
    <w:link w:val="CommentText"/>
    <w:uiPriority w:val="99"/>
    <w:semiHidden/>
    <w:rsid w:val="00085C3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85C3B"/>
    <w:rPr>
      <w:b/>
      <w:bCs/>
    </w:rPr>
  </w:style>
  <w:style w:type="character" w:customStyle="1" w:styleId="CommentSubjectChar">
    <w:name w:val="Comment Subject Char"/>
    <w:basedOn w:val="CommentTextChar"/>
    <w:link w:val="CommentSubject"/>
    <w:uiPriority w:val="99"/>
    <w:semiHidden/>
    <w:rsid w:val="00085C3B"/>
    <w:rPr>
      <w:rFonts w:ascii="Times New Roman" w:hAnsi="Times New Roman"/>
      <w:b/>
      <w:bCs/>
      <w:spacing w:val="4"/>
      <w:w w:val="103"/>
      <w:kern w:val="14"/>
      <w:lang w:val="fr-CA"/>
    </w:rPr>
  </w:style>
  <w:style w:type="paragraph" w:customStyle="1" w:styleId="HChG">
    <w:name w:val="_ H _Ch_G"/>
    <w:basedOn w:val="Normal"/>
    <w:next w:val="Normal"/>
    <w:link w:val="HChGChar"/>
    <w:qFormat/>
    <w:rsid w:val="00135A2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135A2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135A27"/>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135A2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135A27"/>
    <w:rPr>
      <w:rFonts w:ascii="Times New Roman" w:eastAsia="Calibri" w:hAnsi="Times New Roman"/>
      <w:b/>
      <w:sz w:val="24"/>
      <w:lang w:val="fr-CH"/>
    </w:rPr>
  </w:style>
  <w:style w:type="character" w:customStyle="1" w:styleId="HChGChar">
    <w:name w:val="_ H _Ch_G Char"/>
    <w:link w:val="HChG"/>
    <w:locked/>
    <w:rsid w:val="00135A27"/>
    <w:rPr>
      <w:rFonts w:ascii="Times New Roman" w:eastAsia="Calibri" w:hAnsi="Times New Roman"/>
      <w:b/>
      <w:sz w:val="28"/>
      <w:lang w:val="fr-CH"/>
    </w:rPr>
  </w:style>
  <w:style w:type="character" w:customStyle="1" w:styleId="SingleTxtGChar">
    <w:name w:val="_ Single Txt_G Char"/>
    <w:link w:val="SingleTxtG"/>
    <w:rsid w:val="00135A27"/>
    <w:rPr>
      <w:rFonts w:ascii="Times New Roman" w:eastAsia="Calibri" w:hAnsi="Times New Roman"/>
      <w:sz w:val="24"/>
      <w:lang w:val="fr-C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567D-C7FF-4585-BBDC-3E66EA14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8089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Maison</cp:lastModifiedBy>
  <cp:revision>2</cp:revision>
  <cp:lastPrinted>2015-08-07T08:52:00Z</cp:lastPrinted>
  <dcterms:created xsi:type="dcterms:W3CDTF">2015-08-11T08:41:00Z</dcterms:created>
  <dcterms:modified xsi:type="dcterms:W3CDTF">2015-08-11T08:41:00Z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1510581F</vt:lpwstr>
  </property>
  <property fmtid="{D5CDD505-2E9C-101B-9397-08002B2CF9AE}" pid="3" name="ODSRefJobNo">
    <vt:lpwstr>1513477F</vt:lpwstr>
  </property>
  <property fmtid="{D5CDD505-2E9C-101B-9397-08002B2CF9AE}" pid="4" name="Symbol1">
    <vt:lpwstr>ECE/TRANS/WP.15/AC.1/2015/35</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060815</vt:lpwstr>
  </property>
</Properties>
</file>