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84CD4" w:rsidTr="00B11BB4">
        <w:trPr>
          <w:cantSplit/>
          <w:trHeight w:hRule="exact" w:val="851"/>
        </w:trPr>
        <w:tc>
          <w:tcPr>
            <w:tcW w:w="1276" w:type="dxa"/>
            <w:tcBorders>
              <w:bottom w:val="single" w:sz="4" w:space="0" w:color="auto"/>
            </w:tcBorders>
            <w:shd w:val="clear" w:color="auto" w:fill="auto"/>
            <w:vAlign w:val="bottom"/>
          </w:tcPr>
          <w:p w:rsidR="00B56E9C" w:rsidRPr="001E2674" w:rsidRDefault="00B56E9C" w:rsidP="00B11BB4">
            <w:pPr>
              <w:spacing w:after="80"/>
            </w:pPr>
          </w:p>
        </w:tc>
        <w:tc>
          <w:tcPr>
            <w:tcW w:w="2268" w:type="dxa"/>
            <w:tcBorders>
              <w:bottom w:val="single" w:sz="4" w:space="0" w:color="auto"/>
            </w:tcBorders>
            <w:shd w:val="clear" w:color="auto" w:fill="auto"/>
            <w:vAlign w:val="bottom"/>
          </w:tcPr>
          <w:p w:rsidR="00B56E9C" w:rsidRPr="001E2674" w:rsidRDefault="00B56E9C" w:rsidP="00B11BB4">
            <w:pPr>
              <w:spacing w:after="80" w:line="300" w:lineRule="exact"/>
              <w:rPr>
                <w:b/>
                <w:sz w:val="24"/>
                <w:szCs w:val="24"/>
              </w:rPr>
            </w:pPr>
            <w:r w:rsidRPr="001E2674">
              <w:rPr>
                <w:sz w:val="28"/>
                <w:szCs w:val="28"/>
              </w:rPr>
              <w:t>United Nations</w:t>
            </w:r>
          </w:p>
        </w:tc>
        <w:tc>
          <w:tcPr>
            <w:tcW w:w="6095" w:type="dxa"/>
            <w:gridSpan w:val="2"/>
            <w:tcBorders>
              <w:bottom w:val="single" w:sz="4" w:space="0" w:color="auto"/>
            </w:tcBorders>
            <w:shd w:val="clear" w:color="auto" w:fill="auto"/>
            <w:vAlign w:val="bottom"/>
          </w:tcPr>
          <w:p w:rsidR="00B56E9C" w:rsidRPr="00684CD4" w:rsidRDefault="009D2A5B" w:rsidP="00F412DE">
            <w:pPr>
              <w:suppressAutoHyphens w:val="0"/>
              <w:spacing w:after="20"/>
              <w:jc w:val="right"/>
              <w:rPr>
                <w:lang w:val="en-US"/>
              </w:rPr>
            </w:pPr>
            <w:r w:rsidRPr="00684CD4">
              <w:rPr>
                <w:sz w:val="40"/>
                <w:lang w:val="en-US"/>
              </w:rPr>
              <w:t>ECE</w:t>
            </w:r>
            <w:r w:rsidRPr="00684CD4">
              <w:rPr>
                <w:lang w:val="en-US"/>
              </w:rPr>
              <w:t>/TRANS/WP.15/AC.1/201</w:t>
            </w:r>
            <w:r w:rsidR="0069232B" w:rsidRPr="00684CD4">
              <w:rPr>
                <w:lang w:val="en-US"/>
              </w:rPr>
              <w:t>5</w:t>
            </w:r>
            <w:r w:rsidRPr="00684CD4">
              <w:rPr>
                <w:lang w:val="en-US"/>
              </w:rPr>
              <w:t>/</w:t>
            </w:r>
            <w:r w:rsidR="00CF79FB">
              <w:rPr>
                <w:lang w:val="en-US"/>
              </w:rPr>
              <w:t>3</w:t>
            </w:r>
            <w:r w:rsidR="00F412DE">
              <w:rPr>
                <w:lang w:val="en-US"/>
              </w:rPr>
              <w:t>5</w:t>
            </w:r>
          </w:p>
        </w:tc>
      </w:tr>
      <w:tr w:rsidR="00B56E9C" w:rsidRPr="001E2674" w:rsidTr="00B11BB4">
        <w:trPr>
          <w:cantSplit/>
          <w:trHeight w:hRule="exact" w:val="2835"/>
        </w:trPr>
        <w:tc>
          <w:tcPr>
            <w:tcW w:w="1276" w:type="dxa"/>
            <w:tcBorders>
              <w:top w:val="single" w:sz="4" w:space="0" w:color="auto"/>
              <w:bottom w:val="single" w:sz="12" w:space="0" w:color="auto"/>
            </w:tcBorders>
            <w:shd w:val="clear" w:color="auto" w:fill="auto"/>
          </w:tcPr>
          <w:p w:rsidR="00B56E9C" w:rsidRPr="001E2674" w:rsidRDefault="00E0182A"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E2674" w:rsidRDefault="00D773DF" w:rsidP="00B11BB4">
            <w:pPr>
              <w:spacing w:before="120" w:line="420" w:lineRule="exact"/>
              <w:rPr>
                <w:sz w:val="40"/>
                <w:szCs w:val="40"/>
              </w:rPr>
            </w:pPr>
            <w:r w:rsidRPr="001E267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Pr="001E2674" w:rsidRDefault="009D2A5B" w:rsidP="00B11BB4">
            <w:pPr>
              <w:suppressAutoHyphens w:val="0"/>
              <w:spacing w:before="240" w:line="240" w:lineRule="exact"/>
            </w:pPr>
            <w:r w:rsidRPr="001E2674">
              <w:t>Distr.: General</w:t>
            </w:r>
          </w:p>
          <w:p w:rsidR="009D2A5B" w:rsidRPr="001E2674" w:rsidRDefault="00165557" w:rsidP="00B11BB4">
            <w:pPr>
              <w:suppressAutoHyphens w:val="0"/>
            </w:pPr>
            <w:r>
              <w:t>2</w:t>
            </w:r>
            <w:r w:rsidR="008527BD">
              <w:t>6</w:t>
            </w:r>
            <w:r w:rsidR="00A16E58" w:rsidRPr="001E2674">
              <w:t xml:space="preserve"> </w:t>
            </w:r>
            <w:r w:rsidR="00774CE6">
              <w:t>June</w:t>
            </w:r>
            <w:r w:rsidR="001B13A5" w:rsidRPr="001E2674">
              <w:t xml:space="preserve"> 201</w:t>
            </w:r>
            <w:r w:rsidR="00A16E58" w:rsidRPr="001E2674">
              <w:t>5</w:t>
            </w:r>
          </w:p>
          <w:p w:rsidR="009D2A5B" w:rsidRPr="001E2674" w:rsidRDefault="009D2A5B" w:rsidP="00B11BB4">
            <w:pPr>
              <w:suppressAutoHyphens w:val="0"/>
            </w:pPr>
          </w:p>
          <w:p w:rsidR="00B56E9C" w:rsidRPr="001E2674" w:rsidRDefault="009D2A5B" w:rsidP="00B11BB4">
            <w:pPr>
              <w:suppressAutoHyphens w:val="0"/>
            </w:pPr>
            <w:r w:rsidRPr="001E2674">
              <w:t xml:space="preserve">Original: </w:t>
            </w:r>
            <w:r w:rsidR="0094558F" w:rsidRPr="001E2674">
              <w:t xml:space="preserve"> English</w:t>
            </w:r>
          </w:p>
        </w:tc>
      </w:tr>
    </w:tbl>
    <w:p w:rsidR="00EC106A" w:rsidRPr="001E2674" w:rsidRDefault="00EC106A">
      <w:pPr>
        <w:spacing w:before="120"/>
        <w:rPr>
          <w:b/>
          <w:sz w:val="28"/>
          <w:szCs w:val="28"/>
        </w:rPr>
      </w:pPr>
      <w:r w:rsidRPr="001E2674">
        <w:rPr>
          <w:b/>
          <w:sz w:val="28"/>
          <w:szCs w:val="28"/>
        </w:rPr>
        <w:t>Economic Commission for Europe</w:t>
      </w:r>
    </w:p>
    <w:p w:rsidR="00EC106A" w:rsidRPr="001E2674" w:rsidRDefault="00EC106A">
      <w:pPr>
        <w:spacing w:before="120"/>
        <w:rPr>
          <w:sz w:val="28"/>
          <w:szCs w:val="28"/>
        </w:rPr>
      </w:pPr>
      <w:r w:rsidRPr="001E2674">
        <w:rPr>
          <w:sz w:val="28"/>
          <w:szCs w:val="28"/>
        </w:rPr>
        <w:t>Inland Transport Committee</w:t>
      </w:r>
    </w:p>
    <w:p w:rsidR="00EC106A" w:rsidRPr="001E2674" w:rsidRDefault="00EC106A" w:rsidP="00EC106A">
      <w:pPr>
        <w:spacing w:before="120" w:after="120"/>
        <w:rPr>
          <w:b/>
          <w:sz w:val="24"/>
          <w:szCs w:val="24"/>
        </w:rPr>
      </w:pPr>
      <w:r w:rsidRPr="001E2674">
        <w:rPr>
          <w:b/>
          <w:sz w:val="24"/>
          <w:szCs w:val="24"/>
        </w:rPr>
        <w:t>Working Party on the Transport of Dangerous Goods</w:t>
      </w:r>
    </w:p>
    <w:p w:rsidR="009D2A5B" w:rsidRPr="001E2674" w:rsidRDefault="009D2A5B" w:rsidP="009D2A5B">
      <w:pPr>
        <w:rPr>
          <w:b/>
        </w:rPr>
      </w:pPr>
      <w:r w:rsidRPr="001E2674">
        <w:rPr>
          <w:b/>
        </w:rPr>
        <w:t>Joint Meeting of the RID Committee of Experts and the</w:t>
      </w:r>
    </w:p>
    <w:p w:rsidR="009D2A5B" w:rsidRPr="001E2674" w:rsidRDefault="009D2A5B" w:rsidP="009D2A5B">
      <w:pPr>
        <w:rPr>
          <w:b/>
        </w:rPr>
      </w:pPr>
      <w:r w:rsidRPr="001E2674">
        <w:rPr>
          <w:b/>
        </w:rPr>
        <w:t>Working Party on the Transport of Dangerous Goods</w:t>
      </w:r>
    </w:p>
    <w:p w:rsidR="009D2A5B" w:rsidRPr="001E2674" w:rsidRDefault="003F4266" w:rsidP="00BB7CD1">
      <w:r>
        <w:t>Geneva</w:t>
      </w:r>
      <w:r w:rsidR="00BB7CD1" w:rsidRPr="001E2674">
        <w:t xml:space="preserve">, </w:t>
      </w:r>
      <w:r w:rsidR="00A16E58" w:rsidRPr="001E2674">
        <w:t>1</w:t>
      </w:r>
      <w:r>
        <w:t>5</w:t>
      </w:r>
      <w:r w:rsidR="00BB7CD1" w:rsidRPr="001E2674">
        <w:t>–2</w:t>
      </w:r>
      <w:r w:rsidR="00A16E58" w:rsidRPr="001E2674">
        <w:t>5</w:t>
      </w:r>
      <w:r w:rsidR="00F66565" w:rsidRPr="001E2674">
        <w:t xml:space="preserve"> </w:t>
      </w:r>
      <w:r w:rsidR="00A16E58" w:rsidRPr="001E2674">
        <w:t>September</w:t>
      </w:r>
      <w:r w:rsidR="00BB7CD1" w:rsidRPr="001E2674">
        <w:t xml:space="preserve"> 201</w:t>
      </w:r>
      <w:r w:rsidR="0069232B" w:rsidRPr="001E2674">
        <w:t>5</w:t>
      </w:r>
    </w:p>
    <w:p w:rsidR="00BB7CD1" w:rsidRPr="001E2674" w:rsidRDefault="00BB7CD1" w:rsidP="00BB7CD1">
      <w:r w:rsidRPr="001E2674">
        <w:t xml:space="preserve">Item </w:t>
      </w:r>
      <w:r w:rsidR="003870A1">
        <w:t>3</w:t>
      </w:r>
      <w:r w:rsidR="002042CE" w:rsidRPr="001E2674">
        <w:t xml:space="preserve"> </w:t>
      </w:r>
      <w:r w:rsidR="00B914A6" w:rsidRPr="001E2674">
        <w:t>(</w:t>
      </w:r>
      <w:r w:rsidR="002042CE" w:rsidRPr="001E2674">
        <w:t>b)</w:t>
      </w:r>
      <w:r w:rsidRPr="001E2674">
        <w:t xml:space="preserve"> of the provisional agenda</w:t>
      </w:r>
    </w:p>
    <w:p w:rsidR="002042CE" w:rsidRPr="001E2674" w:rsidRDefault="002042CE" w:rsidP="00BB7CD1">
      <w:pPr>
        <w:rPr>
          <w:b/>
        </w:rPr>
      </w:pPr>
      <w:r w:rsidRPr="001E2674">
        <w:rPr>
          <w:b/>
        </w:rPr>
        <w:t>Proposals for amendments to RID/ADR/ADN:</w:t>
      </w:r>
    </w:p>
    <w:p w:rsidR="00BB7CD1" w:rsidRPr="001E2674" w:rsidRDefault="002042CE" w:rsidP="00BB7CD1">
      <w:pPr>
        <w:rPr>
          <w:b/>
        </w:rPr>
      </w:pPr>
      <w:proofErr w:type="gramStart"/>
      <w:r w:rsidRPr="001E2674">
        <w:rPr>
          <w:b/>
        </w:rPr>
        <w:t>new</w:t>
      </w:r>
      <w:proofErr w:type="gramEnd"/>
      <w:r w:rsidRPr="001E2674">
        <w:rPr>
          <w:b/>
        </w:rPr>
        <w:t xml:space="preserve"> </w:t>
      </w:r>
      <w:r w:rsidR="00186147" w:rsidRPr="001E2674">
        <w:rPr>
          <w:b/>
        </w:rPr>
        <w:t>proposals</w:t>
      </w:r>
    </w:p>
    <w:p w:rsidR="00186147" w:rsidRPr="001E2674" w:rsidRDefault="009B1518" w:rsidP="00186147">
      <w:pPr>
        <w:pStyle w:val="HChG"/>
        <w:rPr>
          <w:lang w:val="en-GB"/>
        </w:rPr>
      </w:pPr>
      <w:r w:rsidRPr="001E2674">
        <w:rPr>
          <w:lang w:val="en-GB"/>
        </w:rPr>
        <w:tab/>
      </w:r>
      <w:r w:rsidRPr="001E2674">
        <w:rPr>
          <w:lang w:val="en-GB"/>
        </w:rPr>
        <w:tab/>
      </w:r>
      <w:r w:rsidR="00F412DE">
        <w:t>Amendments to</w:t>
      </w:r>
      <w:r w:rsidR="005D68D6">
        <w:t xml:space="preserve"> </w:t>
      </w:r>
      <w:r w:rsidR="006F099B" w:rsidRPr="006F099B">
        <w:rPr>
          <w:lang w:val="en-GB"/>
        </w:rPr>
        <w:t>s</w:t>
      </w:r>
      <w:proofErr w:type="spellStart"/>
      <w:r w:rsidR="00F412DE" w:rsidRPr="008021DB">
        <w:t>ection</w:t>
      </w:r>
      <w:proofErr w:type="spellEnd"/>
      <w:r w:rsidR="00F412DE" w:rsidRPr="008021DB">
        <w:t xml:space="preserve"> 5.4.3 Instructions in writing in RID/ADR/ADN</w:t>
      </w:r>
    </w:p>
    <w:p w:rsidR="0069232B" w:rsidRPr="001E2674" w:rsidRDefault="00186147" w:rsidP="00186147">
      <w:pPr>
        <w:pStyle w:val="H1G"/>
        <w:rPr>
          <w:sz w:val="18"/>
          <w:szCs w:val="18"/>
        </w:rPr>
      </w:pPr>
      <w:r w:rsidRPr="001E2674">
        <w:tab/>
      </w:r>
      <w:r w:rsidRPr="001E2674">
        <w:tab/>
        <w:t xml:space="preserve">Transmitted by </w:t>
      </w:r>
      <w:r w:rsidR="00A16E58" w:rsidRPr="001E2674">
        <w:t>the Government of Romania</w:t>
      </w:r>
      <w:r w:rsidR="00CF79FB" w:rsidRPr="008021DB">
        <w:rPr>
          <w:rStyle w:val="FootnoteReference"/>
          <w:b w:val="0"/>
        </w:rPr>
        <w:footnoteReference w:id="2"/>
      </w:r>
      <w:r w:rsidR="00CF79FB" w:rsidRPr="00381475">
        <w:rPr>
          <w:b w:val="0"/>
          <w:sz w:val="18"/>
          <w:szCs w:val="18"/>
          <w:vertAlign w:val="superscript"/>
        </w:rPr>
        <w:t>,</w:t>
      </w:r>
      <w:r w:rsidR="00CF79FB">
        <w:rPr>
          <w:b w:val="0"/>
          <w:sz w:val="18"/>
          <w:szCs w:val="18"/>
        </w:rPr>
        <w:t xml:space="preserve"> </w:t>
      </w:r>
      <w:r w:rsidR="00CF79FB" w:rsidRPr="008021DB">
        <w:rPr>
          <w:rStyle w:val="FootnoteReference"/>
          <w:b w:val="0"/>
        </w:rPr>
        <w:footnoteReference w:id="3"/>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186147" w:rsidRPr="001E2674" w:rsidTr="00D85A0E">
        <w:trPr>
          <w:jc w:val="center"/>
        </w:trPr>
        <w:tc>
          <w:tcPr>
            <w:tcW w:w="9637" w:type="dxa"/>
            <w:shd w:val="clear" w:color="auto" w:fill="auto"/>
          </w:tcPr>
          <w:p w:rsidR="00186147" w:rsidRPr="001E2674" w:rsidRDefault="00186147" w:rsidP="00D85A0E">
            <w:pPr>
              <w:spacing w:before="240" w:after="120"/>
              <w:ind w:left="255"/>
              <w:rPr>
                <w:i/>
                <w:sz w:val="24"/>
              </w:rPr>
            </w:pPr>
            <w:r w:rsidRPr="001E2674">
              <w:rPr>
                <w:i/>
                <w:sz w:val="24"/>
              </w:rPr>
              <w:t>Summary</w:t>
            </w:r>
          </w:p>
        </w:tc>
      </w:tr>
      <w:tr w:rsidR="00186147" w:rsidRPr="001E2674" w:rsidTr="00D85A0E">
        <w:trPr>
          <w:jc w:val="center"/>
        </w:trPr>
        <w:tc>
          <w:tcPr>
            <w:tcW w:w="9637" w:type="dxa"/>
            <w:shd w:val="clear" w:color="auto" w:fill="auto"/>
          </w:tcPr>
          <w:p w:rsidR="00186147" w:rsidRPr="001E2674" w:rsidRDefault="00186147" w:rsidP="00697A0B">
            <w:pPr>
              <w:pStyle w:val="SingleTxtG"/>
              <w:ind w:left="3401" w:hanging="2268"/>
              <w:rPr>
                <w:lang w:val="en-GB"/>
              </w:rPr>
            </w:pPr>
            <w:r w:rsidRPr="001E2674">
              <w:rPr>
                <w:b/>
                <w:lang w:val="en-GB"/>
              </w:rPr>
              <w:t>Executive summary</w:t>
            </w:r>
            <w:r w:rsidRPr="001E2674">
              <w:rPr>
                <w:lang w:val="en-GB"/>
              </w:rPr>
              <w:t>:</w:t>
            </w:r>
            <w:r w:rsidRPr="001E2674">
              <w:rPr>
                <w:lang w:val="en-GB"/>
              </w:rPr>
              <w:tab/>
            </w:r>
            <w:r w:rsidR="00F412DE">
              <w:t>Unified vision of the provisions regarding the</w:t>
            </w:r>
            <w:r w:rsidR="005D68D6">
              <w:t xml:space="preserve"> Instructions in writing </w:t>
            </w:r>
            <w:r w:rsidR="005D68D6" w:rsidRPr="00165557">
              <w:rPr>
                <w:lang w:val="en-GB"/>
              </w:rPr>
              <w:t xml:space="preserve">in </w:t>
            </w:r>
            <w:r w:rsidR="00F412DE">
              <w:t>section 5.4.3</w:t>
            </w:r>
            <w:r w:rsidR="00F412DE" w:rsidRPr="00D85770">
              <w:t>.</w:t>
            </w:r>
          </w:p>
        </w:tc>
      </w:tr>
      <w:tr w:rsidR="00186147" w:rsidRPr="001E2674" w:rsidTr="00D85A0E">
        <w:trPr>
          <w:jc w:val="center"/>
        </w:trPr>
        <w:tc>
          <w:tcPr>
            <w:tcW w:w="9637" w:type="dxa"/>
            <w:shd w:val="clear" w:color="auto" w:fill="auto"/>
          </w:tcPr>
          <w:p w:rsidR="00186147" w:rsidRPr="001E2674" w:rsidRDefault="00186147" w:rsidP="000E157A">
            <w:pPr>
              <w:spacing w:after="120"/>
              <w:ind w:right="1133"/>
            </w:pPr>
            <w:r w:rsidRPr="001E2674">
              <w:rPr>
                <w:b/>
              </w:rPr>
              <w:tab/>
            </w:r>
            <w:r w:rsidRPr="001E2674">
              <w:rPr>
                <w:b/>
              </w:rPr>
              <w:tab/>
              <w:t>Action to be taken</w:t>
            </w:r>
            <w:r w:rsidRPr="001E2674">
              <w:t xml:space="preserve">: </w:t>
            </w:r>
            <w:r w:rsidRPr="001E2674">
              <w:tab/>
            </w:r>
            <w:r w:rsidRPr="001E2674">
              <w:tab/>
            </w:r>
            <w:r w:rsidR="00F412DE" w:rsidRPr="00D85770">
              <w:t xml:space="preserve">Amend the </w:t>
            </w:r>
            <w:r w:rsidR="005D68D6">
              <w:t>provisions in</w:t>
            </w:r>
            <w:r w:rsidR="00F412DE">
              <w:t xml:space="preserve"> section 5.4.3</w:t>
            </w:r>
            <w:r w:rsidR="00F412DE" w:rsidRPr="00D85770">
              <w:t>.</w:t>
            </w:r>
          </w:p>
        </w:tc>
      </w:tr>
      <w:tr w:rsidR="00186147" w:rsidRPr="001E2674" w:rsidTr="00D85A0E">
        <w:trPr>
          <w:jc w:val="center"/>
        </w:trPr>
        <w:tc>
          <w:tcPr>
            <w:tcW w:w="9637" w:type="dxa"/>
            <w:shd w:val="clear" w:color="auto" w:fill="auto"/>
          </w:tcPr>
          <w:p w:rsidR="00186147" w:rsidRPr="001E2674" w:rsidRDefault="00186147" w:rsidP="000B022F">
            <w:pPr>
              <w:spacing w:after="120"/>
              <w:ind w:left="3401" w:right="1133" w:hanging="2268"/>
              <w:jc w:val="both"/>
              <w:rPr>
                <w:b/>
              </w:rPr>
            </w:pPr>
            <w:r w:rsidRPr="001E2674">
              <w:rPr>
                <w:b/>
              </w:rPr>
              <w:t>Related documents:</w:t>
            </w:r>
            <w:r w:rsidRPr="001E2674">
              <w:rPr>
                <w:b/>
              </w:rPr>
              <w:tab/>
            </w:r>
            <w:r w:rsidR="00F412DE" w:rsidRPr="00D85770">
              <w:rPr>
                <w:b/>
              </w:rPr>
              <w:tab/>
            </w:r>
            <w:r w:rsidR="00F412DE" w:rsidRPr="00D85770">
              <w:rPr>
                <w:rFonts w:eastAsia="MS Mincho"/>
              </w:rPr>
              <w:t>ECE/TRANS/WP.15/</w:t>
            </w:r>
            <w:r w:rsidR="005D68D6">
              <w:rPr>
                <w:rFonts w:eastAsia="MS Mincho"/>
              </w:rPr>
              <w:t xml:space="preserve">AC.1/2015/1 and </w:t>
            </w:r>
            <w:r w:rsidR="00F412DE">
              <w:rPr>
                <w:rFonts w:eastAsia="MS Mincho"/>
              </w:rPr>
              <w:t xml:space="preserve">paragraph </w:t>
            </w:r>
            <w:r w:rsidR="00F412DE" w:rsidRPr="009066CD">
              <w:rPr>
                <w:rFonts w:eastAsia="MS Mincho"/>
              </w:rPr>
              <w:t>61</w:t>
            </w:r>
            <w:r w:rsidR="00F412DE">
              <w:rPr>
                <w:rFonts w:eastAsia="MS Mincho"/>
              </w:rPr>
              <w:t xml:space="preserve"> of the Report of the March 2015 session of the </w:t>
            </w:r>
            <w:r w:rsidR="00F412DE" w:rsidRPr="00E809A8">
              <w:rPr>
                <w:rFonts w:eastAsia="MS Mincho"/>
              </w:rPr>
              <w:t>Joint Meeting of the RID Committee of Experts and the</w:t>
            </w:r>
            <w:r w:rsidR="00F412DE">
              <w:rPr>
                <w:rFonts w:eastAsia="MS Mincho"/>
              </w:rPr>
              <w:t xml:space="preserve"> </w:t>
            </w:r>
            <w:r w:rsidR="00F412DE" w:rsidRPr="00E809A8">
              <w:rPr>
                <w:rFonts w:eastAsia="MS Mincho"/>
              </w:rPr>
              <w:t>Working Party on the Transport of Dangerous Goods</w:t>
            </w:r>
            <w:r w:rsidR="00F412DE">
              <w:rPr>
                <w:rFonts w:eastAsia="MS Mincho"/>
              </w:rPr>
              <w:t xml:space="preserve"> (</w:t>
            </w:r>
            <w:r w:rsidR="00F412DE" w:rsidRPr="00E809A8">
              <w:rPr>
                <w:rFonts w:eastAsia="MS Mincho"/>
              </w:rPr>
              <w:t>ECE/TRANS/WP.15/AC.1/138</w:t>
            </w:r>
            <w:r w:rsidR="00F412DE">
              <w:rPr>
                <w:rFonts w:eastAsia="MS Mincho"/>
              </w:rPr>
              <w:t>)</w:t>
            </w:r>
            <w:r w:rsidR="00F412DE" w:rsidRPr="00D85770">
              <w:t>.</w:t>
            </w:r>
          </w:p>
        </w:tc>
      </w:tr>
      <w:tr w:rsidR="00186147" w:rsidRPr="001E2674" w:rsidTr="00D85A0E">
        <w:trPr>
          <w:jc w:val="center"/>
        </w:trPr>
        <w:tc>
          <w:tcPr>
            <w:tcW w:w="9637" w:type="dxa"/>
            <w:shd w:val="clear" w:color="auto" w:fill="auto"/>
          </w:tcPr>
          <w:p w:rsidR="00186147" w:rsidRPr="001E2674" w:rsidRDefault="00186147" w:rsidP="00D85A0E">
            <w:pPr>
              <w:rPr>
                <w:b/>
              </w:rPr>
            </w:pPr>
          </w:p>
        </w:tc>
      </w:tr>
    </w:tbl>
    <w:p w:rsidR="00F412DE" w:rsidRPr="00E809A8" w:rsidRDefault="00186147" w:rsidP="00754ED8">
      <w:pPr>
        <w:pStyle w:val="HChG"/>
      </w:pPr>
      <w:r w:rsidRPr="001E2674">
        <w:rPr>
          <w:lang w:val="en-GB"/>
        </w:rPr>
        <w:lastRenderedPageBreak/>
        <w:tab/>
      </w:r>
      <w:r w:rsidRPr="001E2674">
        <w:rPr>
          <w:lang w:val="en-GB"/>
        </w:rPr>
        <w:tab/>
      </w:r>
      <w:r w:rsidR="00F412DE" w:rsidRPr="00E809A8">
        <w:t>Introduction</w:t>
      </w:r>
    </w:p>
    <w:p w:rsidR="00F412DE" w:rsidRDefault="00F412DE" w:rsidP="00F412DE">
      <w:pPr>
        <w:pStyle w:val="SingleTxtG"/>
      </w:pPr>
      <w:r>
        <w:t>1.</w:t>
      </w:r>
      <w:r>
        <w:tab/>
      </w:r>
      <w:r w:rsidRPr="00A1588B">
        <w:t>The Romanian delegation received comments and observations regarding the topics propose</w:t>
      </w:r>
      <w:r w:rsidR="005D68D6">
        <w:t xml:space="preserve">d in paragraphs 10 to 12 of </w:t>
      </w:r>
      <w:r w:rsidRPr="00A1588B">
        <w:t xml:space="preserve">document ECE/TRANS/WP.15/AC.1/2015/1 of the March 2015 session of the RID/ADR Joint </w:t>
      </w:r>
      <w:r w:rsidR="005D68D6" w:rsidRPr="005D68D6">
        <w:rPr>
          <w:lang w:val="en-GB"/>
        </w:rPr>
        <w:t>M</w:t>
      </w:r>
      <w:proofErr w:type="spellStart"/>
      <w:r w:rsidRPr="00A1588B">
        <w:t>eeting</w:t>
      </w:r>
      <w:proofErr w:type="spellEnd"/>
      <w:r>
        <w:t>.</w:t>
      </w:r>
    </w:p>
    <w:p w:rsidR="00F412DE" w:rsidRPr="0015771F" w:rsidRDefault="00F412DE" w:rsidP="00F412DE">
      <w:pPr>
        <w:pStyle w:val="SingleTxtG"/>
      </w:pPr>
      <w:r>
        <w:t>2.</w:t>
      </w:r>
      <w:r>
        <w:tab/>
        <w:t xml:space="preserve">As mentioned in paragraph </w:t>
      </w:r>
      <w:r w:rsidRPr="00D53122">
        <w:t>6</w:t>
      </w:r>
      <w:r>
        <w:t>1 of the Rep</w:t>
      </w:r>
      <w:r w:rsidR="005D68D6">
        <w:t xml:space="preserve">ort of the March 2015 session, </w:t>
      </w:r>
      <w:r w:rsidRPr="0015771F">
        <w:t xml:space="preserve">experts </w:t>
      </w:r>
      <w:r>
        <w:t xml:space="preserve">were invited </w:t>
      </w:r>
      <w:r w:rsidRPr="0015771F">
        <w:t>to share their experience on a series of questions with regard to the content</w:t>
      </w:r>
      <w:r w:rsidR="006F099B" w:rsidRPr="006F099B">
        <w:rPr>
          <w:lang w:val="en-GB"/>
        </w:rPr>
        <w:t>s</w:t>
      </w:r>
      <w:r w:rsidRPr="0015771F">
        <w:t xml:space="preserve"> of section 5.4.3 in different transport modes</w:t>
      </w:r>
      <w:r>
        <w:t>.</w:t>
      </w:r>
    </w:p>
    <w:p w:rsidR="00F412DE" w:rsidRDefault="00F412DE" w:rsidP="00F412DE">
      <w:pPr>
        <w:pStyle w:val="SingleTxtG"/>
      </w:pPr>
      <w:r>
        <w:t>3.</w:t>
      </w:r>
      <w:r>
        <w:tab/>
      </w:r>
      <w:r w:rsidRPr="0015771F">
        <w:t xml:space="preserve">Therefore, </w:t>
      </w:r>
      <w:r>
        <w:t xml:space="preserve">some solutions </w:t>
      </w:r>
      <w:r w:rsidR="005D68D6" w:rsidRPr="005D68D6">
        <w:rPr>
          <w:lang w:val="en-GB"/>
        </w:rPr>
        <w:t>are proposed</w:t>
      </w:r>
      <w:r>
        <w:t xml:space="preserve"> to solve </w:t>
      </w:r>
      <w:r w:rsidR="005D68D6" w:rsidRPr="005D68D6">
        <w:rPr>
          <w:lang w:val="en-GB"/>
        </w:rPr>
        <w:t>some</w:t>
      </w:r>
      <w:r>
        <w:t xml:space="preserve"> of the problems presented in paragraphs 10 and 11 of ECE/TRANS/WP.15/AC.1/2015/1.</w:t>
      </w:r>
      <w:r w:rsidRPr="0015771F">
        <w:t xml:space="preserve"> </w:t>
      </w:r>
    </w:p>
    <w:p w:rsidR="00F412DE" w:rsidRDefault="008527BD" w:rsidP="00F412DE">
      <w:pPr>
        <w:pStyle w:val="SingleTxtG"/>
      </w:pPr>
      <w:r w:rsidRPr="008527BD">
        <w:rPr>
          <w:lang w:val="en-GB"/>
        </w:rPr>
        <w:t>4</w:t>
      </w:r>
      <w:r w:rsidR="00F412DE">
        <w:t>.</w:t>
      </w:r>
      <w:r w:rsidR="00F412DE">
        <w:tab/>
        <w:t xml:space="preserve">The idea was not to amend the Instructions in writing without </w:t>
      </w:r>
      <w:r w:rsidR="005D68D6" w:rsidRPr="005D68D6">
        <w:rPr>
          <w:lang w:val="en-GB"/>
        </w:rPr>
        <w:t>an important</w:t>
      </w:r>
      <w:r w:rsidR="00F412DE">
        <w:t xml:space="preserve"> reason. The existing</w:t>
      </w:r>
      <w:r w:rsidR="00F412DE" w:rsidRPr="00C541EC">
        <w:t xml:space="preserve"> texts will be reworded in order to find a unified approach. </w:t>
      </w:r>
    </w:p>
    <w:p w:rsidR="00F412DE" w:rsidRDefault="008527BD" w:rsidP="00F412DE">
      <w:pPr>
        <w:pStyle w:val="SingleTxtG"/>
      </w:pPr>
      <w:r w:rsidRPr="008527BD">
        <w:rPr>
          <w:lang w:val="en-GB"/>
        </w:rPr>
        <w:t>5</w:t>
      </w:r>
      <w:r w:rsidR="005D68D6">
        <w:t>.</w:t>
      </w:r>
      <w:r w:rsidR="005D68D6">
        <w:tab/>
        <w:t xml:space="preserve">After </w:t>
      </w:r>
      <w:r w:rsidR="006F099B" w:rsidRPr="006F099B">
        <w:rPr>
          <w:lang w:val="en-GB"/>
        </w:rPr>
        <w:t xml:space="preserve">their </w:t>
      </w:r>
      <w:r w:rsidR="00F412DE" w:rsidRPr="0015771F">
        <w:t>introduc</w:t>
      </w:r>
      <w:r w:rsidR="00F412DE">
        <w:t>tion</w:t>
      </w:r>
      <w:r w:rsidR="00F412DE" w:rsidRPr="0015771F">
        <w:t xml:space="preserve"> in ADR 2009, </w:t>
      </w:r>
      <w:r w:rsidR="006F099B" w:rsidRPr="006F099B">
        <w:rPr>
          <w:lang w:val="en-GB"/>
        </w:rPr>
        <w:t>the Instructions</w:t>
      </w:r>
      <w:r w:rsidR="00F412DE">
        <w:t xml:space="preserve"> </w:t>
      </w:r>
      <w:r w:rsidR="00F412DE" w:rsidRPr="0015771F">
        <w:t xml:space="preserve">were amended in the 2011 </w:t>
      </w:r>
      <w:r w:rsidR="00F412DE">
        <w:t xml:space="preserve">edition, </w:t>
      </w:r>
      <w:r w:rsidR="006F099B">
        <w:t xml:space="preserve">and again in </w:t>
      </w:r>
      <w:r w:rsidRPr="008527BD">
        <w:rPr>
          <w:lang w:val="en-GB"/>
        </w:rPr>
        <w:t>ADR 2015</w:t>
      </w:r>
      <w:r w:rsidR="00F412DE">
        <w:t>, with a transitional measure lasting until 2017</w:t>
      </w:r>
      <w:r w:rsidR="00F412DE" w:rsidRPr="0015771F">
        <w:t>.</w:t>
      </w:r>
      <w:r w:rsidR="00F412DE">
        <w:t xml:space="preserve"> </w:t>
      </w:r>
      <w:r w:rsidR="00F412DE" w:rsidRPr="009B07BD">
        <w:t>After the</w:t>
      </w:r>
      <w:r w:rsidR="006F099B" w:rsidRPr="006F099B">
        <w:rPr>
          <w:lang w:val="en-GB"/>
        </w:rPr>
        <w:t>ir</w:t>
      </w:r>
      <w:r w:rsidR="00F412DE" w:rsidRPr="009B07BD">
        <w:t xml:space="preserve"> introduction in </w:t>
      </w:r>
      <w:r w:rsidR="00F412DE">
        <w:t>RID 2011</w:t>
      </w:r>
      <w:r w:rsidR="00F412DE" w:rsidRPr="009B07BD">
        <w:t xml:space="preserve"> </w:t>
      </w:r>
      <w:r w:rsidR="00F412DE">
        <w:t xml:space="preserve">and ADN </w:t>
      </w:r>
      <w:r w:rsidR="00F412DE" w:rsidRPr="009B07BD">
        <w:t>20</w:t>
      </w:r>
      <w:r w:rsidR="00F412DE">
        <w:t>11</w:t>
      </w:r>
      <w:r w:rsidR="005D68D6">
        <w:t>, the</w:t>
      </w:r>
      <w:r w:rsidR="005D68D6" w:rsidRPr="005D68D6">
        <w:rPr>
          <w:lang w:val="en-GB"/>
        </w:rPr>
        <w:t>y</w:t>
      </w:r>
      <w:r w:rsidR="00F412DE" w:rsidRPr="009B07BD">
        <w:t xml:space="preserve"> were amended in the 201</w:t>
      </w:r>
      <w:r>
        <w:rPr>
          <w:lang w:val="en-GB"/>
        </w:rPr>
        <w:t>5</w:t>
      </w:r>
      <w:r w:rsidR="00F412DE" w:rsidRPr="009B07BD">
        <w:t xml:space="preserve"> edition</w:t>
      </w:r>
      <w:r w:rsidR="00F412DE">
        <w:t xml:space="preserve"> </w:t>
      </w:r>
      <w:r w:rsidR="00F412DE" w:rsidRPr="009B07BD">
        <w:t>with</w:t>
      </w:r>
      <w:r w:rsidR="00F412DE">
        <w:t>out</w:t>
      </w:r>
      <w:r w:rsidR="00F412DE" w:rsidRPr="009B07BD">
        <w:t xml:space="preserve"> a transitional measure</w:t>
      </w:r>
      <w:r w:rsidR="00F412DE">
        <w:t xml:space="preserve">. </w:t>
      </w:r>
    </w:p>
    <w:p w:rsidR="00F412DE" w:rsidRDefault="008527BD" w:rsidP="00F412DE">
      <w:pPr>
        <w:pStyle w:val="SingleTxtG"/>
      </w:pPr>
      <w:r w:rsidRPr="008527BD">
        <w:rPr>
          <w:lang w:val="en-GB"/>
        </w:rPr>
        <w:t>6</w:t>
      </w:r>
      <w:r w:rsidR="00754ED8">
        <w:t>.</w:t>
      </w:r>
      <w:r w:rsidR="00F412DE">
        <w:tab/>
      </w:r>
      <w:r w:rsidR="00F412DE" w:rsidRPr="00514A30">
        <w:t>Acknowledging the difficulties that might be caused by another change in the Instruction</w:t>
      </w:r>
      <w:r w:rsidR="00F412DE">
        <w:t>s</w:t>
      </w:r>
      <w:r w:rsidR="00F412DE" w:rsidRPr="00514A30">
        <w:t xml:space="preserve"> in writing, the Joint Meeting</w:t>
      </w:r>
      <w:r w:rsidR="005D68D6" w:rsidRPr="005D68D6">
        <w:rPr>
          <w:lang w:val="en-GB"/>
        </w:rPr>
        <w:t xml:space="preserve"> is nevertheless asked</w:t>
      </w:r>
      <w:r w:rsidR="00F412DE" w:rsidRPr="00514A30">
        <w:t xml:space="preserve"> to consider the following arguments in favour of amending the text of section 5.4.3</w:t>
      </w:r>
      <w:r w:rsidR="00F412DE">
        <w:t>.</w:t>
      </w:r>
    </w:p>
    <w:p w:rsidR="00F412DE" w:rsidRPr="001600D7" w:rsidRDefault="00754ED8" w:rsidP="00754ED8">
      <w:pPr>
        <w:pStyle w:val="HChG"/>
      </w:pPr>
      <w:r w:rsidRPr="005D68D6">
        <w:rPr>
          <w:lang w:val="en-GB"/>
        </w:rPr>
        <w:tab/>
      </w:r>
      <w:r w:rsidRPr="005D68D6">
        <w:rPr>
          <w:lang w:val="en-GB"/>
        </w:rPr>
        <w:tab/>
      </w:r>
      <w:r w:rsidR="00F412DE" w:rsidRPr="001600D7">
        <w:t>Proposals</w:t>
      </w:r>
    </w:p>
    <w:p w:rsidR="00F412DE" w:rsidRDefault="008527BD" w:rsidP="00F412DE">
      <w:pPr>
        <w:pStyle w:val="SingleTxtG"/>
      </w:pPr>
      <w:r w:rsidRPr="008527BD">
        <w:rPr>
          <w:lang w:val="en-GB"/>
        </w:rPr>
        <w:t>7</w:t>
      </w:r>
      <w:r w:rsidR="00F412DE">
        <w:t>.</w:t>
      </w:r>
      <w:r w:rsidR="00F412DE">
        <w:tab/>
      </w:r>
      <w:r w:rsidR="005D68D6" w:rsidRPr="005D68D6">
        <w:rPr>
          <w:lang w:val="en-GB"/>
        </w:rPr>
        <w:t>It is proposed to</w:t>
      </w:r>
      <w:r w:rsidR="00F412DE" w:rsidRPr="00787BBD">
        <w:t xml:space="preserve"> organize this document in a</w:t>
      </w:r>
      <w:r w:rsidR="005D68D6" w:rsidRPr="005D68D6">
        <w:rPr>
          <w:lang w:val="en-GB"/>
        </w:rPr>
        <w:t>n appropriate</w:t>
      </w:r>
      <w:r w:rsidR="00F412DE" w:rsidRPr="00787BBD">
        <w:t xml:space="preserve"> manner </w:t>
      </w:r>
      <w:r w:rsidR="00F412DE">
        <w:t>in order</w:t>
      </w:r>
      <w:r w:rsidR="00F412DE" w:rsidRPr="00787BBD">
        <w:t xml:space="preserve"> to provide a close </w:t>
      </w:r>
      <w:r w:rsidR="00F412DE">
        <w:t>link between each</w:t>
      </w:r>
      <w:r w:rsidR="00F412DE" w:rsidRPr="00787BBD">
        <w:t xml:space="preserve"> argument</w:t>
      </w:r>
      <w:r w:rsidR="00F412DE">
        <w:t xml:space="preserve"> and </w:t>
      </w:r>
      <w:proofErr w:type="gramStart"/>
      <w:r w:rsidR="00F412DE">
        <w:t xml:space="preserve">the  </w:t>
      </w:r>
      <w:r w:rsidR="00F412DE" w:rsidRPr="00787BBD">
        <w:t>proposal</w:t>
      </w:r>
      <w:proofErr w:type="gramEnd"/>
      <w:r w:rsidR="00F412DE">
        <w:t xml:space="preserve"> deriving from it.</w:t>
      </w:r>
    </w:p>
    <w:p w:rsidR="00F412DE" w:rsidRPr="001600D7" w:rsidRDefault="00754ED8" w:rsidP="00754ED8">
      <w:pPr>
        <w:pStyle w:val="H1G"/>
      </w:pPr>
      <w:r>
        <w:tab/>
      </w:r>
      <w:r>
        <w:tab/>
      </w:r>
      <w:r w:rsidR="00F412DE">
        <w:t>Proposal 1</w:t>
      </w:r>
    </w:p>
    <w:p w:rsidR="00F412DE" w:rsidRDefault="008527BD" w:rsidP="00F412DE">
      <w:pPr>
        <w:pStyle w:val="SingleTxtG"/>
      </w:pPr>
      <w:r w:rsidRPr="008527BD">
        <w:rPr>
          <w:lang w:val="en-GB"/>
        </w:rPr>
        <w:t>8</w:t>
      </w:r>
      <w:r w:rsidR="00F412DE">
        <w:t>.</w:t>
      </w:r>
      <w:r w:rsidR="00F412DE">
        <w:tab/>
        <w:t xml:space="preserve">Introduce in the hazard characteristics - column (2) of the table of the Instructions in writing according to </w:t>
      </w:r>
      <w:r w:rsidR="00F412DE" w:rsidRPr="008E3D69">
        <w:rPr>
          <w:b/>
        </w:rPr>
        <w:t>RID</w:t>
      </w:r>
      <w:r w:rsidR="00F412DE">
        <w:t xml:space="preserve">: The risk of burns for class 9. In this way all transport modes will </w:t>
      </w:r>
      <w:r w:rsidR="005D68D6" w:rsidRPr="005D68D6">
        <w:rPr>
          <w:lang w:val="en-GB"/>
        </w:rPr>
        <w:t>have</w:t>
      </w:r>
      <w:r w:rsidR="00F412DE">
        <w:t xml:space="preserve"> the same hazard characteristics for the dangerous goods classes. </w:t>
      </w:r>
    </w:p>
    <w:p w:rsidR="00F412DE" w:rsidRDefault="008527BD" w:rsidP="00F412DE">
      <w:pPr>
        <w:pStyle w:val="SingleTxtG"/>
      </w:pPr>
      <w:r w:rsidRPr="008527BD">
        <w:rPr>
          <w:lang w:val="en-GB"/>
        </w:rPr>
        <w:t>9</w:t>
      </w:r>
      <w:r w:rsidR="00AA189A">
        <w:t>.</w:t>
      </w:r>
      <w:r w:rsidR="00AA189A" w:rsidRPr="00AA189A">
        <w:rPr>
          <w:lang w:val="en-GB"/>
        </w:rPr>
        <w:tab/>
      </w:r>
      <w:r w:rsidR="00F412DE" w:rsidRPr="008B69CB">
        <w:t>Another option is to consider</w:t>
      </w:r>
      <w:r w:rsidR="00F412DE">
        <w:t xml:space="preserve"> </w:t>
      </w:r>
      <w:r w:rsidR="00F412DE" w:rsidRPr="008B69CB">
        <w:t xml:space="preserve">the specified hazard characteristic </w:t>
      </w:r>
      <w:r w:rsidR="005D68D6" w:rsidRPr="005D68D6">
        <w:rPr>
          <w:lang w:val="en-GB"/>
        </w:rPr>
        <w:t xml:space="preserve">for </w:t>
      </w:r>
      <w:r w:rsidR="00F412DE" w:rsidRPr="008B69CB">
        <w:t xml:space="preserve">the mark </w:t>
      </w:r>
      <w:r w:rsidR="005D68D6" w:rsidRPr="005D68D6">
        <w:rPr>
          <w:lang w:val="en-GB"/>
        </w:rPr>
        <w:t xml:space="preserve">sufficient </w:t>
      </w:r>
      <w:r w:rsidR="00F412DE" w:rsidRPr="008B69CB">
        <w:t xml:space="preserve">for elevated temperature substances in </w:t>
      </w:r>
      <w:r w:rsidR="00F412DE" w:rsidRPr="008E3D69">
        <w:rPr>
          <w:b/>
        </w:rPr>
        <w:t>RID</w:t>
      </w:r>
      <w:r w:rsidR="00F412DE" w:rsidRPr="008B69CB">
        <w:t xml:space="preserve"> and to delete the Risk of burns in </w:t>
      </w:r>
      <w:r w:rsidR="00F412DE" w:rsidRPr="008E3D69">
        <w:rPr>
          <w:b/>
        </w:rPr>
        <w:t>ADR</w:t>
      </w:r>
      <w:r w:rsidR="00F412DE" w:rsidRPr="008B69CB">
        <w:t xml:space="preserve"> and </w:t>
      </w:r>
      <w:r w:rsidR="00F412DE" w:rsidRPr="008E3D69">
        <w:rPr>
          <w:b/>
        </w:rPr>
        <w:t>ADN</w:t>
      </w:r>
      <w:r w:rsidR="00F412DE" w:rsidRPr="008B69CB">
        <w:t xml:space="preserve"> w</w:t>
      </w:r>
      <w:r w:rsidR="00F412DE">
        <w:t>here</w:t>
      </w:r>
      <w:r w:rsidR="00F412DE" w:rsidRPr="008B69CB">
        <w:t xml:space="preserve"> </w:t>
      </w:r>
      <w:r w:rsidR="00F412DE">
        <w:t xml:space="preserve">it </w:t>
      </w:r>
      <w:r w:rsidR="00F412DE" w:rsidRPr="008B69CB">
        <w:t xml:space="preserve">appears against </w:t>
      </w:r>
      <w:r w:rsidR="00F412DE">
        <w:t xml:space="preserve">the </w:t>
      </w:r>
      <w:r w:rsidR="00F412DE" w:rsidRPr="008B69CB">
        <w:t>class 9 label.</w:t>
      </w:r>
    </w:p>
    <w:p w:rsidR="00F412DE" w:rsidRPr="001600D7" w:rsidRDefault="00754ED8" w:rsidP="005D68D6">
      <w:pPr>
        <w:pStyle w:val="H23G"/>
      </w:pPr>
      <w:r>
        <w:tab/>
      </w:r>
      <w:r>
        <w:tab/>
      </w:r>
      <w:r w:rsidR="00F412DE" w:rsidRPr="001600D7">
        <w:t>Option 1</w:t>
      </w:r>
    </w:p>
    <w:p w:rsidR="00F412DE" w:rsidRDefault="00F412DE" w:rsidP="00F412DE">
      <w:pPr>
        <w:pStyle w:val="SingleTxtG"/>
      </w:pPr>
      <w:r>
        <w:t>1</w:t>
      </w:r>
      <w:r w:rsidR="008527BD" w:rsidRPr="008527BD">
        <w:rPr>
          <w:lang w:val="en-GB"/>
        </w:rPr>
        <w:t>0</w:t>
      </w:r>
      <w:r>
        <w:t>.</w:t>
      </w:r>
      <w:r>
        <w:tab/>
      </w:r>
      <w:r w:rsidRPr="001600D7">
        <w:t xml:space="preserve">Introduce in the hazard characteristics - column (2) of the table of the Instructions in writing according to </w:t>
      </w:r>
      <w:r w:rsidRPr="008E3D69">
        <w:rPr>
          <w:b/>
        </w:rPr>
        <w:t>RID</w:t>
      </w:r>
      <w:r w:rsidRPr="001600D7">
        <w:t xml:space="preserve">: “Risk of burns.” before “Risk of fire.” </w:t>
      </w:r>
      <w:proofErr w:type="gramStart"/>
      <w:r w:rsidR="005D68D6" w:rsidRPr="005D68D6">
        <w:rPr>
          <w:lang w:val="en-GB"/>
        </w:rPr>
        <w:t>for</w:t>
      </w:r>
      <w:proofErr w:type="gramEnd"/>
      <w:r w:rsidRPr="001600D7">
        <w:t xml:space="preserve"> </w:t>
      </w:r>
      <w:r>
        <w:t xml:space="preserve">the </w:t>
      </w:r>
      <w:r w:rsidRPr="001600D7">
        <w:t>class 9 danger label and placard in column (1);</w:t>
      </w:r>
      <w:r>
        <w:t xml:space="preserve"> or</w:t>
      </w:r>
    </w:p>
    <w:p w:rsidR="00F412DE" w:rsidRPr="001600D7" w:rsidRDefault="00754ED8" w:rsidP="005D68D6">
      <w:pPr>
        <w:pStyle w:val="H23G"/>
      </w:pPr>
      <w:r>
        <w:tab/>
      </w:r>
      <w:r>
        <w:tab/>
      </w:r>
      <w:r w:rsidR="00F412DE" w:rsidRPr="001600D7">
        <w:t>Option 2</w:t>
      </w:r>
    </w:p>
    <w:p w:rsidR="00F412DE" w:rsidRDefault="00F412DE" w:rsidP="00F412DE">
      <w:pPr>
        <w:pStyle w:val="SingleTxtG"/>
      </w:pPr>
      <w:r>
        <w:t>1</w:t>
      </w:r>
      <w:r w:rsidR="008527BD" w:rsidRPr="008527BD">
        <w:rPr>
          <w:lang w:val="en-GB"/>
        </w:rPr>
        <w:t>1</w:t>
      </w:r>
      <w:r>
        <w:t>.</w:t>
      </w:r>
      <w:r>
        <w:tab/>
        <w:t>Delete from</w:t>
      </w:r>
      <w:r w:rsidRPr="001600D7">
        <w:t xml:space="preserve"> the hazard characteristics - column (2) of the table of the Instructions in writing according to </w:t>
      </w:r>
      <w:r w:rsidRPr="008E3D69">
        <w:rPr>
          <w:b/>
        </w:rPr>
        <w:t>ADR</w:t>
      </w:r>
      <w:r>
        <w:t xml:space="preserve"> and </w:t>
      </w:r>
      <w:r w:rsidRPr="008E3D69">
        <w:rPr>
          <w:b/>
        </w:rPr>
        <w:t>ADN</w:t>
      </w:r>
      <w:r w:rsidRPr="001600D7">
        <w:t>: “</w:t>
      </w:r>
      <w:r>
        <w:t>R</w:t>
      </w:r>
      <w:r w:rsidRPr="001600D7">
        <w:t xml:space="preserve">isk of burns.” </w:t>
      </w:r>
      <w:proofErr w:type="gramStart"/>
      <w:r w:rsidR="005D68D6" w:rsidRPr="005D68D6">
        <w:rPr>
          <w:lang w:val="en-GB"/>
        </w:rPr>
        <w:t>for</w:t>
      </w:r>
      <w:proofErr w:type="gramEnd"/>
      <w:r w:rsidRPr="007C6E9B">
        <w:t xml:space="preserve"> </w:t>
      </w:r>
      <w:r>
        <w:t>the</w:t>
      </w:r>
      <w:r w:rsidRPr="001600D7">
        <w:t xml:space="preserve"> class 9 danger label and placard in column (1);</w:t>
      </w:r>
    </w:p>
    <w:p w:rsidR="00F412DE" w:rsidRPr="001600D7" w:rsidRDefault="00754ED8" w:rsidP="00754ED8">
      <w:pPr>
        <w:pStyle w:val="H1G"/>
      </w:pPr>
      <w:r>
        <w:lastRenderedPageBreak/>
        <w:tab/>
      </w:r>
      <w:r>
        <w:tab/>
      </w:r>
      <w:r w:rsidR="00F412DE">
        <w:t>Proposal 2</w:t>
      </w:r>
    </w:p>
    <w:p w:rsidR="00F412DE" w:rsidRPr="007C6E9B" w:rsidRDefault="00165557" w:rsidP="00AA189A">
      <w:pPr>
        <w:pStyle w:val="SingleTxtG"/>
        <w:rPr>
          <w:strike/>
        </w:rPr>
      </w:pPr>
      <w:r>
        <w:rPr>
          <w:color w:val="000000"/>
          <w:lang w:eastAsia="en-GB"/>
        </w:rPr>
        <w:t>1</w:t>
      </w:r>
      <w:r w:rsidR="008527BD" w:rsidRPr="008527BD">
        <w:rPr>
          <w:color w:val="000000"/>
          <w:lang w:val="en-GB" w:eastAsia="en-GB"/>
        </w:rPr>
        <w:t>2</w:t>
      </w:r>
      <w:r>
        <w:rPr>
          <w:color w:val="000000"/>
          <w:lang w:eastAsia="en-GB"/>
        </w:rPr>
        <w:t>.</w:t>
      </w:r>
      <w:r>
        <w:rPr>
          <w:color w:val="000000"/>
          <w:lang w:eastAsia="en-GB"/>
        </w:rPr>
        <w:tab/>
        <w:t>The following amendments are proposed to eliminate the contradiction between the provisions of paragraph 5.4.3.4 and Note 2 of the Instructions in writing for all transport modes by replacing  the term “</w:t>
      </w:r>
      <w:r>
        <w:rPr>
          <w:i/>
          <w:iCs/>
          <w:color w:val="000000"/>
          <w:lang w:eastAsia="en-GB"/>
        </w:rPr>
        <w:t>adapted</w:t>
      </w:r>
      <w:r>
        <w:rPr>
          <w:color w:val="000000"/>
          <w:lang w:eastAsia="en-GB"/>
        </w:rPr>
        <w:t>” by “</w:t>
      </w:r>
      <w:r>
        <w:rPr>
          <w:i/>
          <w:iCs/>
          <w:color w:val="000000"/>
          <w:lang w:eastAsia="en-GB"/>
        </w:rPr>
        <w:t>supplemented by adding a separate sheet</w:t>
      </w:r>
      <w:r>
        <w:rPr>
          <w:color w:val="000000"/>
          <w:lang w:eastAsia="en-GB"/>
        </w:rPr>
        <w:t>”</w:t>
      </w:r>
      <w:r w:rsidR="00AF26BE">
        <w:rPr>
          <w:color w:val="000000"/>
          <w:lang w:eastAsia="en-GB"/>
        </w:rPr>
        <w:t xml:space="preserve"> in Note 2. </w:t>
      </w:r>
      <w:r>
        <w:rPr>
          <w:color w:val="000000"/>
          <w:lang w:eastAsia="en-GB"/>
        </w:rPr>
        <w:t xml:space="preserve">This would allow the addition of another file with additional guidance if the carrier or the consignor considers it necessary (containing e.g. emergency phone number, contact person, etc.). Consequently, the end of the text in </w:t>
      </w:r>
      <w:r>
        <w:rPr>
          <w:b/>
          <w:bCs/>
          <w:color w:val="000000"/>
          <w:lang w:eastAsia="en-GB"/>
        </w:rPr>
        <w:t>RID</w:t>
      </w:r>
      <w:r>
        <w:rPr>
          <w:color w:val="000000"/>
          <w:lang w:eastAsia="en-GB"/>
        </w:rPr>
        <w:t xml:space="preserve"> has to be reworded.</w:t>
      </w:r>
    </w:p>
    <w:p w:rsidR="00F412DE" w:rsidRPr="00DE13CD" w:rsidRDefault="00F412DE" w:rsidP="00F412DE">
      <w:pPr>
        <w:pStyle w:val="SingleTxtG"/>
      </w:pPr>
      <w:r w:rsidRPr="00787BBD">
        <w:t>1</w:t>
      </w:r>
      <w:r w:rsidR="008527BD" w:rsidRPr="008527BD">
        <w:rPr>
          <w:lang w:val="en-GB"/>
        </w:rPr>
        <w:t>3</w:t>
      </w:r>
      <w:r w:rsidR="00AA189A">
        <w:t>.</w:t>
      </w:r>
      <w:r w:rsidRPr="00787BBD">
        <w:tab/>
      </w:r>
      <w:r w:rsidRPr="00DE13CD">
        <w:t xml:space="preserve">Amend the text of Note 2 </w:t>
      </w:r>
      <w:r>
        <w:t>on</w:t>
      </w:r>
      <w:r w:rsidRPr="00DE13CD">
        <w:t xml:space="preserve"> page 3 of the Instructions in writing for </w:t>
      </w:r>
      <w:r>
        <w:t>all transport modes</w:t>
      </w:r>
      <w:r w:rsidRPr="00DE13CD">
        <w:t xml:space="preserve"> to read as follows:</w:t>
      </w:r>
    </w:p>
    <w:p w:rsidR="00F412DE" w:rsidRDefault="00F412DE" w:rsidP="00F412DE">
      <w:pPr>
        <w:pStyle w:val="SingleTxtG"/>
        <w:rPr>
          <w:b/>
          <w:bCs/>
        </w:rPr>
      </w:pPr>
      <w:r>
        <w:rPr>
          <w:b/>
          <w:bCs/>
        </w:rPr>
        <w:t>ADR and ADN:</w:t>
      </w:r>
    </w:p>
    <w:p w:rsidR="00F412DE" w:rsidRDefault="00F412DE" w:rsidP="00F412DE">
      <w:pPr>
        <w:pStyle w:val="SingleTxtG"/>
        <w:rPr>
          <w:bCs/>
        </w:rPr>
      </w:pPr>
      <w:r w:rsidRPr="00DE13CD">
        <w:rPr>
          <w:b/>
          <w:bCs/>
        </w:rPr>
        <w:t>“</w:t>
      </w:r>
      <w:r w:rsidRPr="00DE13CD">
        <w:rPr>
          <w:b/>
          <w:bCs/>
          <w:i/>
        </w:rPr>
        <w:t xml:space="preserve">NOTE 2: </w:t>
      </w:r>
      <w:r w:rsidRPr="00DE13CD">
        <w:rPr>
          <w:bCs/>
          <w:i/>
        </w:rPr>
        <w:tab/>
        <w:t xml:space="preserve">Additional guidance shown above may be </w:t>
      </w:r>
      <w:r w:rsidRPr="00495F75">
        <w:rPr>
          <w:bCs/>
          <w:i/>
          <w:strike/>
        </w:rPr>
        <w:t>adapted</w:t>
      </w:r>
      <w:r w:rsidRPr="00DE13CD">
        <w:rPr>
          <w:bCs/>
          <w:i/>
        </w:rPr>
        <w:t xml:space="preserve"> </w:t>
      </w:r>
      <w:r w:rsidRPr="00DE13CD">
        <w:rPr>
          <w:bCs/>
          <w:i/>
          <w:u w:val="single"/>
        </w:rPr>
        <w:t>supplemented</w:t>
      </w:r>
      <w:r w:rsidRPr="00EC4553">
        <w:rPr>
          <w:bCs/>
          <w:i/>
          <w:u w:val="single"/>
        </w:rPr>
        <w:t xml:space="preserve"> by adding a separate </w:t>
      </w:r>
      <w:r>
        <w:rPr>
          <w:bCs/>
          <w:i/>
          <w:u w:val="single"/>
        </w:rPr>
        <w:t>paper</w:t>
      </w:r>
      <w:r w:rsidRPr="00EC4553">
        <w:rPr>
          <w:bCs/>
          <w:i/>
          <w:u w:val="single"/>
        </w:rPr>
        <w:t xml:space="preserve"> </w:t>
      </w:r>
      <w:r w:rsidRPr="00DE13CD">
        <w:rPr>
          <w:bCs/>
          <w:i/>
        </w:rPr>
        <w:t>to reflect the classes of dangerous goods to be carried and their means of transport.</w:t>
      </w:r>
      <w:r w:rsidRPr="00DE13CD">
        <w:rPr>
          <w:bCs/>
        </w:rPr>
        <w:t>”</w:t>
      </w:r>
      <w:r>
        <w:rPr>
          <w:bCs/>
        </w:rPr>
        <w:t>.</w:t>
      </w:r>
    </w:p>
    <w:p w:rsidR="00F412DE" w:rsidRPr="00495F75" w:rsidRDefault="00F412DE" w:rsidP="00F412DE">
      <w:pPr>
        <w:pStyle w:val="SingleTxtG"/>
        <w:rPr>
          <w:b/>
        </w:rPr>
      </w:pPr>
      <w:r w:rsidRPr="00495F75">
        <w:rPr>
          <w:b/>
        </w:rPr>
        <w:t>RID:</w:t>
      </w:r>
    </w:p>
    <w:p w:rsidR="00F412DE" w:rsidRPr="00495F75" w:rsidRDefault="00F412DE" w:rsidP="00F412DE">
      <w:pPr>
        <w:pStyle w:val="SingleTxtG"/>
        <w:rPr>
          <w:bCs/>
        </w:rPr>
      </w:pPr>
      <w:r w:rsidRPr="00495F75">
        <w:rPr>
          <w:b/>
          <w:bCs/>
        </w:rPr>
        <w:t>“</w:t>
      </w:r>
      <w:r w:rsidRPr="00495F75">
        <w:rPr>
          <w:b/>
          <w:bCs/>
          <w:i/>
        </w:rPr>
        <w:t xml:space="preserve">NOTE 2: </w:t>
      </w:r>
      <w:r w:rsidRPr="00495F75">
        <w:rPr>
          <w:bCs/>
          <w:i/>
        </w:rPr>
        <w:tab/>
        <w:t xml:space="preserve">Additional guidance shown above may be </w:t>
      </w:r>
      <w:r w:rsidRPr="006F3E19">
        <w:rPr>
          <w:bCs/>
          <w:i/>
          <w:strike/>
        </w:rPr>
        <w:t>adapted</w:t>
      </w:r>
      <w:r w:rsidRPr="00495F75">
        <w:rPr>
          <w:bCs/>
          <w:i/>
        </w:rPr>
        <w:t xml:space="preserve"> </w:t>
      </w:r>
      <w:r w:rsidRPr="00495F75">
        <w:rPr>
          <w:bCs/>
          <w:i/>
          <w:u w:val="single"/>
        </w:rPr>
        <w:t>supplemented</w:t>
      </w:r>
      <w:r>
        <w:rPr>
          <w:bCs/>
          <w:i/>
          <w:u w:val="single"/>
        </w:rPr>
        <w:t xml:space="preserve"> </w:t>
      </w:r>
      <w:r w:rsidRPr="00EC4553">
        <w:rPr>
          <w:bCs/>
          <w:i/>
          <w:u w:val="single"/>
        </w:rPr>
        <w:t xml:space="preserve">by adding a separate </w:t>
      </w:r>
      <w:r>
        <w:rPr>
          <w:bCs/>
          <w:i/>
          <w:u w:val="single"/>
        </w:rPr>
        <w:t>paper</w:t>
      </w:r>
      <w:r w:rsidRPr="00EC4553">
        <w:rPr>
          <w:bCs/>
          <w:i/>
        </w:rPr>
        <w:t xml:space="preserve"> </w:t>
      </w:r>
      <w:r w:rsidRPr="00495F75">
        <w:rPr>
          <w:bCs/>
          <w:i/>
        </w:rPr>
        <w:t>to reflect the classes of dangerous goods to be carried and their means of transport</w:t>
      </w:r>
      <w:r>
        <w:rPr>
          <w:bCs/>
          <w:i/>
        </w:rPr>
        <w:t xml:space="preserve"> and, if necessary,</w:t>
      </w:r>
      <w:r w:rsidRPr="00DB1C91">
        <w:rPr>
          <w:bCs/>
          <w:i/>
          <w:strike/>
        </w:rPr>
        <w:t xml:space="preserve"> to supplement them according to</w:t>
      </w:r>
      <w:r>
        <w:rPr>
          <w:bCs/>
          <w:i/>
        </w:rPr>
        <w:t xml:space="preserve"> </w:t>
      </w:r>
      <w:r w:rsidRPr="00DB1C91">
        <w:rPr>
          <w:bCs/>
          <w:i/>
          <w:u w:val="single"/>
        </w:rPr>
        <w:t xml:space="preserve">the </w:t>
      </w:r>
      <w:r>
        <w:rPr>
          <w:bCs/>
          <w:i/>
        </w:rPr>
        <w:t>existing national specifications</w:t>
      </w:r>
      <w:r w:rsidRPr="00495F75">
        <w:rPr>
          <w:bCs/>
          <w:i/>
        </w:rPr>
        <w:t>.</w:t>
      </w:r>
      <w:r w:rsidRPr="00495F75">
        <w:rPr>
          <w:bCs/>
        </w:rPr>
        <w:t>”.</w:t>
      </w:r>
    </w:p>
    <w:p w:rsidR="00F412DE" w:rsidRPr="001600D7" w:rsidRDefault="00754ED8" w:rsidP="00754ED8">
      <w:pPr>
        <w:pStyle w:val="H1G"/>
      </w:pPr>
      <w:r>
        <w:tab/>
      </w:r>
      <w:r>
        <w:tab/>
      </w:r>
      <w:r w:rsidR="00F412DE">
        <w:t>Proposal 3</w:t>
      </w:r>
    </w:p>
    <w:p w:rsidR="00F412DE" w:rsidRDefault="00F412DE" w:rsidP="00F412DE">
      <w:pPr>
        <w:pStyle w:val="SingleTxtG"/>
      </w:pPr>
      <w:r>
        <w:t>1</w:t>
      </w:r>
      <w:r w:rsidR="008527BD" w:rsidRPr="008527BD">
        <w:rPr>
          <w:lang w:val="en-GB"/>
        </w:rPr>
        <w:t>4</w:t>
      </w:r>
      <w:r>
        <w:t>.</w:t>
      </w:r>
      <w:r>
        <w:tab/>
        <w:t>The change of the term “</w:t>
      </w:r>
      <w:r w:rsidRPr="001944D7">
        <w:rPr>
          <w:i/>
        </w:rPr>
        <w:t>adapt</w:t>
      </w:r>
      <w:r>
        <w:rPr>
          <w:i/>
        </w:rPr>
        <w:t>ed</w:t>
      </w:r>
      <w:r>
        <w:t>” in Note 2 on</w:t>
      </w:r>
      <w:r w:rsidRPr="0065674D">
        <w:t xml:space="preserve"> page 3 of the Instructions in writing </w:t>
      </w:r>
      <w:r w:rsidR="003F1E6A" w:rsidRPr="003F1E6A">
        <w:rPr>
          <w:lang w:val="en-GB"/>
        </w:rPr>
        <w:t>of</w:t>
      </w:r>
      <w:r w:rsidR="006563A7">
        <w:rPr>
          <w:lang w:val="en-GB"/>
        </w:rPr>
        <w:t xml:space="preserve"> </w:t>
      </w:r>
      <w:r w:rsidRPr="008E3D69">
        <w:rPr>
          <w:b/>
        </w:rPr>
        <w:t>RID</w:t>
      </w:r>
      <w:r>
        <w:t xml:space="preserve"> </w:t>
      </w:r>
      <w:r w:rsidR="003F1E6A" w:rsidRPr="003F1E6A">
        <w:rPr>
          <w:lang w:val="en-GB"/>
        </w:rPr>
        <w:t>necessitates</w:t>
      </w:r>
      <w:r>
        <w:t xml:space="preserve"> </w:t>
      </w:r>
      <w:r w:rsidR="005D68D6" w:rsidRPr="005D68D6">
        <w:rPr>
          <w:lang w:val="en-GB"/>
        </w:rPr>
        <w:t>a</w:t>
      </w:r>
      <w:r>
        <w:t xml:space="preserve"> change of the text in 5.4.3.4 in order to</w:t>
      </w:r>
      <w:r w:rsidRPr="00B80521">
        <w:rPr>
          <w:color w:val="222222"/>
          <w:szCs w:val="12"/>
          <w:shd w:val="clear" w:color="auto" w:fill="FFFFFF"/>
        </w:rPr>
        <w:t xml:space="preserve"> establish not only the contents, but also the form </w:t>
      </w:r>
      <w:r>
        <w:t xml:space="preserve">of the Instructions in writing. The proposal has no intention to limit or to impose a size for the document containing the Instructions in writing according to </w:t>
      </w:r>
      <w:r w:rsidRPr="008E3D69">
        <w:rPr>
          <w:b/>
        </w:rPr>
        <w:t>RID/ADR/ADN</w:t>
      </w:r>
      <w:r>
        <w:t>.</w:t>
      </w:r>
    </w:p>
    <w:p w:rsidR="00F412DE" w:rsidRDefault="00AA189A" w:rsidP="00F412DE">
      <w:pPr>
        <w:pStyle w:val="SingleTxtG"/>
      </w:pPr>
      <w:r>
        <w:t>1</w:t>
      </w:r>
      <w:r w:rsidR="008527BD" w:rsidRPr="008527BD">
        <w:rPr>
          <w:lang w:val="en-GB"/>
        </w:rPr>
        <w:t>5</w:t>
      </w:r>
      <w:r>
        <w:t>.</w:t>
      </w:r>
      <w:r w:rsidRPr="00AA189A">
        <w:rPr>
          <w:lang w:val="en-GB"/>
        </w:rPr>
        <w:tab/>
      </w:r>
      <w:r w:rsidR="00F412DE">
        <w:t xml:space="preserve">In paragraph </w:t>
      </w:r>
      <w:r w:rsidR="00F412DE" w:rsidRPr="0065674D">
        <w:t xml:space="preserve">5.4.3.4 </w:t>
      </w:r>
      <w:r w:rsidR="00F412DE">
        <w:t xml:space="preserve">of </w:t>
      </w:r>
      <w:r w:rsidR="00F412DE" w:rsidRPr="008E3D69">
        <w:rPr>
          <w:b/>
        </w:rPr>
        <w:t>RID</w:t>
      </w:r>
      <w:r w:rsidR="00F412DE">
        <w:t xml:space="preserve">, </w:t>
      </w:r>
      <w:r w:rsidR="005D68D6" w:rsidRPr="005D68D6">
        <w:rPr>
          <w:lang w:val="en-GB"/>
        </w:rPr>
        <w:t>it is also</w:t>
      </w:r>
      <w:r w:rsidR="00F412DE">
        <w:t xml:space="preserve"> propose</w:t>
      </w:r>
      <w:r w:rsidR="005D68D6" w:rsidRPr="005D68D6">
        <w:rPr>
          <w:lang w:val="en-GB"/>
        </w:rPr>
        <w:t>d</w:t>
      </w:r>
      <w:r w:rsidR="00F412DE">
        <w:t xml:space="preserve"> to replace “</w:t>
      </w:r>
      <w:r w:rsidR="00F412DE" w:rsidRPr="001944D7">
        <w:rPr>
          <w:i/>
        </w:rPr>
        <w:t>should</w:t>
      </w:r>
      <w:r w:rsidR="00F412DE">
        <w:t>” by “</w:t>
      </w:r>
      <w:r w:rsidR="00F412DE" w:rsidRPr="001944D7">
        <w:rPr>
          <w:i/>
        </w:rPr>
        <w:t>shall</w:t>
      </w:r>
      <w:r w:rsidR="00F412DE">
        <w:t>”.</w:t>
      </w:r>
    </w:p>
    <w:p w:rsidR="00F412DE" w:rsidRPr="008B69CB" w:rsidRDefault="00F412DE" w:rsidP="00F412DE">
      <w:pPr>
        <w:pStyle w:val="SingleTxtG"/>
      </w:pPr>
      <w:r w:rsidRPr="00BF4C9A">
        <w:t>1</w:t>
      </w:r>
      <w:r w:rsidR="008527BD" w:rsidRPr="008527BD">
        <w:rPr>
          <w:lang w:val="en-GB"/>
        </w:rPr>
        <w:t>6</w:t>
      </w:r>
      <w:r w:rsidRPr="00BF4C9A">
        <w:t>.</w:t>
      </w:r>
      <w:r w:rsidRPr="00BF4C9A">
        <w:tab/>
      </w:r>
      <w:r w:rsidRPr="00BF4C9A">
        <w:rPr>
          <w:bCs/>
        </w:rPr>
        <w:t xml:space="preserve">Amend the text of paragraph 5.4.3.4 of </w:t>
      </w:r>
      <w:r w:rsidRPr="008E3D69">
        <w:rPr>
          <w:b/>
          <w:bCs/>
        </w:rPr>
        <w:t>RID</w:t>
      </w:r>
      <w:r w:rsidRPr="00BF4C9A">
        <w:rPr>
          <w:bCs/>
        </w:rPr>
        <w:t>, to read as follows</w:t>
      </w:r>
      <w:r w:rsidRPr="00BF4C9A">
        <w:t>:</w:t>
      </w:r>
    </w:p>
    <w:p w:rsidR="00F412DE" w:rsidRDefault="00F412DE" w:rsidP="00F412DE">
      <w:pPr>
        <w:pStyle w:val="SingleTxtG"/>
      </w:pPr>
      <w:r w:rsidRPr="008B69CB">
        <w:t>“5.4.3.4</w:t>
      </w:r>
      <w:r w:rsidRPr="008B69CB">
        <w:tab/>
        <w:t xml:space="preserve">The instructions in writing </w:t>
      </w:r>
      <w:r w:rsidRPr="00BF4C9A">
        <w:rPr>
          <w:strike/>
        </w:rPr>
        <w:t xml:space="preserve">should </w:t>
      </w:r>
      <w:r w:rsidRPr="008B69CB">
        <w:rPr>
          <w:u w:val="single"/>
        </w:rPr>
        <w:t>shall</w:t>
      </w:r>
      <w:r w:rsidRPr="008B69CB">
        <w:t xml:space="preserve"> correspond to the following four page model as regards their </w:t>
      </w:r>
      <w:r w:rsidRPr="008B69CB">
        <w:rPr>
          <w:u w:val="single"/>
        </w:rPr>
        <w:t xml:space="preserve">form and </w:t>
      </w:r>
      <w:r w:rsidRPr="008B69CB">
        <w:t>contents.”;</w:t>
      </w:r>
      <w:r>
        <w:tab/>
      </w:r>
    </w:p>
    <w:p w:rsidR="00F412DE" w:rsidRPr="001600D7" w:rsidRDefault="00754ED8" w:rsidP="00754ED8">
      <w:pPr>
        <w:pStyle w:val="H1G"/>
      </w:pPr>
      <w:r>
        <w:tab/>
      </w:r>
      <w:r>
        <w:tab/>
      </w:r>
      <w:r w:rsidR="00F412DE">
        <w:t>Proposal 4</w:t>
      </w:r>
    </w:p>
    <w:p w:rsidR="00F412DE" w:rsidRDefault="00931ADF" w:rsidP="00F412DE">
      <w:pPr>
        <w:pStyle w:val="SingleTxtG"/>
      </w:pPr>
      <w:r>
        <w:t>1</w:t>
      </w:r>
      <w:r w:rsidR="008527BD" w:rsidRPr="008527BD">
        <w:rPr>
          <w:lang w:val="en-GB"/>
        </w:rPr>
        <w:t>7</w:t>
      </w:r>
      <w:r>
        <w:t>.</w:t>
      </w:r>
      <w:r w:rsidR="00F412DE">
        <w:tab/>
        <w:t xml:space="preserve">The change proposed for the introductory text for the equipment on page 4 of the Instructions in writing according to </w:t>
      </w:r>
      <w:r w:rsidR="00F412DE" w:rsidRPr="00897D73">
        <w:rPr>
          <w:b/>
        </w:rPr>
        <w:t>RID</w:t>
      </w:r>
      <w:r w:rsidR="00F412DE">
        <w:t xml:space="preserve"> is meant to regulate the use of the equipment. The current text is so wor</w:t>
      </w:r>
      <w:r w:rsidR="00CD5E14">
        <w:t xml:space="preserve">ded that it does not require </w:t>
      </w:r>
      <w:r w:rsidR="00CD5E14" w:rsidRPr="00CD5E14">
        <w:rPr>
          <w:lang w:val="en-GB"/>
        </w:rPr>
        <w:t>its</w:t>
      </w:r>
      <w:r w:rsidR="00CD5E14">
        <w:t xml:space="preserve"> use</w:t>
      </w:r>
      <w:r w:rsidR="00F412DE">
        <w:t>: “</w:t>
      </w:r>
      <w:r w:rsidR="00F412DE" w:rsidRPr="00B1579E">
        <w:rPr>
          <w:i/>
        </w:rPr>
        <w:t xml:space="preserve">The following </w:t>
      </w:r>
      <w:proofErr w:type="spellStart"/>
      <w:r w:rsidR="00F412DE" w:rsidRPr="00B1579E">
        <w:rPr>
          <w:i/>
        </w:rPr>
        <w:t>equipment</w:t>
      </w:r>
      <w:r w:rsidR="00F412DE">
        <w:rPr>
          <w:i/>
          <w:vertAlign w:val="superscript"/>
        </w:rPr>
        <w:t>a</w:t>
      </w:r>
      <w:proofErr w:type="spellEnd"/>
      <w:r w:rsidR="00F412DE" w:rsidRPr="00B1579E">
        <w:rPr>
          <w:i/>
        </w:rPr>
        <w:t xml:space="preserve"> shal</w:t>
      </w:r>
      <w:r w:rsidR="00F412DE">
        <w:rPr>
          <w:i/>
        </w:rPr>
        <w:t>l</w:t>
      </w:r>
      <w:r w:rsidR="00F412DE" w:rsidRPr="00B1579E">
        <w:rPr>
          <w:i/>
        </w:rPr>
        <w:t xml:space="preserve"> be carried in the driver’s cab:</w:t>
      </w:r>
      <w:r w:rsidR="00F412DE">
        <w:t xml:space="preserve">”. </w:t>
      </w:r>
      <w:r w:rsidR="00F412DE" w:rsidRPr="00BF4C9A">
        <w:t>The provisions of 5.4.3.2 and 5.4.3.3 do not refer to the use of the equipment and the actions to be performed with the equipment carried in the</w:t>
      </w:r>
      <w:r w:rsidR="00F412DE">
        <w:t xml:space="preserve"> driver</w:t>
      </w:r>
      <w:r w:rsidR="00F412DE">
        <w:rPr>
          <w:lang w:val="en-US"/>
        </w:rPr>
        <w:t>’s</w:t>
      </w:r>
      <w:r w:rsidR="00F412DE" w:rsidRPr="00BF4C9A">
        <w:t xml:space="preserve"> cab are obligations for drivers.</w:t>
      </w:r>
      <w:r w:rsidR="00F412DE">
        <w:t xml:space="preserve"> </w:t>
      </w:r>
    </w:p>
    <w:p w:rsidR="00F412DE" w:rsidRPr="00495F75" w:rsidRDefault="00931ADF" w:rsidP="00F412DE">
      <w:pPr>
        <w:pStyle w:val="SingleTxtG"/>
      </w:pPr>
      <w:r>
        <w:t>1</w:t>
      </w:r>
      <w:r w:rsidR="008527BD" w:rsidRPr="008527BD">
        <w:rPr>
          <w:lang w:val="en-GB"/>
        </w:rPr>
        <w:t>8</w:t>
      </w:r>
      <w:r>
        <w:t>.</w:t>
      </w:r>
      <w:r w:rsidR="00F412DE">
        <w:tab/>
      </w:r>
      <w:r w:rsidR="00F412DE" w:rsidRPr="00495F75">
        <w:rPr>
          <w:bCs/>
        </w:rPr>
        <w:t xml:space="preserve">Amend the </w:t>
      </w:r>
      <w:r w:rsidR="00F412DE" w:rsidRPr="00495F75">
        <w:t>introductory text for the equipment on page 4 of the Instructions in writing</w:t>
      </w:r>
      <w:r w:rsidR="00F412DE">
        <w:t>,</w:t>
      </w:r>
      <w:r w:rsidR="00F412DE" w:rsidRPr="00495F75">
        <w:t xml:space="preserve"> according to </w:t>
      </w:r>
      <w:r w:rsidR="00F412DE" w:rsidRPr="00897D73">
        <w:rPr>
          <w:b/>
        </w:rPr>
        <w:t>RID</w:t>
      </w:r>
      <w:r w:rsidR="00F412DE" w:rsidRPr="00495F75">
        <w:t>,</w:t>
      </w:r>
      <w:r w:rsidR="00F412DE" w:rsidRPr="00495F75">
        <w:rPr>
          <w:bCs/>
        </w:rPr>
        <w:t xml:space="preserve"> to read as follows</w:t>
      </w:r>
      <w:r w:rsidR="00F412DE" w:rsidRPr="00495F75">
        <w:t>:</w:t>
      </w:r>
    </w:p>
    <w:p w:rsidR="00F412DE" w:rsidRPr="00495F75" w:rsidRDefault="00F412DE" w:rsidP="00F412DE">
      <w:pPr>
        <w:pStyle w:val="SingleTxtG"/>
      </w:pPr>
      <w:r w:rsidRPr="003856AC">
        <w:t>“</w:t>
      </w:r>
      <w:proofErr w:type="spellStart"/>
      <w:r w:rsidRPr="003856AC">
        <w:rPr>
          <w:i/>
        </w:rPr>
        <w:t>Equipment</w:t>
      </w:r>
      <w:r w:rsidRPr="003856AC">
        <w:rPr>
          <w:i/>
          <w:vertAlign w:val="superscript"/>
        </w:rPr>
        <w:t>a</w:t>
      </w:r>
      <w:proofErr w:type="spellEnd"/>
      <w:r w:rsidRPr="003856AC">
        <w:rPr>
          <w:i/>
        </w:rPr>
        <w:t xml:space="preserve"> for personal protection to be carried in the driver’s cab</w:t>
      </w:r>
      <w:r>
        <w:rPr>
          <w:i/>
        </w:rPr>
        <w:t xml:space="preserve"> </w:t>
      </w:r>
      <w:r w:rsidRPr="003856AC">
        <w:rPr>
          <w:i/>
          <w:u w:val="single"/>
        </w:rPr>
        <w:t>for personal use</w:t>
      </w:r>
      <w:r w:rsidRPr="003856AC">
        <w:rPr>
          <w:i/>
        </w:rPr>
        <w:t>:</w:t>
      </w:r>
      <w:r w:rsidRPr="003856AC">
        <w:t>”.</w:t>
      </w:r>
    </w:p>
    <w:p w:rsidR="00F412DE" w:rsidRPr="00495F75" w:rsidRDefault="00CD5E14" w:rsidP="00F412DE">
      <w:pPr>
        <w:pStyle w:val="SingleTxtG"/>
      </w:pPr>
      <w:r>
        <w:t xml:space="preserve">The text of </w:t>
      </w:r>
      <w:r w:rsidR="00F412DE" w:rsidRPr="00495F75">
        <w:t xml:space="preserve">note </w:t>
      </w:r>
      <w:r w:rsidR="00F412DE" w:rsidRPr="00495F75">
        <w:rPr>
          <w:b/>
        </w:rPr>
        <w:t>a</w:t>
      </w:r>
      <w:r w:rsidR="00F412DE">
        <w:t xml:space="preserve"> remains unchanged.</w:t>
      </w:r>
    </w:p>
    <w:p w:rsidR="00F412DE" w:rsidRPr="001600D7" w:rsidRDefault="00754ED8" w:rsidP="00754ED8">
      <w:pPr>
        <w:pStyle w:val="H1G"/>
      </w:pPr>
      <w:r>
        <w:lastRenderedPageBreak/>
        <w:tab/>
      </w:r>
      <w:r>
        <w:tab/>
      </w:r>
      <w:r w:rsidR="00F412DE">
        <w:t>Proposal 5</w:t>
      </w:r>
    </w:p>
    <w:p w:rsidR="00F412DE" w:rsidRDefault="008527BD" w:rsidP="00F412DE">
      <w:pPr>
        <w:pStyle w:val="SingleTxtG"/>
      </w:pPr>
      <w:r w:rsidRPr="008527BD">
        <w:rPr>
          <w:lang w:val="en-GB"/>
        </w:rPr>
        <w:t>19</w:t>
      </w:r>
      <w:r w:rsidR="00931ADF">
        <w:t>.</w:t>
      </w:r>
      <w:r w:rsidR="00F412DE">
        <w:tab/>
        <w:t xml:space="preserve">The change proposed for the introductory text for the equipment on page 4 of the Instructions in writing according to </w:t>
      </w:r>
      <w:r w:rsidR="00F412DE" w:rsidRPr="00897D73">
        <w:rPr>
          <w:b/>
        </w:rPr>
        <w:t>ADR</w:t>
      </w:r>
      <w:r w:rsidR="00F412DE">
        <w:t xml:space="preserve"> is meant to regulate the use of the </w:t>
      </w:r>
      <w:r w:rsidR="00F412DE" w:rsidRPr="0061060E">
        <w:rPr>
          <w:i/>
        </w:rPr>
        <w:t>transport unit</w:t>
      </w:r>
      <w:r w:rsidR="00F412DE">
        <w:t xml:space="preserve">. The current wording uses the term </w:t>
      </w:r>
      <w:r w:rsidR="00F412DE" w:rsidRPr="0061060E">
        <w:rPr>
          <w:i/>
        </w:rPr>
        <w:t>vehicle</w:t>
      </w:r>
      <w:r w:rsidR="00F412DE">
        <w:t xml:space="preserve"> which is in contradiction with the next phrase where the equipment is introduced and the provisions of paragraph 8.1.5.2: </w:t>
      </w:r>
      <w:r w:rsidR="00F412DE">
        <w:rPr>
          <w:lang w:val="en-US"/>
        </w:rPr>
        <w:t>“</w:t>
      </w:r>
      <w:r w:rsidR="00F412DE" w:rsidRPr="00897D73">
        <w:rPr>
          <w:i/>
        </w:rPr>
        <w:t>The following equipment shall be carried on board the transport unit</w:t>
      </w:r>
      <w:r w:rsidR="00F412DE">
        <w:rPr>
          <w:i/>
        </w:rPr>
        <w:t>:”</w:t>
      </w:r>
      <w:r w:rsidR="00F412DE" w:rsidRPr="00BF4C9A">
        <w:t>.</w:t>
      </w:r>
      <w:r w:rsidR="00F412DE">
        <w:t xml:space="preserve"> </w:t>
      </w:r>
    </w:p>
    <w:p w:rsidR="00F412DE" w:rsidRPr="00495F75" w:rsidRDefault="00931ADF" w:rsidP="00F412DE">
      <w:pPr>
        <w:pStyle w:val="SingleTxtG"/>
      </w:pPr>
      <w:r>
        <w:t>2</w:t>
      </w:r>
      <w:r w:rsidR="008527BD" w:rsidRPr="008527BD">
        <w:rPr>
          <w:lang w:val="en-GB"/>
        </w:rPr>
        <w:t>0</w:t>
      </w:r>
      <w:r>
        <w:t>.</w:t>
      </w:r>
      <w:r w:rsidR="00F412DE">
        <w:tab/>
      </w:r>
      <w:r w:rsidR="00F412DE" w:rsidRPr="00495F75">
        <w:rPr>
          <w:bCs/>
        </w:rPr>
        <w:t xml:space="preserve">Amend the </w:t>
      </w:r>
      <w:r w:rsidR="00F412DE" w:rsidRPr="00495F75">
        <w:t xml:space="preserve">introductory text for the equipment on page 4 of the Instructions in writing according to </w:t>
      </w:r>
      <w:r w:rsidR="00F412DE">
        <w:rPr>
          <w:b/>
        </w:rPr>
        <w:t>ADR</w:t>
      </w:r>
      <w:r w:rsidR="00F412DE" w:rsidRPr="00495F75">
        <w:t>,</w:t>
      </w:r>
      <w:r w:rsidR="00F412DE" w:rsidRPr="00495F75">
        <w:rPr>
          <w:bCs/>
        </w:rPr>
        <w:t xml:space="preserve"> to read as follows</w:t>
      </w:r>
      <w:r w:rsidR="00F412DE" w:rsidRPr="00495F75">
        <w:t>:</w:t>
      </w:r>
    </w:p>
    <w:p w:rsidR="00F412DE" w:rsidRPr="008E3D69" w:rsidRDefault="00F412DE" w:rsidP="00F412DE">
      <w:pPr>
        <w:pStyle w:val="SingleTxtG"/>
      </w:pPr>
      <w:r w:rsidRPr="003856AC">
        <w:t>“</w:t>
      </w:r>
      <w:r w:rsidRPr="00897D73">
        <w:rPr>
          <w:i/>
        </w:rPr>
        <w:t>Equipment for personal and general protection</w:t>
      </w:r>
      <w:r>
        <w:rPr>
          <w:i/>
        </w:rPr>
        <w:t xml:space="preserve"> </w:t>
      </w:r>
      <w:r w:rsidRPr="00897D73">
        <w:rPr>
          <w:i/>
        </w:rPr>
        <w:t xml:space="preserve">to carry out general actions and hazard specific emergency actions to be carried on board the </w:t>
      </w:r>
      <w:r w:rsidRPr="00897D73">
        <w:rPr>
          <w:i/>
          <w:strike/>
        </w:rPr>
        <w:t>vehicle</w:t>
      </w:r>
      <w:r w:rsidRPr="00897D73">
        <w:rPr>
          <w:i/>
        </w:rPr>
        <w:t xml:space="preserve"> </w:t>
      </w:r>
      <w:r w:rsidRPr="00897D73">
        <w:rPr>
          <w:i/>
          <w:u w:val="single"/>
        </w:rPr>
        <w:t>transport unit</w:t>
      </w:r>
      <w:r w:rsidRPr="00897D73">
        <w:rPr>
          <w:i/>
        </w:rPr>
        <w:t xml:space="preserve"> in accordance with section 8.1.5 of ADR</w:t>
      </w:r>
      <w:r w:rsidRPr="003856AC">
        <w:t>”.</w:t>
      </w:r>
    </w:p>
    <w:p w:rsidR="00F412DE" w:rsidRPr="00F66A98" w:rsidRDefault="00754ED8" w:rsidP="00754ED8">
      <w:pPr>
        <w:pStyle w:val="HChG"/>
        <w:rPr>
          <w:sz w:val="24"/>
        </w:rPr>
      </w:pPr>
      <w:r w:rsidRPr="00165557">
        <w:rPr>
          <w:lang w:val="en-GB"/>
        </w:rPr>
        <w:tab/>
      </w:r>
      <w:r w:rsidRPr="00165557">
        <w:rPr>
          <w:lang w:val="en-GB"/>
        </w:rPr>
        <w:tab/>
      </w:r>
      <w:r w:rsidR="00F412DE" w:rsidRPr="00E809A8">
        <w:t>Justification</w:t>
      </w:r>
    </w:p>
    <w:tbl>
      <w:tblPr>
        <w:tblW w:w="0" w:type="auto"/>
        <w:tblInd w:w="1134" w:type="dxa"/>
        <w:tblLook w:val="04A0" w:firstRow="1" w:lastRow="0" w:firstColumn="1" w:lastColumn="0" w:noHBand="0" w:noVBand="1"/>
      </w:tblPr>
      <w:tblGrid>
        <w:gridCol w:w="1951"/>
        <w:gridCol w:w="5529"/>
      </w:tblGrid>
      <w:tr w:rsidR="00F412DE" w:rsidRPr="00EB37EC" w:rsidTr="00F412DE">
        <w:tc>
          <w:tcPr>
            <w:tcW w:w="1951" w:type="dxa"/>
          </w:tcPr>
          <w:p w:rsidR="00F412DE" w:rsidRPr="00EB37EC" w:rsidRDefault="008527BD" w:rsidP="00754ED8">
            <w:pPr>
              <w:pStyle w:val="SingleTxtG"/>
              <w:ind w:left="0" w:right="176"/>
              <w:rPr>
                <w:bCs/>
              </w:rPr>
            </w:pPr>
            <w:r>
              <w:rPr>
                <w:bCs/>
                <w:lang w:val="fr-CH"/>
              </w:rPr>
              <w:t>21</w:t>
            </w:r>
            <w:r w:rsidR="00F412DE" w:rsidRPr="00DF5610">
              <w:rPr>
                <w:bCs/>
              </w:rPr>
              <w:t>.</w:t>
            </w:r>
            <w:r w:rsidR="00F412DE" w:rsidRPr="00DF5610">
              <w:rPr>
                <w:bCs/>
              </w:rPr>
              <w:tab/>
              <w:t>Safety:</w:t>
            </w:r>
          </w:p>
        </w:tc>
        <w:tc>
          <w:tcPr>
            <w:tcW w:w="5529" w:type="dxa"/>
          </w:tcPr>
          <w:p w:rsidR="00F412DE" w:rsidRPr="00EB37EC" w:rsidRDefault="00F412DE" w:rsidP="00F412DE">
            <w:pPr>
              <w:pStyle w:val="SingleTxtG"/>
              <w:ind w:left="-108" w:right="0"/>
              <w:rPr>
                <w:bCs/>
              </w:rPr>
            </w:pPr>
            <w:r w:rsidRPr="00DF5610">
              <w:rPr>
                <w:bCs/>
              </w:rPr>
              <w:t>Clear text improves safety</w:t>
            </w:r>
            <w:r>
              <w:rPr>
                <w:bCs/>
              </w:rPr>
              <w:t xml:space="preserve"> across all transport modes.</w:t>
            </w:r>
          </w:p>
        </w:tc>
      </w:tr>
      <w:tr w:rsidR="00F412DE" w:rsidRPr="00EB37EC" w:rsidTr="00F412DE">
        <w:tc>
          <w:tcPr>
            <w:tcW w:w="1951" w:type="dxa"/>
            <w:vMerge w:val="restart"/>
          </w:tcPr>
          <w:p w:rsidR="00F412DE" w:rsidRPr="00EB37EC" w:rsidRDefault="00754ED8" w:rsidP="00F412DE">
            <w:pPr>
              <w:pStyle w:val="SingleTxtG"/>
              <w:ind w:left="0" w:right="176"/>
              <w:rPr>
                <w:bCs/>
              </w:rPr>
            </w:pPr>
            <w:r w:rsidRPr="00165557">
              <w:rPr>
                <w:bCs/>
                <w:lang w:val="en-GB"/>
              </w:rPr>
              <w:tab/>
            </w:r>
            <w:r w:rsidR="00F412DE" w:rsidRPr="00EB37EC">
              <w:rPr>
                <w:bCs/>
              </w:rPr>
              <w:t>Feasibility:</w:t>
            </w:r>
          </w:p>
        </w:tc>
        <w:tc>
          <w:tcPr>
            <w:tcW w:w="5529" w:type="dxa"/>
          </w:tcPr>
          <w:p w:rsidR="00F412DE" w:rsidRPr="00EB37EC" w:rsidRDefault="00F412DE" w:rsidP="00DB2651">
            <w:pPr>
              <w:pStyle w:val="SingleTxtG"/>
              <w:ind w:left="-108" w:right="0"/>
              <w:rPr>
                <w:bCs/>
              </w:rPr>
            </w:pPr>
            <w:r w:rsidRPr="00EB37EC">
              <w:rPr>
                <w:bCs/>
              </w:rPr>
              <w:t>The proposals aim to facilitate implementation and enforcement. Carriers already comply with these obligations anyway. The proposed amend</w:t>
            </w:r>
            <w:r w:rsidR="005D68D6">
              <w:rPr>
                <w:bCs/>
              </w:rPr>
              <w:t>ments clarify and unify exist</w:t>
            </w:r>
            <w:r w:rsidR="005D68D6" w:rsidRPr="00DB2651">
              <w:rPr>
                <w:bCs/>
                <w:lang w:val="en-GB"/>
              </w:rPr>
              <w:t>ing</w:t>
            </w:r>
            <w:r w:rsidRPr="00EB37EC">
              <w:rPr>
                <w:bCs/>
              </w:rPr>
              <w:t xml:space="preserve"> provisions. They facilitate the activity of regulators, safety advisers and enforcement bodies.</w:t>
            </w:r>
          </w:p>
        </w:tc>
      </w:tr>
      <w:tr w:rsidR="00F412DE" w:rsidRPr="00EB37EC" w:rsidTr="00F412DE">
        <w:tc>
          <w:tcPr>
            <w:tcW w:w="1951" w:type="dxa"/>
            <w:vMerge/>
          </w:tcPr>
          <w:p w:rsidR="00F412DE" w:rsidRPr="00EB37EC" w:rsidRDefault="00F412DE" w:rsidP="00F412DE">
            <w:pPr>
              <w:pStyle w:val="SingleTxtG"/>
              <w:ind w:left="0"/>
              <w:rPr>
                <w:bCs/>
              </w:rPr>
            </w:pPr>
          </w:p>
        </w:tc>
        <w:tc>
          <w:tcPr>
            <w:tcW w:w="5529" w:type="dxa"/>
          </w:tcPr>
          <w:p w:rsidR="00F412DE" w:rsidRPr="00EB37EC" w:rsidRDefault="00DB2651" w:rsidP="00F412DE">
            <w:pPr>
              <w:pStyle w:val="SingleTxtG"/>
              <w:ind w:left="-108" w:right="0"/>
              <w:rPr>
                <w:bCs/>
              </w:rPr>
            </w:pPr>
            <w:r>
              <w:rPr>
                <w:bCs/>
                <w:lang w:val="fr-CH"/>
              </w:rPr>
              <w:t>N</w:t>
            </w:r>
            <w:r w:rsidR="00F412DE" w:rsidRPr="00EB37EC">
              <w:rPr>
                <w:bCs/>
              </w:rPr>
              <w:t xml:space="preserve">o disadvantages </w:t>
            </w:r>
            <w:r>
              <w:rPr>
                <w:bCs/>
                <w:lang w:val="fr-CH"/>
              </w:rPr>
              <w:t xml:space="preserve">are </w:t>
            </w:r>
            <w:r w:rsidR="00F412DE" w:rsidRPr="00EB37EC">
              <w:rPr>
                <w:bCs/>
              </w:rPr>
              <w:t>envisaged.</w:t>
            </w:r>
          </w:p>
        </w:tc>
      </w:tr>
      <w:tr w:rsidR="00F412DE" w:rsidRPr="00EB37EC" w:rsidTr="00F412DE">
        <w:tc>
          <w:tcPr>
            <w:tcW w:w="1951" w:type="dxa"/>
            <w:vMerge/>
          </w:tcPr>
          <w:p w:rsidR="00F412DE" w:rsidRPr="00EB37EC" w:rsidRDefault="00F412DE" w:rsidP="00F412DE">
            <w:pPr>
              <w:pStyle w:val="SingleTxtG"/>
              <w:ind w:left="0"/>
              <w:rPr>
                <w:bCs/>
              </w:rPr>
            </w:pPr>
          </w:p>
        </w:tc>
        <w:tc>
          <w:tcPr>
            <w:tcW w:w="5529" w:type="dxa"/>
          </w:tcPr>
          <w:p w:rsidR="00F412DE" w:rsidRPr="00EB37EC" w:rsidRDefault="00F412DE" w:rsidP="004A5B30">
            <w:pPr>
              <w:pStyle w:val="SingleTxtG"/>
              <w:ind w:left="-108" w:right="0"/>
              <w:rPr>
                <w:bCs/>
              </w:rPr>
            </w:pPr>
            <w:r w:rsidRPr="00EB37EC">
              <w:rPr>
                <w:bCs/>
              </w:rPr>
              <w:t xml:space="preserve">Considering the </w:t>
            </w:r>
            <w:r w:rsidR="00DB2651" w:rsidRPr="00DB2651">
              <w:rPr>
                <w:bCs/>
                <w:lang w:val="en-GB"/>
              </w:rPr>
              <w:t>contents</w:t>
            </w:r>
            <w:r w:rsidRPr="00EB37EC">
              <w:rPr>
                <w:bCs/>
              </w:rPr>
              <w:t xml:space="preserve"> of paragraph </w:t>
            </w:r>
            <w:r w:rsidRPr="00514A30">
              <w:rPr>
                <w:bCs/>
              </w:rPr>
              <w:t>6</w:t>
            </w:r>
            <w:r w:rsidRPr="00EB37EC">
              <w:rPr>
                <w:bCs/>
              </w:rPr>
              <w:t xml:space="preserve"> </w:t>
            </w:r>
            <w:r w:rsidR="004A5B30" w:rsidRPr="004A5B30">
              <w:rPr>
                <w:bCs/>
                <w:lang w:val="en-GB"/>
              </w:rPr>
              <w:t xml:space="preserve">above </w:t>
            </w:r>
            <w:r>
              <w:rPr>
                <w:bCs/>
              </w:rPr>
              <w:t xml:space="preserve">and the necessity of introducing also the new lithium battery mark </w:t>
            </w:r>
            <w:r w:rsidR="00DB2651" w:rsidRPr="00DB2651">
              <w:rPr>
                <w:bCs/>
                <w:lang w:val="en-GB"/>
              </w:rPr>
              <w:t xml:space="preserve">in </w:t>
            </w:r>
            <w:r>
              <w:rPr>
                <w:bCs/>
              </w:rPr>
              <w:t xml:space="preserve">5.2.1.9 and label </w:t>
            </w:r>
            <w:proofErr w:type="spellStart"/>
            <w:r w:rsidR="00DB2651" w:rsidRPr="00DB2651">
              <w:rPr>
                <w:bCs/>
                <w:lang w:val="en-GB"/>
              </w:rPr>
              <w:t>N</w:t>
            </w:r>
            <w:r>
              <w:rPr>
                <w:bCs/>
              </w:rPr>
              <w:t>o</w:t>
            </w:r>
            <w:proofErr w:type="spellEnd"/>
            <w:r>
              <w:rPr>
                <w:bCs/>
              </w:rPr>
              <w:t>. 9A (as proposed in doc</w:t>
            </w:r>
            <w:r w:rsidR="00DB2651" w:rsidRPr="00DB2651">
              <w:rPr>
                <w:bCs/>
                <w:lang w:val="en-GB"/>
              </w:rPr>
              <w:t>ument</w:t>
            </w:r>
            <w:r>
              <w:rPr>
                <w:bCs/>
              </w:rPr>
              <w:t xml:space="preserve"> 2015/23/Add.1)</w:t>
            </w:r>
            <w:r w:rsidR="004A5B30" w:rsidRPr="004A5B30">
              <w:rPr>
                <w:bCs/>
                <w:lang w:val="en-GB"/>
              </w:rPr>
              <w:t>,</w:t>
            </w:r>
            <w:r>
              <w:rPr>
                <w:bCs/>
              </w:rPr>
              <w:t xml:space="preserve"> </w:t>
            </w:r>
            <w:r w:rsidRPr="00EB37EC">
              <w:rPr>
                <w:bCs/>
              </w:rPr>
              <w:t>a transitio</w:t>
            </w:r>
            <w:r>
              <w:rPr>
                <w:bCs/>
              </w:rPr>
              <w:t xml:space="preserve">nal measure may be required </w:t>
            </w:r>
            <w:r w:rsidRPr="00EB37EC">
              <w:rPr>
                <w:bCs/>
              </w:rPr>
              <w:t xml:space="preserve">and </w:t>
            </w:r>
            <w:r w:rsidR="00DB2651" w:rsidRPr="00DB2651">
              <w:rPr>
                <w:bCs/>
                <w:lang w:val="en-GB"/>
              </w:rPr>
              <w:t xml:space="preserve">the </w:t>
            </w:r>
            <w:r w:rsidR="004A5B30">
              <w:rPr>
                <w:bCs/>
                <w:lang w:val="en-GB"/>
              </w:rPr>
              <w:t xml:space="preserve">Romanian </w:t>
            </w:r>
            <w:r w:rsidR="00DB2651" w:rsidRPr="00DB2651">
              <w:rPr>
                <w:bCs/>
                <w:lang w:val="en-GB"/>
              </w:rPr>
              <w:t>delegation</w:t>
            </w:r>
            <w:r w:rsidRPr="00EB37EC">
              <w:rPr>
                <w:bCs/>
              </w:rPr>
              <w:t xml:space="preserve"> could </w:t>
            </w:r>
            <w:r>
              <w:rPr>
                <w:bCs/>
              </w:rPr>
              <w:t>draft</w:t>
            </w:r>
            <w:r w:rsidRPr="00EB37EC">
              <w:rPr>
                <w:bCs/>
              </w:rPr>
              <w:t xml:space="preserve"> </w:t>
            </w:r>
            <w:r w:rsidR="004A5B30" w:rsidRPr="004A5B30">
              <w:rPr>
                <w:bCs/>
                <w:lang w:val="en-GB"/>
              </w:rPr>
              <w:t>that</w:t>
            </w:r>
            <w:r w:rsidRPr="00EB37EC">
              <w:rPr>
                <w:bCs/>
              </w:rPr>
              <w:t xml:space="preserve"> proposal.</w:t>
            </w:r>
          </w:p>
        </w:tc>
      </w:tr>
      <w:tr w:rsidR="00F412DE" w:rsidRPr="00EB37EC" w:rsidTr="00F412DE">
        <w:tc>
          <w:tcPr>
            <w:tcW w:w="1951" w:type="dxa"/>
          </w:tcPr>
          <w:p w:rsidR="00F412DE" w:rsidRPr="00EB37EC" w:rsidRDefault="00754ED8" w:rsidP="00F412DE">
            <w:pPr>
              <w:pStyle w:val="SingleTxtG"/>
              <w:ind w:left="0" w:right="-85"/>
              <w:rPr>
                <w:bCs/>
              </w:rPr>
            </w:pPr>
            <w:r w:rsidRPr="00DB2651">
              <w:rPr>
                <w:bCs/>
                <w:lang w:val="en-GB"/>
              </w:rPr>
              <w:tab/>
            </w:r>
            <w:r w:rsidR="00F412DE" w:rsidRPr="00DF5610">
              <w:rPr>
                <w:bCs/>
              </w:rPr>
              <w:t>Enforceability:</w:t>
            </w:r>
          </w:p>
        </w:tc>
        <w:tc>
          <w:tcPr>
            <w:tcW w:w="5529" w:type="dxa"/>
          </w:tcPr>
          <w:p w:rsidR="00F412DE" w:rsidRPr="00EB37EC" w:rsidRDefault="00F412DE" w:rsidP="004A5B30">
            <w:pPr>
              <w:pStyle w:val="SingleTxtG"/>
              <w:ind w:left="-108" w:right="0"/>
              <w:rPr>
                <w:bCs/>
              </w:rPr>
            </w:pPr>
            <w:r w:rsidRPr="00DF5610">
              <w:rPr>
                <w:bCs/>
              </w:rPr>
              <w:t xml:space="preserve">The presence of separate obligations for the carrier </w:t>
            </w:r>
            <w:r>
              <w:rPr>
                <w:bCs/>
              </w:rPr>
              <w:t>regarding the Instru</w:t>
            </w:r>
            <w:r w:rsidR="004A5B30">
              <w:rPr>
                <w:bCs/>
              </w:rPr>
              <w:t>ctions in writing and equipment</w:t>
            </w:r>
            <w:r>
              <w:rPr>
                <w:bCs/>
              </w:rPr>
              <w:t xml:space="preserve"> </w:t>
            </w:r>
            <w:r w:rsidR="00DB2651">
              <w:rPr>
                <w:bCs/>
              </w:rPr>
              <w:t xml:space="preserve">carried </w:t>
            </w:r>
            <w:r w:rsidRPr="00DF5610">
              <w:rPr>
                <w:bCs/>
              </w:rPr>
              <w:t xml:space="preserve">would facilitate the enforceability of </w:t>
            </w:r>
            <w:r>
              <w:rPr>
                <w:bCs/>
              </w:rPr>
              <w:t>the regulations</w:t>
            </w:r>
            <w:r w:rsidRPr="00DF5610">
              <w:rPr>
                <w:bCs/>
              </w:rPr>
              <w:t xml:space="preserve">. The absence of the Instructions in writing </w:t>
            </w:r>
            <w:r>
              <w:rPr>
                <w:bCs/>
              </w:rPr>
              <w:t xml:space="preserve">according to ADR </w:t>
            </w:r>
            <w:r w:rsidRPr="00DF5610">
              <w:rPr>
                <w:bCs/>
              </w:rPr>
              <w:t xml:space="preserve">is </w:t>
            </w:r>
            <w:r w:rsidR="004A5B30" w:rsidRPr="004A5B30">
              <w:rPr>
                <w:bCs/>
                <w:lang w:val="en-GB"/>
              </w:rPr>
              <w:t>subject to sanctions</w:t>
            </w:r>
            <w:r w:rsidRPr="00DF5610">
              <w:rPr>
                <w:bCs/>
              </w:rPr>
              <w:t xml:space="preserve">, e.g. in Directive 95/50/EC on uniform procedures for checks on the transport of dangerous goods by road. The checklist in Annex I of the Directive includes the instructions in writing in the documents to be checked if they are present </w:t>
            </w:r>
            <w:proofErr w:type="spellStart"/>
            <w:r w:rsidRPr="00DF5610">
              <w:rPr>
                <w:bCs/>
              </w:rPr>
              <w:t>onboard</w:t>
            </w:r>
            <w:proofErr w:type="spellEnd"/>
            <w:r w:rsidRPr="00DF5610">
              <w:rPr>
                <w:bCs/>
              </w:rPr>
              <w:t xml:space="preserve"> (point 14), and the classification of infringements in Annex II includes the absence of the instruction</w:t>
            </w:r>
            <w:r>
              <w:rPr>
                <w:bCs/>
              </w:rPr>
              <w:t>s</w:t>
            </w:r>
            <w:r w:rsidRPr="00DF5610">
              <w:rPr>
                <w:bCs/>
              </w:rPr>
              <w:t xml:space="preserve"> in writing as a Risk category II infringement.</w:t>
            </w:r>
          </w:p>
        </w:tc>
      </w:tr>
    </w:tbl>
    <w:p w:rsidR="00F412DE" w:rsidRPr="001600D7" w:rsidRDefault="00754ED8" w:rsidP="00754ED8">
      <w:pPr>
        <w:pStyle w:val="HChG"/>
        <w:rPr>
          <w:sz w:val="24"/>
        </w:rPr>
      </w:pPr>
      <w:r w:rsidRPr="00165557">
        <w:rPr>
          <w:lang w:val="en-GB"/>
        </w:rPr>
        <w:tab/>
      </w:r>
      <w:r w:rsidRPr="00165557">
        <w:rPr>
          <w:lang w:val="en-GB"/>
        </w:rPr>
        <w:tab/>
      </w:r>
      <w:r w:rsidR="00F412DE" w:rsidRPr="00E809A8">
        <w:t>Future work</w:t>
      </w:r>
    </w:p>
    <w:p w:rsidR="00F412DE" w:rsidRDefault="00F412DE" w:rsidP="00F412DE">
      <w:pPr>
        <w:pStyle w:val="SingleTxtG"/>
        <w:spacing w:after="80"/>
      </w:pPr>
      <w:r>
        <w:t>2</w:t>
      </w:r>
      <w:r w:rsidR="008527BD">
        <w:rPr>
          <w:lang w:val="en-GB"/>
        </w:rPr>
        <w:t>2</w:t>
      </w:r>
      <w:r>
        <w:t>.</w:t>
      </w:r>
      <w:r>
        <w:tab/>
        <w:t>The questions re</w:t>
      </w:r>
      <w:r w:rsidR="00DB2651">
        <w:t xml:space="preserve">lated to the use of the terms: </w:t>
      </w:r>
      <w:r w:rsidR="00DB2651">
        <w:rPr>
          <w:lang w:val="en-GB"/>
        </w:rPr>
        <w:t>“</w:t>
      </w:r>
      <w:r w:rsidRPr="00F66A98">
        <w:rPr>
          <w:i/>
        </w:rPr>
        <w:t>emergency situation</w:t>
      </w:r>
      <w:r w:rsidR="00DB2651">
        <w:rPr>
          <w:lang w:val="en-US"/>
        </w:rPr>
        <w:t>”</w:t>
      </w:r>
      <w:r>
        <w:t xml:space="preserve">, </w:t>
      </w:r>
      <w:r w:rsidR="00DB2651">
        <w:rPr>
          <w:lang w:val="en-GB"/>
        </w:rPr>
        <w:t>“</w:t>
      </w:r>
      <w:r w:rsidRPr="00F66A98">
        <w:rPr>
          <w:i/>
        </w:rPr>
        <w:t>incident</w:t>
      </w:r>
      <w:r w:rsidRPr="00F66A98">
        <w:rPr>
          <w:lang w:val="en-US"/>
        </w:rPr>
        <w:t>”</w:t>
      </w:r>
      <w:r>
        <w:t xml:space="preserve"> or </w:t>
      </w:r>
      <w:r w:rsidR="00DB2651">
        <w:rPr>
          <w:lang w:val="en-GB"/>
        </w:rPr>
        <w:t>“</w:t>
      </w:r>
      <w:r w:rsidRPr="00F66A98">
        <w:rPr>
          <w:i/>
        </w:rPr>
        <w:t>accident</w:t>
      </w:r>
      <w:r w:rsidRPr="00F66A98">
        <w:rPr>
          <w:lang w:val="en-US"/>
        </w:rPr>
        <w:t>”</w:t>
      </w:r>
      <w:r>
        <w:t xml:space="preserve">, </w:t>
      </w:r>
      <w:r w:rsidR="00DB2651">
        <w:rPr>
          <w:lang w:val="en-GB"/>
        </w:rPr>
        <w:t>“</w:t>
      </w:r>
      <w:r w:rsidRPr="00F66A98">
        <w:rPr>
          <w:i/>
        </w:rPr>
        <w:t>occur or arise</w:t>
      </w:r>
      <w:r w:rsidRPr="00F66A98">
        <w:rPr>
          <w:lang w:val="en-US"/>
        </w:rPr>
        <w:t>”</w:t>
      </w:r>
      <w:r>
        <w:t xml:space="preserve"> and </w:t>
      </w:r>
      <w:r w:rsidR="00DB2651">
        <w:rPr>
          <w:lang w:val="en-GB"/>
        </w:rPr>
        <w:t>“</w:t>
      </w:r>
      <w:r w:rsidRPr="00F66A98">
        <w:rPr>
          <w:i/>
        </w:rPr>
        <w:t>member of the crew</w:t>
      </w:r>
      <w:r w:rsidRPr="00F66A98">
        <w:rPr>
          <w:lang w:val="en-US"/>
        </w:rPr>
        <w:t>”</w:t>
      </w:r>
      <w:r>
        <w:t xml:space="preserve"> (</w:t>
      </w:r>
      <w:r w:rsidRPr="008E3D69">
        <w:rPr>
          <w:b/>
        </w:rPr>
        <w:t>ADR</w:t>
      </w:r>
      <w:r>
        <w:t xml:space="preserve"> and </w:t>
      </w:r>
      <w:r w:rsidRPr="008E3D69">
        <w:rPr>
          <w:b/>
        </w:rPr>
        <w:t>ADN</w:t>
      </w:r>
      <w:r>
        <w:t xml:space="preserve">) or </w:t>
      </w:r>
      <w:r w:rsidR="00DB2651">
        <w:rPr>
          <w:lang w:val="en-GB"/>
        </w:rPr>
        <w:t>“</w:t>
      </w:r>
      <w:r w:rsidRPr="00F66A98">
        <w:rPr>
          <w:i/>
        </w:rPr>
        <w:t>crew member</w:t>
      </w:r>
      <w:r w:rsidRPr="00F66A98">
        <w:rPr>
          <w:lang w:val="en-US"/>
        </w:rPr>
        <w:t>”</w:t>
      </w:r>
      <w:r>
        <w:t xml:space="preserve"> (paragraph 1.10.1.4 of RID/ADR/ADN) will be treated in another document at </w:t>
      </w:r>
      <w:r w:rsidR="004A5B30" w:rsidRPr="004A5B30">
        <w:rPr>
          <w:lang w:val="en-GB"/>
        </w:rPr>
        <w:t xml:space="preserve">a </w:t>
      </w:r>
      <w:r w:rsidR="00DB2651" w:rsidRPr="00DB2651">
        <w:rPr>
          <w:lang w:val="en-GB"/>
        </w:rPr>
        <w:t xml:space="preserve">future </w:t>
      </w:r>
      <w:r w:rsidR="004A5B30">
        <w:t>session</w:t>
      </w:r>
      <w:r>
        <w:t xml:space="preserve"> of the Joint </w:t>
      </w:r>
      <w:r w:rsidR="00DB2651" w:rsidRPr="00DB2651">
        <w:rPr>
          <w:lang w:val="en-GB"/>
        </w:rPr>
        <w:t>M</w:t>
      </w:r>
      <w:proofErr w:type="spellStart"/>
      <w:r>
        <w:t>eeting</w:t>
      </w:r>
      <w:proofErr w:type="spellEnd"/>
      <w:r>
        <w:t>. In this respect</w:t>
      </w:r>
      <w:r w:rsidR="00DB2651" w:rsidRPr="00DB2651">
        <w:rPr>
          <w:lang w:val="en-GB"/>
        </w:rPr>
        <w:t>,</w:t>
      </w:r>
      <w:r>
        <w:t xml:space="preserve"> experts </w:t>
      </w:r>
      <w:r w:rsidR="00DB2651" w:rsidRPr="00DB2651">
        <w:rPr>
          <w:lang w:val="en-GB"/>
        </w:rPr>
        <w:t xml:space="preserve">are invited </w:t>
      </w:r>
      <w:r>
        <w:t xml:space="preserve">to express their opinion. </w:t>
      </w:r>
    </w:p>
    <w:p w:rsidR="00F412DE" w:rsidRPr="00DB2651" w:rsidRDefault="00F412DE" w:rsidP="00F412DE">
      <w:pPr>
        <w:pStyle w:val="SingleTxtG"/>
        <w:rPr>
          <w:lang w:val="en-GB"/>
        </w:rPr>
      </w:pPr>
      <w:r>
        <w:t>2</w:t>
      </w:r>
      <w:r w:rsidR="00E314A5">
        <w:rPr>
          <w:lang w:val="en-GB"/>
        </w:rPr>
        <w:t>3</w:t>
      </w:r>
      <w:bookmarkStart w:id="0" w:name="_GoBack"/>
      <w:bookmarkEnd w:id="0"/>
      <w:r>
        <w:t>.</w:t>
      </w:r>
      <w:r>
        <w:tab/>
        <w:t xml:space="preserve">A short working group </w:t>
      </w:r>
      <w:r w:rsidR="00DB2651" w:rsidRPr="00DB2651">
        <w:rPr>
          <w:lang w:val="en-GB"/>
        </w:rPr>
        <w:t xml:space="preserve">meeting </w:t>
      </w:r>
      <w:r>
        <w:t xml:space="preserve">during the September 2015 session of the Joint </w:t>
      </w:r>
      <w:r w:rsidR="00DB2651" w:rsidRPr="00DB2651">
        <w:rPr>
          <w:lang w:val="en-GB"/>
        </w:rPr>
        <w:t>M</w:t>
      </w:r>
      <w:proofErr w:type="spellStart"/>
      <w:r>
        <w:t>eeting</w:t>
      </w:r>
      <w:proofErr w:type="spellEnd"/>
      <w:r>
        <w:t xml:space="preserve"> might identify some options for </w:t>
      </w:r>
      <w:r w:rsidR="00DB2651">
        <w:t>a unified approach in 5.4.3 (</w:t>
      </w:r>
      <w:r w:rsidR="00DB2651" w:rsidRPr="00DB2651">
        <w:rPr>
          <w:lang w:val="en-GB"/>
        </w:rPr>
        <w:t xml:space="preserve">for </w:t>
      </w:r>
      <w:r>
        <w:t xml:space="preserve">all modes of </w:t>
      </w:r>
      <w:r w:rsidR="004A5B30">
        <w:t xml:space="preserve">transport) in relation with </w:t>
      </w:r>
      <w:r>
        <w:t>1.8.5 or</w:t>
      </w:r>
      <w:r w:rsidR="004A5B30">
        <w:t xml:space="preserve"> the desired characteristics </w:t>
      </w:r>
      <w:r w:rsidR="004A5B30" w:rsidRPr="004A5B30">
        <w:rPr>
          <w:lang w:val="en-GB"/>
        </w:rPr>
        <w:t>of</w:t>
      </w:r>
      <w:r>
        <w:t xml:space="preserve"> the accident data base. This </w:t>
      </w:r>
      <w:r>
        <w:lastRenderedPageBreak/>
        <w:t xml:space="preserve">would be an opportunity for the representatives of all transport modes to express their solutions </w:t>
      </w:r>
      <w:r w:rsidR="00DB2651" w:rsidRPr="00DB2651">
        <w:rPr>
          <w:lang w:val="en-GB"/>
        </w:rPr>
        <w:t>for</w:t>
      </w:r>
      <w:r>
        <w:t xml:space="preserve"> this problem.</w:t>
      </w:r>
    </w:p>
    <w:p w:rsidR="00754ED8" w:rsidRPr="00DB2651" w:rsidRDefault="00754ED8" w:rsidP="00754ED8">
      <w:pPr>
        <w:pStyle w:val="SingleTxtG"/>
        <w:spacing w:before="240" w:after="0"/>
        <w:jc w:val="center"/>
        <w:rPr>
          <w:u w:val="single"/>
          <w:lang w:val="en-GB"/>
        </w:rPr>
      </w:pPr>
      <w:r w:rsidRPr="00DB2651">
        <w:rPr>
          <w:u w:val="single"/>
          <w:lang w:val="en-GB"/>
        </w:rPr>
        <w:tab/>
      </w:r>
      <w:r w:rsidRPr="00DB2651">
        <w:rPr>
          <w:u w:val="single"/>
          <w:lang w:val="en-GB"/>
        </w:rPr>
        <w:tab/>
      </w:r>
      <w:r w:rsidRPr="00DB2651">
        <w:rPr>
          <w:u w:val="single"/>
          <w:lang w:val="en-GB"/>
        </w:rPr>
        <w:tab/>
      </w:r>
    </w:p>
    <w:sectPr w:rsidR="00754ED8" w:rsidRPr="00DB2651" w:rsidSect="009D2A5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9B" w:rsidRDefault="006F099B"/>
  </w:endnote>
  <w:endnote w:type="continuationSeparator" w:id="0">
    <w:p w:rsidR="006F099B" w:rsidRDefault="006F099B"/>
  </w:endnote>
  <w:endnote w:type="continuationNotice" w:id="1">
    <w:p w:rsidR="006F099B" w:rsidRDefault="006F0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B" w:rsidRPr="009D2A5B" w:rsidRDefault="006F099B"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2A7B83">
      <w:rPr>
        <w:b/>
        <w:noProof/>
        <w:sz w:val="18"/>
      </w:rPr>
      <w:t>4</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B" w:rsidRPr="009D2A5B" w:rsidRDefault="006F099B"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2A7B83">
      <w:rPr>
        <w:b/>
        <w:noProof/>
        <w:sz w:val="18"/>
      </w:rPr>
      <w:t>5</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B" w:rsidRPr="0048397A" w:rsidRDefault="006F099B">
    <w:pPr>
      <w:pStyle w:val="Footer"/>
      <w:rPr>
        <w:sz w:val="20"/>
      </w:rPr>
    </w:pPr>
    <w:r>
      <w:rPr>
        <w:sz w:val="20"/>
      </w:rPr>
      <w:t>GE.15-</w:t>
    </w: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9B" w:rsidRPr="000B175B" w:rsidRDefault="006F099B" w:rsidP="000B175B">
      <w:pPr>
        <w:tabs>
          <w:tab w:val="right" w:pos="2155"/>
        </w:tabs>
        <w:spacing w:after="80"/>
        <w:ind w:left="680"/>
        <w:rPr>
          <w:u w:val="single"/>
        </w:rPr>
      </w:pPr>
      <w:r>
        <w:rPr>
          <w:u w:val="single"/>
        </w:rPr>
        <w:tab/>
      </w:r>
    </w:p>
  </w:footnote>
  <w:footnote w:type="continuationSeparator" w:id="0">
    <w:p w:rsidR="006F099B" w:rsidRPr="00FC68B7" w:rsidRDefault="006F099B" w:rsidP="00FC68B7">
      <w:pPr>
        <w:tabs>
          <w:tab w:val="left" w:pos="2155"/>
        </w:tabs>
        <w:spacing w:after="80"/>
        <w:ind w:left="680"/>
        <w:rPr>
          <w:u w:val="single"/>
        </w:rPr>
      </w:pPr>
      <w:r>
        <w:rPr>
          <w:u w:val="single"/>
        </w:rPr>
        <w:tab/>
      </w:r>
    </w:p>
  </w:footnote>
  <w:footnote w:type="continuationNotice" w:id="1">
    <w:p w:rsidR="006F099B" w:rsidRDefault="006F099B"/>
  </w:footnote>
  <w:footnote w:id="2">
    <w:p w:rsidR="006F099B" w:rsidRPr="00BA3578" w:rsidRDefault="006F099B" w:rsidP="00CF79FB">
      <w:pPr>
        <w:pStyle w:val="FootnoteText"/>
        <w:widowControl w:val="0"/>
        <w:tabs>
          <w:tab w:val="clear" w:pos="1021"/>
          <w:tab w:val="right" w:pos="1020"/>
        </w:tabs>
      </w:pPr>
      <w:r>
        <w:tab/>
      </w:r>
      <w:r>
        <w:rPr>
          <w:rStyle w:val="FootnoteReference"/>
        </w:rPr>
        <w:footnoteRef/>
      </w:r>
      <w:r>
        <w:tab/>
      </w:r>
      <w:r w:rsidRPr="00BA3578">
        <w:t>In accordance with the programme of work of the Inland Transport Committee for 2014–2015 (ECE/TRANS/240, para. 100, ECE/TRANS/2014/23, cluster 9, para.9.2).</w:t>
      </w:r>
    </w:p>
  </w:footnote>
  <w:footnote w:id="3">
    <w:p w:rsidR="006F099B" w:rsidRPr="00BA3578" w:rsidRDefault="006F099B" w:rsidP="00CF79FB">
      <w:pPr>
        <w:pStyle w:val="FootnoteText"/>
        <w:widowControl w:val="0"/>
        <w:tabs>
          <w:tab w:val="clear" w:pos="1021"/>
          <w:tab w:val="right" w:pos="1020"/>
        </w:tabs>
      </w:pPr>
      <w:r w:rsidRPr="00BA3578">
        <w:tab/>
      </w:r>
      <w:r w:rsidRPr="00BA3578">
        <w:rPr>
          <w:rStyle w:val="FootnoteReference"/>
        </w:rPr>
        <w:footnoteRef/>
      </w:r>
      <w:r w:rsidRPr="00BA3578">
        <w:tab/>
        <w:t>Circulated by the Intergovernmental Organisation for International Carriage by Rail (OTIF) und</w:t>
      </w:r>
      <w:r>
        <w:t>er the symbol OTIF/RID/RC/2015/</w:t>
      </w:r>
      <w:r w:rsidRPr="00CF79FB">
        <w:rPr>
          <w:lang w:val="en-GB"/>
        </w:rPr>
        <w:t>3</w:t>
      </w:r>
      <w:r>
        <w:rPr>
          <w:lang w:val="en-GB"/>
        </w:rPr>
        <w:t>5</w:t>
      </w:r>
      <w:r w:rsidRPr="00BA35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B" w:rsidRPr="009D2A5B" w:rsidRDefault="006F099B" w:rsidP="009D2A5B">
    <w:pPr>
      <w:pStyle w:val="Header"/>
    </w:pPr>
    <w:r w:rsidRPr="009D2A5B">
      <w:t>ECE/TRANS/WP.15/AC.1/201</w:t>
    </w:r>
    <w:r>
      <w:t>5</w:t>
    </w:r>
    <w:r w:rsidRPr="009D2A5B">
      <w:t>/</w:t>
    </w:r>
    <w:r>
      <w:t>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9B" w:rsidRPr="009D2A5B" w:rsidRDefault="006F099B" w:rsidP="009D2A5B">
    <w:pPr>
      <w:pStyle w:val="Header"/>
      <w:jc w:val="right"/>
    </w:pPr>
    <w:r w:rsidRPr="009D2A5B">
      <w:t>ECE/TRANS/WP.15/AC.1/201</w:t>
    </w:r>
    <w:r>
      <w:t>5</w:t>
    </w:r>
    <w:r w:rsidRPr="009D2A5B">
      <w:t>/</w:t>
    </w:r>
    <w:r>
      <w:t>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69082D"/>
    <w:multiLevelType w:val="hybridMultilevel"/>
    <w:tmpl w:val="A3C668B6"/>
    <w:lvl w:ilvl="0" w:tplc="0409000F">
      <w:start w:val="1"/>
      <w:numFmt w:val="decimal"/>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1"/>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7E97"/>
    <w:rsid w:val="00072C8C"/>
    <w:rsid w:val="000733B5"/>
    <w:rsid w:val="00081815"/>
    <w:rsid w:val="000931C0"/>
    <w:rsid w:val="000B022F"/>
    <w:rsid w:val="000B0595"/>
    <w:rsid w:val="000B175B"/>
    <w:rsid w:val="000B3A0F"/>
    <w:rsid w:val="000B4EF7"/>
    <w:rsid w:val="000C2C03"/>
    <w:rsid w:val="000C2D2E"/>
    <w:rsid w:val="000C4D51"/>
    <w:rsid w:val="000C5682"/>
    <w:rsid w:val="000E0415"/>
    <w:rsid w:val="000E157A"/>
    <w:rsid w:val="0010703B"/>
    <w:rsid w:val="001103AA"/>
    <w:rsid w:val="0011666B"/>
    <w:rsid w:val="00155068"/>
    <w:rsid w:val="00165557"/>
    <w:rsid w:val="00165F3A"/>
    <w:rsid w:val="00186147"/>
    <w:rsid w:val="00197ED7"/>
    <w:rsid w:val="001A0711"/>
    <w:rsid w:val="001B13A5"/>
    <w:rsid w:val="001B4B04"/>
    <w:rsid w:val="001C6663"/>
    <w:rsid w:val="001C7895"/>
    <w:rsid w:val="001D0C8C"/>
    <w:rsid w:val="001D1419"/>
    <w:rsid w:val="001D26DF"/>
    <w:rsid w:val="001D3A03"/>
    <w:rsid w:val="001D7F46"/>
    <w:rsid w:val="001E0B9E"/>
    <w:rsid w:val="001E2674"/>
    <w:rsid w:val="001E7B67"/>
    <w:rsid w:val="001F7435"/>
    <w:rsid w:val="00202DA8"/>
    <w:rsid w:val="002042CE"/>
    <w:rsid w:val="0021157B"/>
    <w:rsid w:val="00211E0B"/>
    <w:rsid w:val="00216E14"/>
    <w:rsid w:val="00234112"/>
    <w:rsid w:val="00267F5F"/>
    <w:rsid w:val="00277D27"/>
    <w:rsid w:val="00283A44"/>
    <w:rsid w:val="00286B4D"/>
    <w:rsid w:val="00295F09"/>
    <w:rsid w:val="002A603B"/>
    <w:rsid w:val="002A7B83"/>
    <w:rsid w:val="002D4643"/>
    <w:rsid w:val="002D4B6C"/>
    <w:rsid w:val="002F175C"/>
    <w:rsid w:val="002F53D7"/>
    <w:rsid w:val="00302E18"/>
    <w:rsid w:val="00322290"/>
    <w:rsid w:val="003229D8"/>
    <w:rsid w:val="00325F38"/>
    <w:rsid w:val="00352709"/>
    <w:rsid w:val="00371178"/>
    <w:rsid w:val="003870A1"/>
    <w:rsid w:val="003A6810"/>
    <w:rsid w:val="003C2CC4"/>
    <w:rsid w:val="003D4B23"/>
    <w:rsid w:val="003F1E6A"/>
    <w:rsid w:val="003F4266"/>
    <w:rsid w:val="003F6047"/>
    <w:rsid w:val="004059B4"/>
    <w:rsid w:val="00410C89"/>
    <w:rsid w:val="00422E03"/>
    <w:rsid w:val="00426B9B"/>
    <w:rsid w:val="004325CB"/>
    <w:rsid w:val="00434071"/>
    <w:rsid w:val="00442A83"/>
    <w:rsid w:val="0045495B"/>
    <w:rsid w:val="004808D3"/>
    <w:rsid w:val="0048397A"/>
    <w:rsid w:val="004A12F2"/>
    <w:rsid w:val="004A5B30"/>
    <w:rsid w:val="004C2461"/>
    <w:rsid w:val="004C7462"/>
    <w:rsid w:val="004D4E04"/>
    <w:rsid w:val="004D5426"/>
    <w:rsid w:val="004E0C05"/>
    <w:rsid w:val="004E77B2"/>
    <w:rsid w:val="004F43DB"/>
    <w:rsid w:val="00503DEB"/>
    <w:rsid w:val="00504B2D"/>
    <w:rsid w:val="0052136D"/>
    <w:rsid w:val="00522B58"/>
    <w:rsid w:val="0052775E"/>
    <w:rsid w:val="00535C90"/>
    <w:rsid w:val="005420F2"/>
    <w:rsid w:val="00546993"/>
    <w:rsid w:val="00550D3B"/>
    <w:rsid w:val="005628B6"/>
    <w:rsid w:val="005A575C"/>
    <w:rsid w:val="005B008A"/>
    <w:rsid w:val="005B3DB3"/>
    <w:rsid w:val="005B4E13"/>
    <w:rsid w:val="005D68D6"/>
    <w:rsid w:val="005E6A77"/>
    <w:rsid w:val="005F7B75"/>
    <w:rsid w:val="006001EE"/>
    <w:rsid w:val="00605042"/>
    <w:rsid w:val="00611FC4"/>
    <w:rsid w:val="006176FB"/>
    <w:rsid w:val="00640B26"/>
    <w:rsid w:val="00646FA2"/>
    <w:rsid w:val="006520EB"/>
    <w:rsid w:val="00652D0A"/>
    <w:rsid w:val="006563A7"/>
    <w:rsid w:val="006623D5"/>
    <w:rsid w:val="00662BB6"/>
    <w:rsid w:val="00667F8F"/>
    <w:rsid w:val="00684C21"/>
    <w:rsid w:val="00684CD4"/>
    <w:rsid w:val="0069232B"/>
    <w:rsid w:val="00692BD5"/>
    <w:rsid w:val="00697A0B"/>
    <w:rsid w:val="006A2530"/>
    <w:rsid w:val="006C3589"/>
    <w:rsid w:val="006D37AF"/>
    <w:rsid w:val="006D51D0"/>
    <w:rsid w:val="006E1355"/>
    <w:rsid w:val="006E564B"/>
    <w:rsid w:val="006E7191"/>
    <w:rsid w:val="006F099B"/>
    <w:rsid w:val="00703577"/>
    <w:rsid w:val="00705894"/>
    <w:rsid w:val="0072632A"/>
    <w:rsid w:val="00731FF0"/>
    <w:rsid w:val="007327D5"/>
    <w:rsid w:val="00735BA5"/>
    <w:rsid w:val="00754ED8"/>
    <w:rsid w:val="00755AA7"/>
    <w:rsid w:val="007611CF"/>
    <w:rsid w:val="007629C8"/>
    <w:rsid w:val="0077047D"/>
    <w:rsid w:val="00774CE6"/>
    <w:rsid w:val="007B5050"/>
    <w:rsid w:val="007B6BA5"/>
    <w:rsid w:val="007C3390"/>
    <w:rsid w:val="007C4F4B"/>
    <w:rsid w:val="007E01E9"/>
    <w:rsid w:val="007E63F3"/>
    <w:rsid w:val="007F6611"/>
    <w:rsid w:val="007F7106"/>
    <w:rsid w:val="00811920"/>
    <w:rsid w:val="00815AD0"/>
    <w:rsid w:val="00823CDF"/>
    <w:rsid w:val="008242D7"/>
    <w:rsid w:val="008257B1"/>
    <w:rsid w:val="00843767"/>
    <w:rsid w:val="008521A5"/>
    <w:rsid w:val="008527BD"/>
    <w:rsid w:val="008615CE"/>
    <w:rsid w:val="008679D9"/>
    <w:rsid w:val="00871389"/>
    <w:rsid w:val="00883999"/>
    <w:rsid w:val="008878DE"/>
    <w:rsid w:val="008979B1"/>
    <w:rsid w:val="008A6B25"/>
    <w:rsid w:val="008A6C4F"/>
    <w:rsid w:val="008B2335"/>
    <w:rsid w:val="008B717B"/>
    <w:rsid w:val="008E0678"/>
    <w:rsid w:val="008E3E0A"/>
    <w:rsid w:val="008F6495"/>
    <w:rsid w:val="009223CA"/>
    <w:rsid w:val="00926670"/>
    <w:rsid w:val="0093125B"/>
    <w:rsid w:val="00931ADF"/>
    <w:rsid w:val="00940F93"/>
    <w:rsid w:val="0094558F"/>
    <w:rsid w:val="00957E03"/>
    <w:rsid w:val="00961690"/>
    <w:rsid w:val="00967B33"/>
    <w:rsid w:val="009760F3"/>
    <w:rsid w:val="009A0E8D"/>
    <w:rsid w:val="009B1518"/>
    <w:rsid w:val="009B26E7"/>
    <w:rsid w:val="009B6669"/>
    <w:rsid w:val="009C454F"/>
    <w:rsid w:val="009D2A5B"/>
    <w:rsid w:val="009D7FA4"/>
    <w:rsid w:val="009E3DD7"/>
    <w:rsid w:val="00A00A3F"/>
    <w:rsid w:val="00A01489"/>
    <w:rsid w:val="00A15624"/>
    <w:rsid w:val="00A16E58"/>
    <w:rsid w:val="00A17C04"/>
    <w:rsid w:val="00A23D32"/>
    <w:rsid w:val="00A3009E"/>
    <w:rsid w:val="00A3026E"/>
    <w:rsid w:val="00A338F1"/>
    <w:rsid w:val="00A44B17"/>
    <w:rsid w:val="00A72F22"/>
    <w:rsid w:val="00A7360F"/>
    <w:rsid w:val="00A748A6"/>
    <w:rsid w:val="00A769F4"/>
    <w:rsid w:val="00A776B4"/>
    <w:rsid w:val="00A8479D"/>
    <w:rsid w:val="00A94361"/>
    <w:rsid w:val="00A943BA"/>
    <w:rsid w:val="00AA189A"/>
    <w:rsid w:val="00AA293C"/>
    <w:rsid w:val="00AC4E7D"/>
    <w:rsid w:val="00AF0BF8"/>
    <w:rsid w:val="00AF26BE"/>
    <w:rsid w:val="00B03211"/>
    <w:rsid w:val="00B11BB4"/>
    <w:rsid w:val="00B22BC2"/>
    <w:rsid w:val="00B30179"/>
    <w:rsid w:val="00B421C1"/>
    <w:rsid w:val="00B55C71"/>
    <w:rsid w:val="00B56E4A"/>
    <w:rsid w:val="00B56E9C"/>
    <w:rsid w:val="00B61320"/>
    <w:rsid w:val="00B618C4"/>
    <w:rsid w:val="00B64B1F"/>
    <w:rsid w:val="00B6553F"/>
    <w:rsid w:val="00B70F1E"/>
    <w:rsid w:val="00B77D05"/>
    <w:rsid w:val="00B81206"/>
    <w:rsid w:val="00B81E12"/>
    <w:rsid w:val="00B914A6"/>
    <w:rsid w:val="00BA7CCE"/>
    <w:rsid w:val="00BB7CD1"/>
    <w:rsid w:val="00BC3FA0"/>
    <w:rsid w:val="00BC74E9"/>
    <w:rsid w:val="00BF68A8"/>
    <w:rsid w:val="00C10FE6"/>
    <w:rsid w:val="00C11A03"/>
    <w:rsid w:val="00C15BF3"/>
    <w:rsid w:val="00C22C0C"/>
    <w:rsid w:val="00C30C61"/>
    <w:rsid w:val="00C4527F"/>
    <w:rsid w:val="00C463DD"/>
    <w:rsid w:val="00C4724C"/>
    <w:rsid w:val="00C629A0"/>
    <w:rsid w:val="00C64629"/>
    <w:rsid w:val="00C745C3"/>
    <w:rsid w:val="00C76F8B"/>
    <w:rsid w:val="00CA6342"/>
    <w:rsid w:val="00CB3E03"/>
    <w:rsid w:val="00CD5E14"/>
    <w:rsid w:val="00CE4A8F"/>
    <w:rsid w:val="00CF79FB"/>
    <w:rsid w:val="00D2031B"/>
    <w:rsid w:val="00D25FE2"/>
    <w:rsid w:val="00D43252"/>
    <w:rsid w:val="00D47EEA"/>
    <w:rsid w:val="00D50827"/>
    <w:rsid w:val="00D550D4"/>
    <w:rsid w:val="00D6338C"/>
    <w:rsid w:val="00D773DF"/>
    <w:rsid w:val="00D85770"/>
    <w:rsid w:val="00D85A0E"/>
    <w:rsid w:val="00D872AC"/>
    <w:rsid w:val="00D9255F"/>
    <w:rsid w:val="00D95303"/>
    <w:rsid w:val="00D978C6"/>
    <w:rsid w:val="00DA3C1C"/>
    <w:rsid w:val="00DB2651"/>
    <w:rsid w:val="00DE00EC"/>
    <w:rsid w:val="00E0182A"/>
    <w:rsid w:val="00E046DF"/>
    <w:rsid w:val="00E05B49"/>
    <w:rsid w:val="00E109E1"/>
    <w:rsid w:val="00E113B1"/>
    <w:rsid w:val="00E15051"/>
    <w:rsid w:val="00E15557"/>
    <w:rsid w:val="00E240D2"/>
    <w:rsid w:val="00E27346"/>
    <w:rsid w:val="00E314A5"/>
    <w:rsid w:val="00E3152E"/>
    <w:rsid w:val="00E31B24"/>
    <w:rsid w:val="00E4347F"/>
    <w:rsid w:val="00E71610"/>
    <w:rsid w:val="00E71BC8"/>
    <w:rsid w:val="00E7260F"/>
    <w:rsid w:val="00E73F5D"/>
    <w:rsid w:val="00E77E4E"/>
    <w:rsid w:val="00E80673"/>
    <w:rsid w:val="00E96630"/>
    <w:rsid w:val="00EC106A"/>
    <w:rsid w:val="00ED2C3B"/>
    <w:rsid w:val="00ED7A2A"/>
    <w:rsid w:val="00EE6B3A"/>
    <w:rsid w:val="00EF1D7F"/>
    <w:rsid w:val="00F2394E"/>
    <w:rsid w:val="00F31E5F"/>
    <w:rsid w:val="00F32BB7"/>
    <w:rsid w:val="00F412DE"/>
    <w:rsid w:val="00F6100A"/>
    <w:rsid w:val="00F63C9D"/>
    <w:rsid w:val="00F641EC"/>
    <w:rsid w:val="00F66565"/>
    <w:rsid w:val="00F75A16"/>
    <w:rsid w:val="00F83FF8"/>
    <w:rsid w:val="00F93781"/>
    <w:rsid w:val="00FA57B8"/>
    <w:rsid w:val="00FB613B"/>
    <w:rsid w:val="00FC68B7"/>
    <w:rsid w:val="00FE0150"/>
    <w:rsid w:val="00FE106A"/>
    <w:rsid w:val="00FE175E"/>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locked/>
    <w:rsid w:val="00186147"/>
    <w:rPr>
      <w:b/>
      <w:sz w:val="28"/>
      <w:lang w:eastAsia="en-US"/>
    </w:rPr>
  </w:style>
  <w:style w:type="character" w:customStyle="1" w:styleId="SingleTxtGChar">
    <w:name w:val="_ Single Txt_G Char"/>
    <w:link w:val="SingleTxtG"/>
    <w:rsid w:val="00186147"/>
    <w:rPr>
      <w:lang w:eastAsia="en-US"/>
    </w:rPr>
  </w:style>
  <w:style w:type="paragraph" w:customStyle="1" w:styleId="Default">
    <w:name w:val="Default"/>
    <w:rsid w:val="00186147"/>
    <w:pPr>
      <w:widowControl w:val="0"/>
      <w:autoSpaceDE w:val="0"/>
      <w:autoSpaceDN w:val="0"/>
      <w:adjustRightInd w:val="0"/>
    </w:pPr>
    <w:rPr>
      <w:color w:val="000000"/>
      <w:sz w:val="24"/>
      <w:szCs w:val="24"/>
      <w:lang w:val="en-US" w:eastAsia="en-US"/>
    </w:rPr>
  </w:style>
  <w:style w:type="paragraph" w:styleId="CommentSubject">
    <w:name w:val="annotation subject"/>
    <w:basedOn w:val="CommentText"/>
    <w:next w:val="CommentText"/>
    <w:link w:val="CommentSubjectChar"/>
    <w:rsid w:val="0010703B"/>
    <w:rPr>
      <w:b/>
      <w:bCs/>
    </w:rPr>
  </w:style>
  <w:style w:type="character" w:customStyle="1" w:styleId="CommentTextChar">
    <w:name w:val="Comment Text Char"/>
    <w:link w:val="CommentText"/>
    <w:semiHidden/>
    <w:rsid w:val="0010703B"/>
    <w:rPr>
      <w:lang w:val="en-GB" w:eastAsia="en-US"/>
    </w:rPr>
  </w:style>
  <w:style w:type="character" w:customStyle="1" w:styleId="CommentSubjectChar">
    <w:name w:val="Comment Subject Char"/>
    <w:basedOn w:val="CommentTextChar"/>
    <w:link w:val="CommentSubject"/>
    <w:rsid w:val="0010703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locked/>
    <w:rsid w:val="00186147"/>
    <w:rPr>
      <w:b/>
      <w:sz w:val="28"/>
      <w:lang w:eastAsia="en-US"/>
    </w:rPr>
  </w:style>
  <w:style w:type="character" w:customStyle="1" w:styleId="SingleTxtGChar">
    <w:name w:val="_ Single Txt_G Char"/>
    <w:link w:val="SingleTxtG"/>
    <w:rsid w:val="00186147"/>
    <w:rPr>
      <w:lang w:eastAsia="en-US"/>
    </w:rPr>
  </w:style>
  <w:style w:type="paragraph" w:customStyle="1" w:styleId="Default">
    <w:name w:val="Default"/>
    <w:rsid w:val="00186147"/>
    <w:pPr>
      <w:widowControl w:val="0"/>
      <w:autoSpaceDE w:val="0"/>
      <w:autoSpaceDN w:val="0"/>
      <w:adjustRightInd w:val="0"/>
    </w:pPr>
    <w:rPr>
      <w:color w:val="000000"/>
      <w:sz w:val="24"/>
      <w:szCs w:val="24"/>
      <w:lang w:val="en-US" w:eastAsia="en-US"/>
    </w:rPr>
  </w:style>
  <w:style w:type="paragraph" w:styleId="CommentSubject">
    <w:name w:val="annotation subject"/>
    <w:basedOn w:val="CommentText"/>
    <w:next w:val="CommentText"/>
    <w:link w:val="CommentSubjectChar"/>
    <w:rsid w:val="0010703B"/>
    <w:rPr>
      <w:b/>
      <w:bCs/>
    </w:rPr>
  </w:style>
  <w:style w:type="character" w:customStyle="1" w:styleId="CommentTextChar">
    <w:name w:val="Comment Text Char"/>
    <w:link w:val="CommentText"/>
    <w:semiHidden/>
    <w:rsid w:val="0010703B"/>
    <w:rPr>
      <w:lang w:val="en-GB" w:eastAsia="en-US"/>
    </w:rPr>
  </w:style>
  <w:style w:type="character" w:customStyle="1" w:styleId="CommentSubjectChar">
    <w:name w:val="Comment Subject Char"/>
    <w:basedOn w:val="CommentTextChar"/>
    <w:link w:val="CommentSubject"/>
    <w:rsid w:val="0010703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1427</Words>
  <Characters>7365</Characters>
  <Application>Microsoft Office Word</Application>
  <DocSecurity>0</DocSecurity>
  <Lines>160</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1126259</vt:lpstr>
      <vt:lpstr>1126259</vt:lpstr>
    </vt:vector>
  </TitlesOfParts>
  <Company>CSD</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15</cp:revision>
  <cp:lastPrinted>2015-06-26T08:53:00Z</cp:lastPrinted>
  <dcterms:created xsi:type="dcterms:W3CDTF">2015-06-22T14:18:00Z</dcterms:created>
  <dcterms:modified xsi:type="dcterms:W3CDTF">2015-06-26T08:54:00Z</dcterms:modified>
</cp:coreProperties>
</file>