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A05C20" w:rsidRDefault="00F36909" w:rsidP="0005507A">
            <w:pPr>
              <w:jc w:val="right"/>
              <w:rPr>
                <w:b/>
                <w:sz w:val="28"/>
                <w:szCs w:val="28"/>
              </w:rPr>
            </w:pPr>
            <w:r w:rsidRPr="00A05C20">
              <w:rPr>
                <w:b/>
                <w:sz w:val="28"/>
                <w:szCs w:val="28"/>
              </w:rPr>
              <w:t>INF.</w:t>
            </w:r>
            <w:r w:rsidR="0048606E" w:rsidRPr="00A05C20">
              <w:rPr>
                <w:b/>
                <w:sz w:val="28"/>
                <w:szCs w:val="28"/>
              </w:rPr>
              <w:t>2</w:t>
            </w:r>
            <w:r w:rsidR="0005507A">
              <w:rPr>
                <w:b/>
                <w:sz w:val="28"/>
                <w:szCs w:val="28"/>
              </w:rPr>
              <w:t>4</w:t>
            </w:r>
            <w:r w:rsidRPr="00A05C20">
              <w:rPr>
                <w:b/>
                <w:sz w:val="28"/>
                <w:szCs w:val="28"/>
              </w:rPr>
              <w:t xml:space="preserve"> </w:t>
            </w:r>
          </w:p>
        </w:tc>
      </w:tr>
    </w:tbl>
    <w:p w:rsidR="00910A02" w:rsidRDefault="00910A02" w:rsidP="00910A02">
      <w:pPr>
        <w:pStyle w:val="H1"/>
        <w:spacing w:after="120"/>
        <w:rPr>
          <w:sz w:val="28"/>
        </w:rPr>
      </w:pPr>
      <w:r>
        <w:rPr>
          <w:sz w:val="28"/>
        </w:rPr>
        <w:t>Commission économique pour l’Europe</w:t>
      </w:r>
    </w:p>
    <w:p w:rsidR="00910A02" w:rsidRDefault="00910A02" w:rsidP="00910A02">
      <w:pPr>
        <w:pStyle w:val="H1"/>
        <w:spacing w:after="120" w:line="300" w:lineRule="exact"/>
        <w:rPr>
          <w:b w:val="0"/>
          <w:sz w:val="28"/>
        </w:rPr>
      </w:pPr>
      <w:r>
        <w:rPr>
          <w:b w:val="0"/>
          <w:sz w:val="28"/>
        </w:rPr>
        <w:t>Comité des transports intérieurs</w:t>
      </w:r>
    </w:p>
    <w:p w:rsidR="00910A02" w:rsidRDefault="00910A02" w:rsidP="00910A0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0066F">
        <w:rPr>
          <w:lang w:val="fr-FR"/>
        </w:rPr>
        <w:t xml:space="preserve">Groupe de travail des transports </w:t>
      </w:r>
      <w:r>
        <w:rPr>
          <w:lang w:val="fr-FR"/>
        </w:rPr>
        <w:br/>
      </w:r>
      <w:r w:rsidRPr="0030066F">
        <w:rPr>
          <w:lang w:val="fr-FR"/>
        </w:rPr>
        <w:t>de marchandises dangereuses</w:t>
      </w:r>
    </w:p>
    <w:p w:rsidR="00910A02" w:rsidRPr="0030066F" w:rsidRDefault="00910A02" w:rsidP="00910A02">
      <w:pPr>
        <w:spacing w:line="120" w:lineRule="exact"/>
        <w:rPr>
          <w:sz w:val="10"/>
          <w:lang w:val="fr-FR"/>
        </w:rPr>
      </w:pPr>
    </w:p>
    <w:p w:rsidR="00910A02" w:rsidRPr="0030066F" w:rsidRDefault="00910A02" w:rsidP="00910A0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0066F">
        <w:rPr>
          <w:lang w:val="fr-FR"/>
        </w:rPr>
        <w:t>Quatre-vingt-dix-neuvième session</w:t>
      </w:r>
      <w:r w:rsidR="00E47C46">
        <w:rPr>
          <w:lang w:val="fr-FR"/>
        </w:rPr>
        <w:tab/>
      </w:r>
      <w:r w:rsidR="00E47C46">
        <w:rPr>
          <w:lang w:val="fr-FR"/>
        </w:rPr>
        <w:tab/>
      </w:r>
      <w:r w:rsidR="00E47C46">
        <w:rPr>
          <w:lang w:val="fr-FR"/>
        </w:rPr>
        <w:tab/>
      </w:r>
      <w:r w:rsidR="00E47C46">
        <w:rPr>
          <w:lang w:val="fr-FR"/>
        </w:rPr>
        <w:tab/>
      </w:r>
      <w:r w:rsidR="00E47C46">
        <w:rPr>
          <w:lang w:val="fr-FR"/>
        </w:rPr>
        <w:tab/>
      </w:r>
      <w:r w:rsidR="00E47C46">
        <w:rPr>
          <w:lang w:val="fr-FR"/>
        </w:rPr>
        <w:tab/>
      </w:r>
      <w:r w:rsidR="00E47C46">
        <w:rPr>
          <w:lang w:val="fr-FR"/>
        </w:rPr>
        <w:tab/>
      </w:r>
      <w:r w:rsidR="00E47C46">
        <w:rPr>
          <w:bCs/>
        </w:rPr>
        <w:t xml:space="preserve">12 </w:t>
      </w:r>
      <w:r w:rsidR="0038334A">
        <w:rPr>
          <w:bCs/>
        </w:rPr>
        <w:t>n</w:t>
      </w:r>
      <w:bookmarkStart w:id="0" w:name="_GoBack"/>
      <w:bookmarkEnd w:id="0"/>
      <w:r w:rsidR="00E47C46">
        <w:rPr>
          <w:bCs/>
        </w:rPr>
        <w:t>ovembre 2015</w:t>
      </w:r>
    </w:p>
    <w:p w:rsidR="00910A02" w:rsidRPr="0030066F" w:rsidRDefault="00910A02" w:rsidP="00910A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Genève, 9-13 </w:t>
      </w:r>
      <w:r w:rsidRPr="0030066F">
        <w:rPr>
          <w:lang w:val="fr-FR"/>
        </w:rPr>
        <w:t>novembre 2015</w:t>
      </w:r>
    </w:p>
    <w:p w:rsidR="00910A02" w:rsidRPr="0030066F" w:rsidRDefault="00DD2EC1" w:rsidP="00910A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Point 6 a</w:t>
      </w:r>
      <w:r w:rsidR="00910A02" w:rsidRPr="0030066F">
        <w:rPr>
          <w:lang w:val="fr-FR"/>
        </w:rPr>
        <w:t>) de l’ordre du jour provisoire</w:t>
      </w:r>
    </w:p>
    <w:p w:rsidR="00DD2EC1" w:rsidRPr="00DD2EC1" w:rsidRDefault="00DD2EC1" w:rsidP="00910A02">
      <w:pPr>
        <w:rPr>
          <w:b/>
          <w:lang w:val="fr-FR"/>
        </w:rPr>
      </w:pPr>
      <w:r w:rsidRPr="00DD2EC1">
        <w:rPr>
          <w:b/>
          <w:lang w:val="fr-FR"/>
        </w:rPr>
        <w:t>Propositions d'amendement aux annexes A et B de l'ADR</w:t>
      </w:r>
      <w:r w:rsidR="00910A02" w:rsidRPr="00DD2EC1">
        <w:rPr>
          <w:b/>
          <w:lang w:val="fr-FR"/>
        </w:rPr>
        <w:t xml:space="preserve">: </w:t>
      </w:r>
    </w:p>
    <w:p w:rsidR="00A05C20" w:rsidRPr="00DD2EC1" w:rsidRDefault="00DD2EC1" w:rsidP="00910A02">
      <w:pPr>
        <w:rPr>
          <w:b/>
          <w:lang w:val="fr-CH"/>
        </w:rPr>
      </w:pPr>
      <w:proofErr w:type="gramStart"/>
      <w:r w:rsidRPr="00DD2EC1">
        <w:rPr>
          <w:b/>
          <w:lang w:val="fr-FR"/>
        </w:rPr>
        <w:t>c</w:t>
      </w:r>
      <w:r w:rsidRPr="00DD2EC1">
        <w:rPr>
          <w:b/>
          <w:lang w:val="fr-FR"/>
        </w:rPr>
        <w:t>onstruction</w:t>
      </w:r>
      <w:proofErr w:type="gramEnd"/>
      <w:r w:rsidRPr="00DD2EC1">
        <w:rPr>
          <w:b/>
          <w:lang w:val="fr-FR"/>
        </w:rPr>
        <w:t xml:space="preserve"> et agrément des véhicules</w:t>
      </w:r>
    </w:p>
    <w:p w:rsidR="00597521" w:rsidRPr="00E47C46" w:rsidRDefault="004F7665" w:rsidP="00597521">
      <w:pPr>
        <w:pStyle w:val="HChG"/>
        <w:rPr>
          <w:lang w:val="fr-FR"/>
        </w:rPr>
      </w:pPr>
      <w:r w:rsidRPr="00DD2EC1">
        <w:rPr>
          <w:lang w:val="fr-CH"/>
        </w:rPr>
        <w:tab/>
      </w:r>
      <w:r w:rsidRPr="00DD2EC1">
        <w:rPr>
          <w:lang w:val="fr-CH"/>
        </w:rPr>
        <w:tab/>
      </w:r>
      <w:r w:rsidR="00E47C46" w:rsidRPr="00E47C46">
        <w:rPr>
          <w:lang w:val="fr-FR"/>
        </w:rPr>
        <w:t>Proposition révisée concernant l'utilisat</w:t>
      </w:r>
      <w:r w:rsidR="00E47C46">
        <w:rPr>
          <w:lang w:val="fr-FR"/>
        </w:rPr>
        <w:t>ion</w:t>
      </w:r>
      <w:r w:rsidR="00E47C46" w:rsidRPr="00E47C46">
        <w:rPr>
          <w:lang w:val="fr-FR"/>
        </w:rPr>
        <w:t xml:space="preserve"> des GNL, GNC et GPL</w:t>
      </w:r>
      <w:r w:rsidR="002620DF" w:rsidRPr="00E47C46">
        <w:rPr>
          <w:lang w:val="fr-FR"/>
        </w:rPr>
        <w:t xml:space="preserve"> </w:t>
      </w:r>
    </w:p>
    <w:p w:rsidR="00E47C46" w:rsidRPr="00CB3A8D" w:rsidRDefault="00E47C46" w:rsidP="00E47C46">
      <w:pPr>
        <w:tabs>
          <w:tab w:val="left" w:pos="1985"/>
        </w:tabs>
        <w:spacing w:after="120"/>
        <w:ind w:left="1134" w:right="1134"/>
        <w:jc w:val="both"/>
        <w:rPr>
          <w:lang w:val="fr-FR"/>
        </w:rPr>
      </w:pPr>
      <w:r w:rsidRPr="00CB3A8D">
        <w:rPr>
          <w:lang w:val="fr-FR"/>
        </w:rPr>
        <w:t xml:space="preserve">1.1.3.2 a) </w:t>
      </w:r>
      <w:r w:rsidRPr="00CB3A8D">
        <w:rPr>
          <w:lang w:val="fr-FR"/>
        </w:rPr>
        <w:tab/>
        <w:t>Modifier pour lire comme suit:</w:t>
      </w:r>
    </w:p>
    <w:p w:rsidR="00E47C46" w:rsidRPr="00E47C46" w:rsidRDefault="00E47C46" w:rsidP="00E47C46">
      <w:pPr>
        <w:pStyle w:val="SingleTxtG"/>
        <w:rPr>
          <w:lang w:val="fr-FR"/>
        </w:rPr>
      </w:pPr>
      <w:r>
        <w:rPr>
          <w:lang w:val="fr-FR"/>
        </w:rPr>
        <w:t>«</w:t>
      </w:r>
      <w:proofErr w:type="gramStart"/>
      <w:r w:rsidRPr="00CB3A8D">
        <w:rPr>
          <w:lang w:val="fr-FR"/>
        </w:rPr>
        <w:t>a</w:t>
      </w:r>
      <w:proofErr w:type="gramEnd"/>
      <w:r w:rsidRPr="00CB3A8D">
        <w:rPr>
          <w:lang w:val="fr-FR"/>
        </w:rPr>
        <w:t>)</w:t>
      </w:r>
      <w:r w:rsidRPr="00CB3A8D">
        <w:rPr>
          <w:lang w:val="fr-FR"/>
        </w:rPr>
        <w:tab/>
        <w:t xml:space="preserve">des gaz contenus dans les réservoirs </w:t>
      </w:r>
      <w:r>
        <w:rPr>
          <w:lang w:val="fr-FR"/>
        </w:rPr>
        <w:t xml:space="preserve">ou bouteilles </w:t>
      </w:r>
      <w:r w:rsidRPr="00CB3A8D">
        <w:rPr>
          <w:lang w:val="fr-FR"/>
        </w:rPr>
        <w:t xml:space="preserve">d’un véhicule effectuant une opération de transport et qui sont destinés à sa propulsion ou au fonctionnement d’un de ses équipements (frigorifiques par exemple) </w:t>
      </w:r>
      <w:r w:rsidRPr="00E47C46">
        <w:rPr>
          <w:lang w:val="fr-FR"/>
        </w:rPr>
        <w:t>utilisé ou destiné à une utilisation durant le transport.</w:t>
      </w:r>
    </w:p>
    <w:p w:rsidR="00E47C46" w:rsidRPr="00CB3A8D" w:rsidRDefault="00E47C46" w:rsidP="00E47C46">
      <w:pPr>
        <w:pStyle w:val="SingleTxtG"/>
        <w:rPr>
          <w:i/>
          <w:snapToGrid w:val="0"/>
          <w:lang w:val="fr-FR"/>
        </w:rPr>
      </w:pPr>
      <w:r w:rsidRPr="00CB3A8D">
        <w:rPr>
          <w:lang w:val="fr-FR"/>
        </w:rPr>
        <w:tab/>
        <w:t xml:space="preserve">Les gaz peuvent être transportés dans des réservoirs ou des bouteilles fixes, directement reliés au moteur ou à l’équipement auxiliaire ou dans des récipients à pression transportables qui sont conformes aux dispositions réglementaires appropriées.». </w:t>
      </w:r>
    </w:p>
    <w:p w:rsidR="00E47C46" w:rsidRPr="00CB3A8D" w:rsidRDefault="00E47C46" w:rsidP="00E47C46">
      <w:pPr>
        <w:tabs>
          <w:tab w:val="left" w:pos="2410"/>
        </w:tabs>
        <w:spacing w:after="120"/>
        <w:ind w:left="1170" w:right="1134"/>
        <w:jc w:val="both"/>
        <w:rPr>
          <w:i/>
          <w:iCs/>
          <w:snapToGrid w:val="0"/>
          <w:lang w:val="fr-FR"/>
        </w:rPr>
      </w:pPr>
      <w:r w:rsidRPr="00CB3A8D">
        <w:rPr>
          <w:i/>
          <w:iCs/>
          <w:snapToGrid w:val="0"/>
          <w:lang w:val="fr-FR"/>
        </w:rPr>
        <w:t>(Documents de référence: ECE/TRANS/WP.15/2015/17 et document informel INF.15)</w:t>
      </w:r>
    </w:p>
    <w:p w:rsidR="00E47C46" w:rsidRPr="00CB3A8D" w:rsidRDefault="00E47C46" w:rsidP="00E47C46">
      <w:pPr>
        <w:tabs>
          <w:tab w:val="left" w:pos="2410"/>
        </w:tabs>
        <w:spacing w:after="120"/>
        <w:ind w:left="1170" w:right="1134"/>
        <w:jc w:val="both"/>
        <w:rPr>
          <w:snapToGrid w:val="0"/>
          <w:lang w:val="fr-FR"/>
        </w:rPr>
      </w:pPr>
      <w:r w:rsidRPr="00CB3A8D">
        <w:rPr>
          <w:snapToGrid w:val="0"/>
          <w:lang w:val="fr-FR"/>
        </w:rPr>
        <w:t>1.2.1</w:t>
      </w:r>
      <w:r w:rsidRPr="00CB3A8D">
        <w:rPr>
          <w:snapToGrid w:val="0"/>
          <w:lang w:val="fr-FR"/>
        </w:rPr>
        <w:tab/>
      </w:r>
      <w:r>
        <w:rPr>
          <w:snapToGrid w:val="0"/>
          <w:lang w:val="fr-FR"/>
        </w:rPr>
        <w:t>Ajouter les nouvelles définitions suivantes:</w:t>
      </w:r>
    </w:p>
    <w:p w:rsidR="00E47C46" w:rsidRPr="000C5B72" w:rsidRDefault="00E47C46" w:rsidP="00E47C46">
      <w:pPr>
        <w:pStyle w:val="SingleTxt"/>
        <w:tabs>
          <w:tab w:val="clear" w:pos="1267"/>
        </w:tabs>
        <w:ind w:left="1170"/>
        <w:rPr>
          <w:lang w:val="fr-FR"/>
        </w:rPr>
      </w:pPr>
      <w:r w:rsidRPr="000C5B72">
        <w:rPr>
          <w:lang w:val="fr-FR"/>
        </w:rPr>
        <w:t>«</w:t>
      </w:r>
      <w:r w:rsidRPr="000C5B72">
        <w:rPr>
          <w:i/>
          <w:lang w:val="fr-FR"/>
        </w:rPr>
        <w:t>Gaz naturel comprimé (GNC)</w:t>
      </w:r>
      <w:r w:rsidRPr="000C5B72">
        <w:rPr>
          <w:lang w:val="fr-FR"/>
        </w:rPr>
        <w:t xml:space="preserve">», un gaz comprimé composé de gaz naturel à forte teneur en méthane auquel a été attribué le </w:t>
      </w:r>
      <w:r>
        <w:rPr>
          <w:lang w:val="fr-FR"/>
        </w:rPr>
        <w:t>No</w:t>
      </w:r>
      <w:r w:rsidRPr="000C5B72">
        <w:rPr>
          <w:lang w:val="fr-FR"/>
        </w:rPr>
        <w:t xml:space="preserve"> ONU 1971.</w:t>
      </w:r>
    </w:p>
    <w:p w:rsidR="00E47C46" w:rsidRPr="000C5B72" w:rsidRDefault="00E47C46" w:rsidP="00E47C46">
      <w:pPr>
        <w:pStyle w:val="SingleTxt"/>
        <w:tabs>
          <w:tab w:val="clear" w:pos="1267"/>
        </w:tabs>
        <w:ind w:left="1170"/>
        <w:rPr>
          <w:lang w:val="fr-FR"/>
        </w:rPr>
      </w:pPr>
      <w:r w:rsidRPr="000C5B72">
        <w:rPr>
          <w:lang w:val="fr-FR"/>
        </w:rPr>
        <w:t>«</w:t>
      </w:r>
      <w:r w:rsidRPr="000C5B72">
        <w:rPr>
          <w:i/>
          <w:lang w:val="fr-FR"/>
        </w:rPr>
        <w:t>Gaz naturel liquéfié (GNL)</w:t>
      </w:r>
      <w:r w:rsidRPr="000C5B72">
        <w:rPr>
          <w:lang w:val="fr-FR"/>
        </w:rPr>
        <w:t xml:space="preserve">», un gaz mis sous forme liquide par réfrigération composé de gaz naturel à forte teneur en méthane auquel a été attribué le </w:t>
      </w:r>
      <w:r>
        <w:rPr>
          <w:lang w:val="fr-FR"/>
        </w:rPr>
        <w:t>No</w:t>
      </w:r>
      <w:r w:rsidRPr="000C5B72">
        <w:rPr>
          <w:lang w:val="fr-FR"/>
        </w:rPr>
        <w:t> ONU 1972.</w:t>
      </w:r>
    </w:p>
    <w:p w:rsidR="00E47C46" w:rsidRPr="00CB3A8D" w:rsidRDefault="00E47C46" w:rsidP="00E47C46">
      <w:pPr>
        <w:tabs>
          <w:tab w:val="left" w:pos="2410"/>
        </w:tabs>
        <w:spacing w:after="120"/>
        <w:ind w:left="1170" w:right="1134"/>
        <w:jc w:val="both"/>
        <w:rPr>
          <w:i/>
          <w:iCs/>
          <w:snapToGrid w:val="0"/>
          <w:lang w:val="fr-FR"/>
        </w:rPr>
      </w:pPr>
      <w:r w:rsidRPr="00CB3A8D">
        <w:rPr>
          <w:i/>
          <w:iCs/>
          <w:snapToGrid w:val="0"/>
          <w:lang w:val="fr-FR"/>
        </w:rPr>
        <w:t>(</w:t>
      </w:r>
      <w:r>
        <w:rPr>
          <w:i/>
          <w:iCs/>
          <w:snapToGrid w:val="0"/>
          <w:lang w:val="fr-FR"/>
        </w:rPr>
        <w:t>D</w:t>
      </w:r>
      <w:r w:rsidRPr="00CB3A8D">
        <w:rPr>
          <w:i/>
          <w:iCs/>
          <w:snapToGrid w:val="0"/>
          <w:lang w:val="fr-FR"/>
        </w:rPr>
        <w:t>ocument</w:t>
      </w:r>
      <w:r>
        <w:rPr>
          <w:i/>
          <w:iCs/>
          <w:snapToGrid w:val="0"/>
          <w:lang w:val="fr-FR"/>
        </w:rPr>
        <w:t xml:space="preserve"> de référence</w:t>
      </w:r>
      <w:r w:rsidRPr="00CB3A8D">
        <w:rPr>
          <w:i/>
          <w:iCs/>
          <w:snapToGrid w:val="0"/>
          <w:lang w:val="fr-FR"/>
        </w:rPr>
        <w:t>: ECE/TRANS/WP.15/2015/16)</w:t>
      </w:r>
    </w:p>
    <w:p w:rsidR="00E47C46" w:rsidRDefault="00E47C46" w:rsidP="00E47C46">
      <w:pPr>
        <w:pStyle w:val="SingleTxtG"/>
        <w:rPr>
          <w:lang w:val="fr-FR"/>
        </w:rPr>
      </w:pPr>
      <w:r w:rsidRPr="00CB3A8D">
        <w:rPr>
          <w:lang w:val="fr-FR"/>
        </w:rPr>
        <w:t xml:space="preserve">9.2.4.3 </w:t>
      </w:r>
      <w:r w:rsidRPr="00CB3A8D">
        <w:rPr>
          <w:lang w:val="fr-FR"/>
        </w:rPr>
        <w:tab/>
        <w:t>Modifier pour lire comme suit:</w:t>
      </w:r>
    </w:p>
    <w:p w:rsidR="00E47C46" w:rsidRDefault="00E47C46" w:rsidP="00E47C46">
      <w:pPr>
        <w:pStyle w:val="SingleTxtG"/>
        <w:rPr>
          <w:lang w:val="fr-FR"/>
        </w:rPr>
      </w:pPr>
      <w:r>
        <w:rPr>
          <w:lang w:val="fr-FR"/>
        </w:rPr>
        <w:t>«</w:t>
      </w:r>
      <w:r w:rsidRPr="000C5B72">
        <w:rPr>
          <w:b/>
          <w:lang w:val="fr-FR"/>
        </w:rPr>
        <w:t>9.2.4.3</w:t>
      </w:r>
      <w:r w:rsidRPr="000C5B72">
        <w:rPr>
          <w:b/>
          <w:lang w:val="fr-FR"/>
        </w:rPr>
        <w:tab/>
      </w:r>
      <w:r w:rsidRPr="000C5B72">
        <w:rPr>
          <w:b/>
          <w:i/>
          <w:lang w:val="fr-FR"/>
        </w:rPr>
        <w:t>Réservoirs et bouteilles de carburant</w:t>
      </w:r>
    </w:p>
    <w:p w:rsidR="00E47C46" w:rsidRPr="00247542" w:rsidRDefault="00E47C46" w:rsidP="00E47C46">
      <w:pPr>
        <w:pStyle w:val="SingleTxtG"/>
        <w:rPr>
          <w:lang w:val="fr-FR"/>
        </w:rPr>
      </w:pPr>
      <w:r w:rsidRPr="00247542">
        <w:rPr>
          <w:lang w:val="fr-FR"/>
        </w:rPr>
        <w:t xml:space="preserve">Les </w:t>
      </w:r>
      <w:r w:rsidRPr="00BB4917">
        <w:rPr>
          <w:lang w:val="fr-FR"/>
        </w:rPr>
        <w:t>réservoirs et bouteilles</w:t>
      </w:r>
      <w:r w:rsidRPr="00247542">
        <w:rPr>
          <w:lang w:val="fr-FR"/>
        </w:rPr>
        <w:t xml:space="preserve"> de carburant pour l’alimentation du moteur du véhicule doivent répondre aux prescriptions suivantes</w:t>
      </w:r>
      <w:r>
        <w:rPr>
          <w:lang w:val="fr-FR"/>
        </w:rPr>
        <w:t> </w:t>
      </w:r>
      <w:r w:rsidRPr="00247542">
        <w:rPr>
          <w:lang w:val="fr-FR"/>
        </w:rPr>
        <w:t>:</w:t>
      </w:r>
    </w:p>
    <w:p w:rsidR="00E47C46" w:rsidRPr="00247542" w:rsidRDefault="00E47C46" w:rsidP="00E47C46">
      <w:pPr>
        <w:pStyle w:val="SingleTxtG"/>
        <w:rPr>
          <w:lang w:val="fr-FR"/>
        </w:rPr>
      </w:pPr>
      <w:r w:rsidRPr="00247542">
        <w:rPr>
          <w:lang w:val="fr-FR"/>
        </w:rPr>
        <w:t>a)</w:t>
      </w:r>
      <w:r w:rsidRPr="00247542">
        <w:rPr>
          <w:lang w:val="fr-FR"/>
        </w:rPr>
        <w:tab/>
        <w:t xml:space="preserve">En cas de fuite </w:t>
      </w:r>
      <w:r w:rsidRPr="000C5B72">
        <w:rPr>
          <w:lang w:val="fr-FR"/>
        </w:rPr>
        <w:t xml:space="preserve">survenant dans des conditions normales de transport, </w:t>
      </w:r>
      <w:r w:rsidRPr="00247542">
        <w:rPr>
          <w:lang w:val="fr-FR"/>
        </w:rPr>
        <w:t xml:space="preserve">le carburant </w:t>
      </w:r>
      <w:r w:rsidRPr="000C5B72">
        <w:rPr>
          <w:lang w:val="fr-FR"/>
        </w:rPr>
        <w:t>liquide ou la phase liquide d’un carburant gazeux doit s’écouler sur le sol et</w:t>
      </w:r>
      <w:r w:rsidRPr="00247542">
        <w:rPr>
          <w:lang w:val="fr-FR"/>
        </w:rPr>
        <w:t xml:space="preserve"> ne doit pas venir au contact </w:t>
      </w:r>
      <w:r w:rsidRPr="000C5B72">
        <w:rPr>
          <w:lang w:val="fr-FR"/>
        </w:rPr>
        <w:t>du chargement ni</w:t>
      </w:r>
      <w:r w:rsidRPr="00247542">
        <w:rPr>
          <w:lang w:val="fr-FR"/>
        </w:rPr>
        <w:t xml:space="preserve"> de parties chaudes du véhicule;</w:t>
      </w:r>
    </w:p>
    <w:p w:rsidR="00E47C46" w:rsidRPr="00CB3A8D" w:rsidRDefault="00E47C46" w:rsidP="00E47C46">
      <w:pPr>
        <w:tabs>
          <w:tab w:val="left" w:pos="2410"/>
        </w:tabs>
        <w:spacing w:after="120"/>
        <w:ind w:left="1170" w:right="1134"/>
        <w:jc w:val="both"/>
        <w:rPr>
          <w:i/>
          <w:iCs/>
          <w:snapToGrid w:val="0"/>
          <w:lang w:val="fr-FR"/>
        </w:rPr>
      </w:pPr>
      <w:r w:rsidRPr="00CB3A8D">
        <w:rPr>
          <w:i/>
          <w:iCs/>
          <w:snapToGrid w:val="0"/>
          <w:lang w:val="fr-FR"/>
        </w:rPr>
        <w:t>(</w:t>
      </w:r>
      <w:r>
        <w:rPr>
          <w:i/>
          <w:iCs/>
          <w:snapToGrid w:val="0"/>
          <w:lang w:val="fr-FR"/>
        </w:rPr>
        <w:t>D</w:t>
      </w:r>
      <w:r w:rsidRPr="00CB3A8D">
        <w:rPr>
          <w:i/>
          <w:iCs/>
          <w:snapToGrid w:val="0"/>
          <w:lang w:val="fr-FR"/>
        </w:rPr>
        <w:t>ocument</w:t>
      </w:r>
      <w:r>
        <w:rPr>
          <w:i/>
          <w:iCs/>
          <w:snapToGrid w:val="0"/>
          <w:lang w:val="fr-FR"/>
        </w:rPr>
        <w:t xml:space="preserve"> de référence</w:t>
      </w:r>
      <w:r w:rsidRPr="00CB3A8D">
        <w:rPr>
          <w:i/>
          <w:iCs/>
          <w:snapToGrid w:val="0"/>
          <w:lang w:val="fr-FR"/>
        </w:rPr>
        <w:t>: ECE/TRANS/WP.15/2015/16)</w:t>
      </w:r>
    </w:p>
    <w:p w:rsidR="00E47C46" w:rsidRDefault="00E47C46" w:rsidP="00E47C46">
      <w:pPr>
        <w:pStyle w:val="SingleTxtG"/>
        <w:rPr>
          <w:lang w:val="fr-FR"/>
        </w:rPr>
      </w:pPr>
      <w:r w:rsidRPr="00247542">
        <w:rPr>
          <w:lang w:val="fr-FR"/>
        </w:rPr>
        <w:t>b)</w:t>
      </w:r>
      <w:r>
        <w:rPr>
          <w:lang w:val="fr-FR"/>
        </w:rPr>
        <w:tab/>
      </w:r>
      <w:r w:rsidRPr="00247542">
        <w:rPr>
          <w:lang w:val="fr-FR"/>
        </w:rPr>
        <w:t xml:space="preserve">Les réservoirs de carburant pour les combustibles liquides doivent être conformes aux dispositions du Règlement </w:t>
      </w:r>
      <w:r>
        <w:rPr>
          <w:rFonts w:ascii="TimesNewRomanPSMT" w:eastAsiaTheme="minorEastAsia" w:hAnsi="TimesNewRomanPSMT" w:cs="TimesNewRomanPSMT"/>
          <w:lang w:val="fr-FR" w:eastAsia="zh-CN"/>
        </w:rPr>
        <w:t xml:space="preserve">ECE No </w:t>
      </w:r>
      <w:r w:rsidRPr="00247542">
        <w:rPr>
          <w:lang w:val="fr-FR"/>
        </w:rPr>
        <w:t>34</w:t>
      </w:r>
      <w:r>
        <w:rPr>
          <w:vertAlign w:val="superscript"/>
          <w:lang w:val="fr-FR"/>
        </w:rPr>
        <w:t>6</w:t>
      </w:r>
      <w:r w:rsidRPr="00247542">
        <w:rPr>
          <w:lang w:val="fr-FR"/>
        </w:rPr>
        <w:t>; les réservoirs contenant de l’essence doivent être équipés d’un dispositif coupe-flammes efficace s’adaptant à l’orifice de remplissage ou d’un dispositif permettant de maintenir l’orifice de remplissage hermétiquement fermé</w:t>
      </w:r>
      <w:r w:rsidRPr="000C5B72">
        <w:rPr>
          <w:lang w:val="fr-FR"/>
        </w:rPr>
        <w:t>.</w:t>
      </w:r>
      <w:r w:rsidRPr="000C5B72">
        <w:rPr>
          <w:i/>
          <w:lang w:val="fr-FR"/>
        </w:rPr>
        <w:t xml:space="preserve"> </w:t>
      </w:r>
      <w:r w:rsidRPr="000C5B72">
        <w:rPr>
          <w:lang w:val="fr-FR"/>
        </w:rPr>
        <w:t xml:space="preserve">Les réservoirs de GPL et les bouteilles de GNC doivent satisfaire aux prescriptions pertinentes du Règlement </w:t>
      </w:r>
      <w:r>
        <w:rPr>
          <w:rFonts w:ascii="TimesNewRomanPSMT" w:eastAsiaTheme="minorEastAsia" w:hAnsi="TimesNewRomanPSMT" w:cs="TimesNewRomanPSMT"/>
          <w:lang w:val="fr-FR" w:eastAsia="zh-CN"/>
        </w:rPr>
        <w:t xml:space="preserve">ECE No </w:t>
      </w:r>
      <w:r w:rsidRPr="000C5B72">
        <w:rPr>
          <w:lang w:val="fr-FR"/>
        </w:rPr>
        <w:t>110</w:t>
      </w:r>
      <w:r>
        <w:rPr>
          <w:vertAlign w:val="superscript"/>
          <w:lang w:val="fr-FR"/>
        </w:rPr>
        <w:t>7</w:t>
      </w:r>
      <w:r w:rsidRPr="000C5B72">
        <w:rPr>
          <w:lang w:val="fr-FR"/>
        </w:rPr>
        <w:t xml:space="preserve">. Les réservoirs de GPL doivent satisfaire aux prescriptions du Règlement </w:t>
      </w:r>
      <w:r>
        <w:rPr>
          <w:rFonts w:ascii="TimesNewRomanPSMT" w:eastAsiaTheme="minorEastAsia" w:hAnsi="TimesNewRomanPSMT" w:cs="TimesNewRomanPSMT"/>
          <w:lang w:val="fr-FR" w:eastAsia="zh-CN"/>
        </w:rPr>
        <w:t xml:space="preserve">ECE No </w:t>
      </w:r>
      <w:r w:rsidRPr="000C5B72">
        <w:rPr>
          <w:lang w:val="fr-FR"/>
        </w:rPr>
        <w:t>67</w:t>
      </w:r>
      <w:r>
        <w:rPr>
          <w:vertAlign w:val="superscript"/>
          <w:lang w:val="fr-FR"/>
        </w:rPr>
        <w:t>8</w:t>
      </w:r>
      <w:r>
        <w:rPr>
          <w:lang w:val="fr-FR"/>
        </w:rPr>
        <w:t>;</w:t>
      </w:r>
    </w:p>
    <w:p w:rsidR="00E47C46" w:rsidRDefault="00E47C46" w:rsidP="0038334A">
      <w:pPr>
        <w:tabs>
          <w:tab w:val="left" w:pos="2410"/>
        </w:tabs>
        <w:spacing w:after="60"/>
        <w:ind w:left="1168" w:right="1134"/>
        <w:jc w:val="both"/>
        <w:rPr>
          <w:i/>
          <w:iCs/>
          <w:snapToGrid w:val="0"/>
          <w:lang w:val="fr-FR"/>
        </w:rPr>
      </w:pPr>
      <w:r w:rsidRPr="00CB3A8D">
        <w:rPr>
          <w:i/>
          <w:iCs/>
          <w:snapToGrid w:val="0"/>
          <w:lang w:val="fr-FR"/>
        </w:rPr>
        <w:lastRenderedPageBreak/>
        <w:t>(</w:t>
      </w:r>
      <w:r>
        <w:rPr>
          <w:i/>
          <w:iCs/>
          <w:snapToGrid w:val="0"/>
          <w:lang w:val="fr-FR"/>
        </w:rPr>
        <w:t>D</w:t>
      </w:r>
      <w:r w:rsidRPr="00CB3A8D">
        <w:rPr>
          <w:i/>
          <w:iCs/>
          <w:snapToGrid w:val="0"/>
          <w:lang w:val="fr-FR"/>
        </w:rPr>
        <w:t>ocument</w:t>
      </w:r>
      <w:r>
        <w:rPr>
          <w:i/>
          <w:iCs/>
          <w:snapToGrid w:val="0"/>
          <w:lang w:val="fr-FR"/>
        </w:rPr>
        <w:t xml:space="preserve"> de référence</w:t>
      </w:r>
      <w:r w:rsidRPr="00CB3A8D">
        <w:rPr>
          <w:i/>
          <w:iCs/>
          <w:snapToGrid w:val="0"/>
          <w:lang w:val="fr-FR"/>
        </w:rPr>
        <w:t>: ECE/TRANS/WP.15/2015/16</w:t>
      </w:r>
      <w:r>
        <w:rPr>
          <w:i/>
          <w:iCs/>
          <w:snapToGrid w:val="0"/>
          <w:lang w:val="fr-FR"/>
        </w:rPr>
        <w:t xml:space="preserve"> tel que modifié</w:t>
      </w:r>
      <w:r w:rsidRPr="00CB3A8D">
        <w:rPr>
          <w:i/>
          <w:iCs/>
          <w:snapToGrid w:val="0"/>
          <w:lang w:val="fr-FR"/>
        </w:rPr>
        <w:t>)</w:t>
      </w:r>
    </w:p>
    <w:p w:rsidR="00E47C46" w:rsidRPr="007E109E" w:rsidRDefault="00E47C46" w:rsidP="00E47C46">
      <w:pPr>
        <w:tabs>
          <w:tab w:val="left" w:pos="1560"/>
        </w:tabs>
        <w:spacing w:after="120"/>
        <w:ind w:left="1170" w:right="1134"/>
        <w:jc w:val="both"/>
        <w:rPr>
          <w:i/>
          <w:iCs/>
          <w:snapToGrid w:val="0"/>
          <w:lang w:val="fr-FR"/>
        </w:rPr>
      </w:pPr>
      <w:r w:rsidRPr="007E109E">
        <w:rPr>
          <w:snapToGrid w:val="0"/>
          <w:lang w:val="fr-FR"/>
        </w:rPr>
        <w:t>c)</w:t>
      </w:r>
      <w:r w:rsidRPr="007E109E">
        <w:rPr>
          <w:snapToGrid w:val="0"/>
          <w:lang w:val="fr-FR"/>
        </w:rPr>
        <w:tab/>
        <w:t>L’ouverture ou les ouvertures de vidange des dispositifs et/ou soupapes de décompression des réservoirs de carburant contenant des combustibles gazeux doit (doivent) être orientée(s) dans une direction autre que celle des prises d’air, des réservoirs de carburant, du chargement des parties chaudes du véhicule ou du chargement ou de parties chaudes du véhicule. Les tuyaux du circuit de carburant ne doivent pas être fixés sur le réservoir contenant le chargement.</w:t>
      </w:r>
      <w:r>
        <w:rPr>
          <w:snapToGrid w:val="0"/>
          <w:lang w:val="fr-FR"/>
        </w:rPr>
        <w:t>».</w:t>
      </w:r>
    </w:p>
    <w:p w:rsidR="00E47C46" w:rsidRPr="00CB3A8D" w:rsidRDefault="00E47C46" w:rsidP="00E47C46">
      <w:pPr>
        <w:tabs>
          <w:tab w:val="left" w:pos="2410"/>
        </w:tabs>
        <w:spacing w:after="120"/>
        <w:ind w:left="1170" w:right="1134"/>
        <w:jc w:val="both"/>
        <w:rPr>
          <w:i/>
          <w:iCs/>
          <w:snapToGrid w:val="0"/>
          <w:lang w:val="fr-FR"/>
        </w:rPr>
      </w:pPr>
      <w:r w:rsidRPr="00CB3A8D">
        <w:rPr>
          <w:i/>
          <w:iCs/>
          <w:snapToGrid w:val="0"/>
          <w:lang w:val="fr-FR"/>
        </w:rPr>
        <w:t>(</w:t>
      </w:r>
      <w:r>
        <w:rPr>
          <w:i/>
          <w:iCs/>
          <w:snapToGrid w:val="0"/>
          <w:lang w:val="fr-FR"/>
        </w:rPr>
        <w:t>D</w:t>
      </w:r>
      <w:r w:rsidRPr="00CB3A8D">
        <w:rPr>
          <w:i/>
          <w:iCs/>
          <w:snapToGrid w:val="0"/>
          <w:lang w:val="fr-FR"/>
        </w:rPr>
        <w:t>ocument</w:t>
      </w:r>
      <w:r>
        <w:rPr>
          <w:i/>
          <w:iCs/>
          <w:snapToGrid w:val="0"/>
          <w:lang w:val="fr-FR"/>
        </w:rPr>
        <w:t xml:space="preserve"> de référence</w:t>
      </w:r>
      <w:r w:rsidRPr="00CB3A8D">
        <w:rPr>
          <w:i/>
          <w:iCs/>
          <w:snapToGrid w:val="0"/>
          <w:lang w:val="fr-FR"/>
        </w:rPr>
        <w:t>: ECE/TRANS/WP.15/2015/</w:t>
      </w:r>
      <w:r>
        <w:rPr>
          <w:i/>
          <w:iCs/>
          <w:snapToGrid w:val="0"/>
          <w:lang w:val="fr-FR"/>
        </w:rPr>
        <w:t>17 tel que modifié</w:t>
      </w:r>
      <w:r w:rsidRPr="00CB3A8D">
        <w:rPr>
          <w:i/>
          <w:iCs/>
          <w:snapToGrid w:val="0"/>
          <w:lang w:val="fr-FR"/>
        </w:rPr>
        <w:t>)</w:t>
      </w:r>
    </w:p>
    <w:p w:rsidR="00E47C46" w:rsidRDefault="00E47C46" w:rsidP="0038334A">
      <w:pPr>
        <w:pStyle w:val="SingleTxt"/>
        <w:spacing w:after="60"/>
        <w:ind w:left="1264" w:right="1264"/>
        <w:rPr>
          <w:lang w:val="fr-FR"/>
        </w:rPr>
      </w:pPr>
      <w:r>
        <w:rPr>
          <w:lang w:val="fr-FR"/>
        </w:rPr>
        <w:t>9.2.4.4</w:t>
      </w:r>
      <w:r>
        <w:rPr>
          <w:lang w:val="fr-FR"/>
        </w:rPr>
        <w:tab/>
        <w:t>Modifier pour lire comme suit:</w:t>
      </w:r>
    </w:p>
    <w:p w:rsidR="00E47C46" w:rsidRPr="00247542" w:rsidRDefault="00E47C46" w:rsidP="00E47C46">
      <w:pPr>
        <w:pStyle w:val="SingleTxt"/>
        <w:rPr>
          <w:lang w:val="fr-FR"/>
        </w:rPr>
      </w:pPr>
      <w:r>
        <w:rPr>
          <w:lang w:val="fr-FR"/>
        </w:rPr>
        <w:t>«</w:t>
      </w:r>
      <w:r w:rsidRPr="007E109E">
        <w:rPr>
          <w:b/>
          <w:lang w:val="fr-FR"/>
        </w:rPr>
        <w:t>9.2.4.4</w:t>
      </w:r>
      <w:r w:rsidRPr="007E109E">
        <w:rPr>
          <w:b/>
          <w:lang w:val="fr-FR"/>
        </w:rPr>
        <w:tab/>
      </w:r>
      <w:r w:rsidRPr="007E109E">
        <w:rPr>
          <w:b/>
          <w:i/>
          <w:lang w:val="fr-FR"/>
        </w:rPr>
        <w:t>Moteur</w:t>
      </w:r>
    </w:p>
    <w:p w:rsidR="00E47C46" w:rsidRPr="000A79DE" w:rsidRDefault="00E47C46" w:rsidP="00E47C46">
      <w:pPr>
        <w:tabs>
          <w:tab w:val="left" w:pos="1560"/>
        </w:tabs>
        <w:spacing w:after="120"/>
        <w:ind w:left="1170" w:right="1134"/>
        <w:jc w:val="both"/>
        <w:rPr>
          <w:lang w:val="fr-FR"/>
        </w:rPr>
      </w:pPr>
      <w:r w:rsidRPr="000A79DE">
        <w:rPr>
          <w:lang w:val="fr-FR"/>
        </w:rPr>
        <w:t xml:space="preserve">Les moteurs entraînant les véhicules doivent être équipés et placés de façon à éviter tout danger pour le chargement à la suite d’échauffement ou d’inflammation. L’utilisation de GNC, GNL ou GPL comme carburant ne doit être admise que si les organes spéciaux pour le GNC, le GNL et le GPL sont homologués conformément au Règlement </w:t>
      </w:r>
      <w:r w:rsidRPr="000A79DE">
        <w:rPr>
          <w:rFonts w:ascii="TimesNewRomanPSMT" w:eastAsiaTheme="minorEastAsia" w:hAnsi="TimesNewRomanPSMT" w:cs="TimesNewRomanPSMT"/>
          <w:lang w:val="fr-FR" w:eastAsia="zh-CN"/>
        </w:rPr>
        <w:t xml:space="preserve">ECE No </w:t>
      </w:r>
      <w:r w:rsidRPr="000A79DE">
        <w:rPr>
          <w:lang w:val="fr-FR"/>
        </w:rPr>
        <w:t>110</w:t>
      </w:r>
      <w:r w:rsidRPr="000A79DE">
        <w:rPr>
          <w:vertAlign w:val="superscript"/>
          <w:lang w:val="fr-FR"/>
        </w:rPr>
        <w:t>7</w:t>
      </w:r>
      <w:r w:rsidRPr="000A79DE">
        <w:rPr>
          <w:lang w:val="fr-FR"/>
        </w:rPr>
        <w:t xml:space="preserve"> ou au Règlement </w:t>
      </w:r>
      <w:r w:rsidRPr="000A79DE">
        <w:rPr>
          <w:rFonts w:ascii="TimesNewRomanPSMT" w:eastAsiaTheme="minorEastAsia" w:hAnsi="TimesNewRomanPSMT" w:cs="TimesNewRomanPSMT"/>
          <w:lang w:val="fr-FR" w:eastAsia="zh-CN"/>
        </w:rPr>
        <w:t xml:space="preserve">ECE No </w:t>
      </w:r>
      <w:r w:rsidRPr="000A79DE">
        <w:rPr>
          <w:lang w:val="fr-FR"/>
        </w:rPr>
        <w:t>67</w:t>
      </w:r>
      <w:r w:rsidRPr="000A79DE">
        <w:rPr>
          <w:vertAlign w:val="superscript"/>
          <w:lang w:val="fr-FR"/>
        </w:rPr>
        <w:t xml:space="preserve">8 </w:t>
      </w:r>
      <w:r w:rsidRPr="000A79DE">
        <w:rPr>
          <w:lang w:val="fr-FR"/>
        </w:rPr>
        <w:t>et satisfont aux prescriptions du 9.2.2. L’installation sur le véhicule devra être conforme aux prescriptions techniques du 9.2.2 et de ces même Règlement</w:t>
      </w:r>
      <w:r>
        <w:rPr>
          <w:lang w:val="fr-FR"/>
        </w:rPr>
        <w:t>s</w:t>
      </w:r>
      <w:r w:rsidRPr="000A79DE">
        <w:rPr>
          <w:lang w:val="fr-FR"/>
        </w:rPr>
        <w:t>. Dans le cas de véhicules EX/II et EX/III, le moteur doit être à allumage par compression et fonctionner uniquement avec des carburants liquides dont le point d’éclair est supérieur à 55 °C. Les gaz ne doivent pas être utilisés. ».</w:t>
      </w:r>
    </w:p>
    <w:p w:rsidR="00E47C46" w:rsidRDefault="00E47C46" w:rsidP="0038334A">
      <w:pPr>
        <w:tabs>
          <w:tab w:val="left" w:pos="2410"/>
        </w:tabs>
        <w:spacing w:after="60"/>
        <w:ind w:left="1168" w:right="1134"/>
        <w:jc w:val="both"/>
        <w:rPr>
          <w:i/>
          <w:iCs/>
          <w:snapToGrid w:val="0"/>
          <w:lang w:val="fr-FR"/>
        </w:rPr>
      </w:pPr>
      <w:r w:rsidRPr="00CB3A8D">
        <w:rPr>
          <w:i/>
          <w:iCs/>
          <w:snapToGrid w:val="0"/>
          <w:lang w:val="fr-FR"/>
        </w:rPr>
        <w:t>(</w:t>
      </w:r>
      <w:r>
        <w:rPr>
          <w:i/>
          <w:iCs/>
          <w:snapToGrid w:val="0"/>
          <w:lang w:val="fr-FR"/>
        </w:rPr>
        <w:t>D</w:t>
      </w:r>
      <w:r w:rsidRPr="00CB3A8D">
        <w:rPr>
          <w:i/>
          <w:iCs/>
          <w:snapToGrid w:val="0"/>
          <w:lang w:val="fr-FR"/>
        </w:rPr>
        <w:t>ocument</w:t>
      </w:r>
      <w:r>
        <w:rPr>
          <w:i/>
          <w:iCs/>
          <w:snapToGrid w:val="0"/>
          <w:lang w:val="fr-FR"/>
        </w:rPr>
        <w:t xml:space="preserve"> de référence</w:t>
      </w:r>
      <w:r w:rsidRPr="00CB3A8D">
        <w:rPr>
          <w:i/>
          <w:iCs/>
          <w:snapToGrid w:val="0"/>
          <w:lang w:val="fr-FR"/>
        </w:rPr>
        <w:t>: ECE/TRANS/WP.15/2015/16</w:t>
      </w:r>
      <w:r>
        <w:rPr>
          <w:i/>
          <w:iCs/>
          <w:snapToGrid w:val="0"/>
          <w:lang w:val="fr-FR"/>
        </w:rPr>
        <w:t xml:space="preserve"> tel que modifié</w:t>
      </w:r>
      <w:r w:rsidRPr="00CB3A8D">
        <w:rPr>
          <w:i/>
          <w:iCs/>
          <w:snapToGrid w:val="0"/>
          <w:lang w:val="fr-FR"/>
        </w:rPr>
        <w:t>)</w:t>
      </w:r>
    </w:p>
    <w:p w:rsidR="00E47C46" w:rsidRPr="00CB3A8D" w:rsidRDefault="00E47C46" w:rsidP="0038334A">
      <w:pPr>
        <w:tabs>
          <w:tab w:val="left" w:pos="1701"/>
        </w:tabs>
        <w:spacing w:after="60"/>
        <w:ind w:left="1134" w:right="1134"/>
        <w:jc w:val="both"/>
        <w:rPr>
          <w:lang w:val="fr-FR"/>
        </w:rPr>
      </w:pPr>
      <w:r>
        <w:rPr>
          <w:lang w:val="fr-FR"/>
        </w:rPr>
        <w:t>Ajouter la nouvelle section</w:t>
      </w:r>
      <w:r w:rsidRPr="00CB3A8D">
        <w:rPr>
          <w:lang w:val="fr-FR"/>
        </w:rPr>
        <w:t xml:space="preserve"> 9.2.7:</w:t>
      </w:r>
    </w:p>
    <w:p w:rsidR="00E47C46" w:rsidRPr="0071246C" w:rsidRDefault="00E47C46" w:rsidP="00E47C46">
      <w:pPr>
        <w:pStyle w:val="SingleTxt"/>
        <w:rPr>
          <w:snapToGrid w:val="0"/>
        </w:rPr>
      </w:pPr>
      <w:r w:rsidRPr="0071246C">
        <w:t>«9.2.7</w:t>
      </w:r>
      <w:r w:rsidRPr="0071246C">
        <w:tab/>
        <w:t>Prévention des autres risques dus aux carburants</w:t>
      </w:r>
    </w:p>
    <w:p w:rsidR="00E47C46" w:rsidRPr="0071246C" w:rsidRDefault="00E47C46" w:rsidP="00E47C46">
      <w:pPr>
        <w:pStyle w:val="SingleTxt"/>
        <w:ind w:left="2218" w:hanging="951"/>
        <w:rPr>
          <w:snapToGrid w:val="0"/>
        </w:rPr>
      </w:pPr>
      <w:r w:rsidRPr="0071246C">
        <w:t>9.2.</w:t>
      </w:r>
      <w:r>
        <w:t>7</w:t>
      </w:r>
      <w:r w:rsidRPr="0071246C">
        <w:t>.1</w:t>
      </w:r>
      <w:r w:rsidRPr="0071246C">
        <w:tab/>
        <w:t xml:space="preserve">Les </w:t>
      </w:r>
      <w:r w:rsidRPr="007E109E">
        <w:rPr>
          <w:snapToGrid w:val="0"/>
          <w:lang w:val="fr-FR"/>
        </w:rPr>
        <w:t>circuit</w:t>
      </w:r>
      <w:r>
        <w:rPr>
          <w:snapToGrid w:val="0"/>
          <w:lang w:val="fr-FR"/>
        </w:rPr>
        <w:t>s</w:t>
      </w:r>
      <w:r w:rsidRPr="007E109E">
        <w:rPr>
          <w:snapToGrid w:val="0"/>
          <w:lang w:val="fr-FR"/>
        </w:rPr>
        <w:t xml:space="preserve"> de carburant</w:t>
      </w:r>
      <w:r w:rsidRPr="0071246C">
        <w:t xml:space="preserve"> </w:t>
      </w:r>
      <w:r w:rsidR="0059709A">
        <w:t xml:space="preserve">GNL </w:t>
      </w:r>
      <w:r w:rsidR="005A4D8A">
        <w:t>des</w:t>
      </w:r>
      <w:r w:rsidRPr="0071246C">
        <w:t xml:space="preserve"> véhicules doivent être équipés et placés de façon à éviter tout danger pour le chargement qui pourrait être causé par le fait que le gaz est réfrigéré.».</w:t>
      </w:r>
    </w:p>
    <w:p w:rsidR="00E47C46" w:rsidRPr="00CB3A8D" w:rsidRDefault="00E47C46" w:rsidP="00E47C46">
      <w:pPr>
        <w:tabs>
          <w:tab w:val="left" w:pos="2410"/>
        </w:tabs>
        <w:spacing w:after="120"/>
        <w:ind w:left="1170" w:right="1134"/>
        <w:jc w:val="both"/>
        <w:rPr>
          <w:i/>
          <w:iCs/>
          <w:snapToGrid w:val="0"/>
          <w:lang w:val="fr-FR"/>
        </w:rPr>
      </w:pPr>
      <w:r w:rsidRPr="00CB3A8D">
        <w:rPr>
          <w:i/>
          <w:iCs/>
          <w:snapToGrid w:val="0"/>
          <w:lang w:val="fr-FR"/>
        </w:rPr>
        <w:t>(Reference document: ECE/TRANS/WP.15/2015/17)</w:t>
      </w:r>
    </w:p>
    <w:p w:rsidR="00E47C46" w:rsidRPr="00CB3A8D" w:rsidRDefault="00E47C46" w:rsidP="0038334A">
      <w:pPr>
        <w:pStyle w:val="SingleTxtG"/>
        <w:spacing w:after="60"/>
        <w:rPr>
          <w:lang w:val="fr-FR"/>
        </w:rPr>
      </w:pPr>
      <w:r>
        <w:rPr>
          <w:lang w:val="fr-FR"/>
        </w:rPr>
        <w:t>Les notes de bas de page</w:t>
      </w:r>
      <w:r w:rsidRPr="00CB3A8D">
        <w:rPr>
          <w:lang w:val="fr-FR"/>
        </w:rPr>
        <w:t xml:space="preserve"> 6, 7 </w:t>
      </w:r>
      <w:r>
        <w:rPr>
          <w:lang w:val="fr-FR"/>
        </w:rPr>
        <w:t>et</w:t>
      </w:r>
      <w:r w:rsidRPr="00CB3A8D">
        <w:rPr>
          <w:lang w:val="fr-FR"/>
        </w:rPr>
        <w:t xml:space="preserve"> 8 </w:t>
      </w:r>
      <w:r>
        <w:rPr>
          <w:lang w:val="fr-FR"/>
        </w:rPr>
        <w:t>ont la teneur suivante:</w:t>
      </w:r>
    </w:p>
    <w:p w:rsidR="00E47C46" w:rsidRPr="0071246C" w:rsidRDefault="00E47C46" w:rsidP="00E47C46">
      <w:pPr>
        <w:tabs>
          <w:tab w:val="left" w:pos="1560"/>
        </w:tabs>
        <w:spacing w:after="120"/>
        <w:ind w:left="1170" w:right="1134"/>
        <w:jc w:val="both"/>
        <w:rPr>
          <w:rStyle w:val="Emphasis"/>
          <w:rFonts w:asciiTheme="majorBidi" w:eastAsiaTheme="minorEastAsia" w:hAnsiTheme="majorBidi" w:cstheme="majorBidi"/>
          <w:lang w:val="fr-FR"/>
        </w:rPr>
      </w:pPr>
      <w:r w:rsidRPr="0071246C">
        <w:rPr>
          <w:rStyle w:val="Emphasis"/>
          <w:rFonts w:asciiTheme="majorBidi" w:eastAsiaTheme="minorEastAsia" w:hAnsiTheme="majorBidi" w:cstheme="majorBidi"/>
          <w:vertAlign w:val="superscript"/>
          <w:lang w:val="fr-FR"/>
        </w:rPr>
        <w:tab/>
        <w:t>6</w:t>
      </w:r>
      <w:r w:rsidRPr="0071246C">
        <w:rPr>
          <w:rStyle w:val="Emphasis"/>
          <w:rFonts w:asciiTheme="majorBidi" w:eastAsiaTheme="minorEastAsia" w:hAnsiTheme="majorBidi" w:cstheme="majorBidi"/>
          <w:lang w:val="fr-FR"/>
        </w:rPr>
        <w:tab/>
        <w:t>Règlement no 34 de la CEE (Prescriptions uniformes relatives à l’homologation des véhicules en ce qui concerne la prévention des risques d’incendie).</w:t>
      </w:r>
    </w:p>
    <w:p w:rsidR="00E47C46" w:rsidRPr="0071246C" w:rsidRDefault="00E47C46" w:rsidP="00E47C46">
      <w:pPr>
        <w:tabs>
          <w:tab w:val="left" w:pos="1560"/>
        </w:tabs>
        <w:spacing w:after="120"/>
        <w:ind w:left="1170" w:right="1134"/>
        <w:jc w:val="both"/>
        <w:rPr>
          <w:rStyle w:val="Emphasis"/>
          <w:rFonts w:asciiTheme="majorBidi" w:eastAsiaTheme="minorEastAsia" w:hAnsiTheme="majorBidi" w:cstheme="majorBidi"/>
          <w:lang w:val="fr-FR"/>
        </w:rPr>
      </w:pPr>
      <w:r w:rsidRPr="0071246C">
        <w:rPr>
          <w:rStyle w:val="Emphasis"/>
          <w:rFonts w:asciiTheme="majorBidi" w:eastAsiaTheme="minorEastAsia" w:hAnsiTheme="majorBidi" w:cstheme="majorBidi"/>
          <w:vertAlign w:val="superscript"/>
          <w:lang w:val="fr-FR"/>
        </w:rPr>
        <w:tab/>
        <w:t>7</w:t>
      </w:r>
      <w:r w:rsidRPr="0071246C">
        <w:rPr>
          <w:rStyle w:val="Emphasis"/>
          <w:rFonts w:asciiTheme="majorBidi" w:eastAsiaTheme="minorEastAsia" w:hAnsiTheme="majorBidi" w:cstheme="majorBidi"/>
          <w:lang w:val="fr-FR"/>
        </w:rPr>
        <w:tab/>
        <w:t>Règlement de la CEE no 110 (Prescriptions uniformes relatives à l’homologation :</w:t>
      </w:r>
    </w:p>
    <w:p w:rsidR="00E47C46" w:rsidRPr="0071246C" w:rsidRDefault="00E47C46" w:rsidP="00E47C46">
      <w:pPr>
        <w:tabs>
          <w:tab w:val="left" w:pos="1560"/>
        </w:tabs>
        <w:spacing w:after="120"/>
        <w:ind w:left="1170" w:right="1134"/>
        <w:jc w:val="both"/>
        <w:rPr>
          <w:rStyle w:val="Emphasis"/>
          <w:rFonts w:asciiTheme="majorBidi" w:eastAsiaTheme="minorEastAsia" w:hAnsiTheme="majorBidi" w:cstheme="majorBidi"/>
          <w:lang w:val="fr-FR"/>
        </w:rPr>
      </w:pPr>
      <w:r w:rsidRPr="0071246C">
        <w:rPr>
          <w:rStyle w:val="Emphasis"/>
          <w:rFonts w:asciiTheme="majorBidi" w:eastAsiaTheme="minorEastAsia" w:hAnsiTheme="majorBidi" w:cstheme="majorBidi"/>
          <w:lang w:val="fr-FR"/>
        </w:rPr>
        <w:tab/>
      </w:r>
      <w:r w:rsidRPr="0071246C">
        <w:rPr>
          <w:rStyle w:val="Emphasis"/>
          <w:rFonts w:asciiTheme="majorBidi" w:eastAsiaTheme="minorEastAsia" w:hAnsiTheme="majorBidi" w:cstheme="majorBidi"/>
          <w:lang w:val="fr-FR"/>
        </w:rPr>
        <w:tab/>
        <w:t>I.</w:t>
      </w:r>
      <w:r w:rsidRPr="0071246C">
        <w:rPr>
          <w:rStyle w:val="Emphasis"/>
          <w:rFonts w:asciiTheme="majorBidi" w:eastAsiaTheme="minorEastAsia" w:hAnsiTheme="majorBidi" w:cstheme="majorBidi"/>
          <w:lang w:val="fr-FR"/>
        </w:rPr>
        <w:tab/>
        <w:t>Des organes spéciaux pour l’alimentation du moteur au gaz naturel comprimé (GNC) ou au gaz naturel liquéfié (GNL) sur les véhicules;</w:t>
      </w:r>
    </w:p>
    <w:p w:rsidR="00E47C46" w:rsidRPr="0071246C" w:rsidRDefault="00E47C46" w:rsidP="0038334A">
      <w:pPr>
        <w:tabs>
          <w:tab w:val="left" w:pos="1560"/>
        </w:tabs>
        <w:spacing w:after="60"/>
        <w:ind w:left="1168" w:right="1134"/>
        <w:jc w:val="both"/>
        <w:rPr>
          <w:rStyle w:val="Emphasis"/>
          <w:rFonts w:asciiTheme="majorBidi" w:eastAsiaTheme="minorEastAsia" w:hAnsiTheme="majorBidi" w:cstheme="majorBidi"/>
          <w:lang w:val="fr-FR"/>
        </w:rPr>
      </w:pPr>
      <w:r w:rsidRPr="0071246C">
        <w:rPr>
          <w:rStyle w:val="Emphasis"/>
          <w:rFonts w:asciiTheme="majorBidi" w:eastAsiaTheme="minorEastAsia" w:hAnsiTheme="majorBidi" w:cstheme="majorBidi"/>
          <w:lang w:val="fr-FR"/>
        </w:rPr>
        <w:tab/>
      </w:r>
      <w:r w:rsidRPr="0071246C">
        <w:rPr>
          <w:rStyle w:val="Emphasis"/>
          <w:rFonts w:asciiTheme="majorBidi" w:eastAsiaTheme="minorEastAsia" w:hAnsiTheme="majorBidi" w:cstheme="majorBidi"/>
          <w:lang w:val="fr-FR"/>
        </w:rPr>
        <w:tab/>
        <w:t>II.</w:t>
      </w:r>
      <w:r w:rsidRPr="0071246C">
        <w:rPr>
          <w:rStyle w:val="Emphasis"/>
          <w:rFonts w:asciiTheme="majorBidi" w:eastAsiaTheme="minorEastAsia" w:hAnsiTheme="majorBidi" w:cstheme="majorBidi"/>
          <w:lang w:val="fr-FR"/>
        </w:rPr>
        <w:tab/>
        <w:t>Des véhicules munis d’organes spéciaux d’un type homologué pour l’alimentation du moteur au gaz naturel comprimé (GNC) ou au gaz naturel liquéfié (GNL) en ce qui concerne l’installation de ces organes).</w:t>
      </w:r>
    </w:p>
    <w:p w:rsidR="00E47C46" w:rsidRPr="0071246C" w:rsidRDefault="00E47C46" w:rsidP="00E47C46">
      <w:pPr>
        <w:tabs>
          <w:tab w:val="left" w:pos="1560"/>
        </w:tabs>
        <w:spacing w:after="120"/>
        <w:ind w:left="1170" w:right="1134"/>
        <w:jc w:val="both"/>
        <w:rPr>
          <w:rStyle w:val="Emphasis"/>
          <w:rFonts w:asciiTheme="majorBidi" w:eastAsiaTheme="minorEastAsia" w:hAnsiTheme="majorBidi" w:cstheme="majorBidi"/>
          <w:lang w:val="fr-FR"/>
        </w:rPr>
      </w:pPr>
      <w:r w:rsidRPr="0071246C">
        <w:rPr>
          <w:rStyle w:val="Emphasis"/>
          <w:rFonts w:asciiTheme="majorBidi" w:eastAsiaTheme="minorEastAsia" w:hAnsiTheme="majorBidi" w:cstheme="majorBidi"/>
          <w:vertAlign w:val="superscript"/>
          <w:lang w:val="fr-FR"/>
        </w:rPr>
        <w:tab/>
        <w:t>8</w:t>
      </w:r>
      <w:r w:rsidRPr="0071246C">
        <w:rPr>
          <w:rStyle w:val="Emphasis"/>
          <w:rFonts w:asciiTheme="majorBidi" w:eastAsiaTheme="minorEastAsia" w:hAnsiTheme="majorBidi" w:cstheme="majorBidi"/>
          <w:lang w:val="fr-FR"/>
        </w:rPr>
        <w:tab/>
        <w:t>Règlement no 67 (série 01 d’amendements) de la CEE (Prescriptions uniformes relatives à l’homologation :</w:t>
      </w:r>
    </w:p>
    <w:p w:rsidR="00E47C46" w:rsidRPr="0071246C" w:rsidRDefault="00E47C46" w:rsidP="0038334A">
      <w:pPr>
        <w:tabs>
          <w:tab w:val="left" w:pos="1560"/>
        </w:tabs>
        <w:spacing w:after="60"/>
        <w:ind w:left="1168" w:right="1134"/>
        <w:jc w:val="both"/>
        <w:rPr>
          <w:rStyle w:val="Emphasis"/>
          <w:rFonts w:asciiTheme="majorBidi" w:eastAsiaTheme="minorEastAsia" w:hAnsiTheme="majorBidi" w:cstheme="majorBidi"/>
          <w:lang w:val="fr-FR"/>
        </w:rPr>
      </w:pPr>
      <w:r w:rsidRPr="0071246C">
        <w:rPr>
          <w:rStyle w:val="Emphasis"/>
          <w:rFonts w:asciiTheme="majorBidi" w:eastAsiaTheme="minorEastAsia" w:hAnsiTheme="majorBidi" w:cstheme="majorBidi"/>
          <w:lang w:val="fr-FR"/>
        </w:rPr>
        <w:tab/>
      </w:r>
      <w:r w:rsidRPr="0071246C">
        <w:rPr>
          <w:rStyle w:val="Emphasis"/>
          <w:rFonts w:asciiTheme="majorBidi" w:eastAsiaTheme="minorEastAsia" w:hAnsiTheme="majorBidi" w:cstheme="majorBidi"/>
          <w:lang w:val="fr-FR"/>
        </w:rPr>
        <w:tab/>
        <w:t>I.</w:t>
      </w:r>
      <w:r w:rsidRPr="0071246C">
        <w:rPr>
          <w:rStyle w:val="Emphasis"/>
          <w:rFonts w:asciiTheme="majorBidi" w:eastAsiaTheme="minorEastAsia" w:hAnsiTheme="majorBidi" w:cstheme="majorBidi"/>
          <w:lang w:val="fr-FR"/>
        </w:rPr>
        <w:tab/>
        <w:t>Des équipements spéciaux pour l’alimentation du moteur aux gaz de pétrole liquéfiés sur les véhicules des catégories M et N;</w:t>
      </w:r>
    </w:p>
    <w:p w:rsidR="00E47C46" w:rsidRPr="0071246C" w:rsidRDefault="00E47C46" w:rsidP="0038334A">
      <w:pPr>
        <w:tabs>
          <w:tab w:val="left" w:pos="1560"/>
        </w:tabs>
        <w:spacing w:after="60"/>
        <w:ind w:left="1168" w:right="1134"/>
        <w:jc w:val="both"/>
        <w:rPr>
          <w:rStyle w:val="Emphasis"/>
          <w:rFonts w:asciiTheme="majorBidi" w:eastAsiaTheme="minorEastAsia" w:hAnsiTheme="majorBidi" w:cstheme="majorBidi"/>
          <w:lang w:val="fr-FR"/>
        </w:rPr>
      </w:pPr>
      <w:r w:rsidRPr="0071246C">
        <w:rPr>
          <w:rStyle w:val="Emphasis"/>
          <w:rFonts w:asciiTheme="majorBidi" w:eastAsiaTheme="minorEastAsia" w:hAnsiTheme="majorBidi" w:cstheme="majorBidi"/>
          <w:lang w:val="fr-FR"/>
        </w:rPr>
        <w:tab/>
      </w:r>
      <w:r w:rsidRPr="0071246C">
        <w:rPr>
          <w:rStyle w:val="Emphasis"/>
          <w:rFonts w:asciiTheme="majorBidi" w:eastAsiaTheme="minorEastAsia" w:hAnsiTheme="majorBidi" w:cstheme="majorBidi"/>
          <w:lang w:val="fr-FR"/>
        </w:rPr>
        <w:tab/>
        <w:t>II.</w:t>
      </w:r>
      <w:r w:rsidRPr="0071246C">
        <w:rPr>
          <w:rStyle w:val="Emphasis"/>
          <w:rFonts w:asciiTheme="majorBidi" w:eastAsiaTheme="minorEastAsia" w:hAnsiTheme="majorBidi" w:cstheme="majorBidi"/>
          <w:lang w:val="fr-FR"/>
        </w:rPr>
        <w:tab/>
        <w:t>Des véhicules des catégories M et N munis d’un équipement spécial pour l’alimentation du moteur aux gaz de pétrole liquéfiés, en ce qui concerne l’installation de cet équipement.</w:t>
      </w:r>
    </w:p>
    <w:p w:rsidR="002620DF" w:rsidRDefault="00E47C46" w:rsidP="00E47C46">
      <w:pPr>
        <w:pStyle w:val="SingleTxtG"/>
        <w:ind w:left="1170"/>
        <w:rPr>
          <w:lang w:val="fr-FR"/>
        </w:rPr>
      </w:pPr>
      <w:r>
        <w:rPr>
          <w:lang w:val="fr-FR"/>
        </w:rPr>
        <w:t>Supprimer</w:t>
      </w:r>
      <w:r w:rsidRPr="00CB3A8D">
        <w:rPr>
          <w:lang w:val="fr-FR"/>
        </w:rPr>
        <w:t xml:space="preserve"> 1.6.5.17 </w:t>
      </w:r>
      <w:r>
        <w:rPr>
          <w:lang w:val="fr-FR"/>
        </w:rPr>
        <w:t>dans le document informel</w:t>
      </w:r>
      <w:r w:rsidRPr="00CB3A8D">
        <w:rPr>
          <w:lang w:val="fr-FR"/>
        </w:rPr>
        <w:t xml:space="preserve"> INF.9 </w:t>
      </w:r>
      <w:r>
        <w:rPr>
          <w:lang w:val="fr-FR"/>
        </w:rPr>
        <w:t>et renuméroter les mesures transitoires adoptées à cette session en conséquence.</w:t>
      </w:r>
    </w:p>
    <w:p w:rsidR="0038334A" w:rsidRPr="0038334A" w:rsidRDefault="0038334A" w:rsidP="0038334A">
      <w:pPr>
        <w:pStyle w:val="SingleTxtG"/>
        <w:spacing w:before="240" w:after="0"/>
        <w:jc w:val="center"/>
        <w:rPr>
          <w:u w:val="single"/>
          <w:lang w:val="fr-CH"/>
        </w:rPr>
      </w:pPr>
      <w:r>
        <w:rPr>
          <w:u w:val="single"/>
          <w:lang w:val="fr-FR"/>
        </w:rPr>
        <w:tab/>
      </w:r>
      <w:r>
        <w:rPr>
          <w:u w:val="single"/>
          <w:lang w:val="fr-FR"/>
        </w:rPr>
        <w:tab/>
      </w:r>
      <w:r>
        <w:rPr>
          <w:u w:val="single"/>
          <w:lang w:val="fr-FR"/>
        </w:rPr>
        <w:tab/>
      </w:r>
    </w:p>
    <w:sectPr w:rsidR="0038334A" w:rsidRPr="0038334A" w:rsidSect="00F3690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09" w:rsidRDefault="00F36909"/>
  </w:endnote>
  <w:endnote w:type="continuationSeparator" w:id="0">
    <w:p w:rsidR="00F36909" w:rsidRDefault="00F36909"/>
  </w:endnote>
  <w:endnote w:type="continuationNotice" w:id="1">
    <w:p w:rsidR="00F36909" w:rsidRDefault="00F36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Footer"/>
      <w:tabs>
        <w:tab w:val="right" w:pos="9638"/>
      </w:tabs>
      <w:rPr>
        <w:sz w:val="18"/>
      </w:rPr>
    </w:pPr>
    <w:r w:rsidRPr="00F36909">
      <w:rPr>
        <w:b/>
        <w:sz w:val="18"/>
      </w:rPr>
      <w:fldChar w:fldCharType="begin"/>
    </w:r>
    <w:r w:rsidRPr="00F36909">
      <w:rPr>
        <w:b/>
        <w:sz w:val="18"/>
      </w:rPr>
      <w:instrText xml:space="preserve"> PAGE  \* MERGEFORMAT </w:instrText>
    </w:r>
    <w:r w:rsidRPr="00F36909">
      <w:rPr>
        <w:b/>
        <w:sz w:val="18"/>
      </w:rPr>
      <w:fldChar w:fldCharType="separate"/>
    </w:r>
    <w:r w:rsidR="0038334A">
      <w:rPr>
        <w:b/>
        <w:noProof/>
        <w:sz w:val="18"/>
      </w:rPr>
      <w:t>2</w:t>
    </w:r>
    <w:r w:rsidRPr="00F369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Footer"/>
      <w:tabs>
        <w:tab w:val="right" w:pos="9638"/>
      </w:tabs>
      <w:rPr>
        <w:b/>
        <w:sz w:val="18"/>
      </w:rPr>
    </w:pPr>
    <w:r>
      <w:tab/>
    </w:r>
    <w:r w:rsidRPr="00F36909">
      <w:rPr>
        <w:b/>
        <w:sz w:val="18"/>
      </w:rPr>
      <w:fldChar w:fldCharType="begin"/>
    </w:r>
    <w:r w:rsidRPr="00F36909">
      <w:rPr>
        <w:b/>
        <w:sz w:val="18"/>
      </w:rPr>
      <w:instrText xml:space="preserve"> PAGE  \* MERGEFORMAT </w:instrText>
    </w:r>
    <w:r w:rsidRPr="00F36909">
      <w:rPr>
        <w:b/>
        <w:sz w:val="18"/>
      </w:rPr>
      <w:fldChar w:fldCharType="separate"/>
    </w:r>
    <w:r w:rsidR="0038334A">
      <w:rPr>
        <w:b/>
        <w:noProof/>
        <w:sz w:val="18"/>
      </w:rPr>
      <w:t>3</w:t>
    </w:r>
    <w:r w:rsidRPr="00F369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28" w:rsidRPr="00F36909" w:rsidRDefault="00A85956">
    <w:r>
      <w:rPr>
        <w:noProof/>
        <w:lang w:eastAsia="en-GB"/>
      </w:rPr>
      <w:drawing>
        <wp:anchor distT="0" distB="0" distL="114300" distR="114300" simplePos="0" relativeHeight="251657728" behindDoc="0" locked="1" layoutInCell="1" allowOverlap="1" wp14:anchorId="60771884" wp14:editId="53F46EB2">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09" w:rsidRPr="000B175B" w:rsidRDefault="00F36909" w:rsidP="000B175B">
      <w:pPr>
        <w:tabs>
          <w:tab w:val="right" w:pos="2155"/>
        </w:tabs>
        <w:spacing w:after="80"/>
        <w:ind w:left="680"/>
        <w:rPr>
          <w:u w:val="single"/>
        </w:rPr>
      </w:pPr>
      <w:r>
        <w:rPr>
          <w:u w:val="single"/>
        </w:rPr>
        <w:tab/>
      </w:r>
    </w:p>
  </w:footnote>
  <w:footnote w:type="continuationSeparator" w:id="0">
    <w:p w:rsidR="00F36909" w:rsidRPr="00FC68B7" w:rsidRDefault="00F36909" w:rsidP="00FC68B7">
      <w:pPr>
        <w:tabs>
          <w:tab w:val="left" w:pos="2155"/>
        </w:tabs>
        <w:spacing w:after="80"/>
        <w:ind w:left="680"/>
        <w:rPr>
          <w:u w:val="single"/>
        </w:rPr>
      </w:pPr>
      <w:r>
        <w:rPr>
          <w:u w:val="single"/>
        </w:rPr>
        <w:tab/>
      </w:r>
    </w:p>
  </w:footnote>
  <w:footnote w:type="continuationNotice" w:id="1">
    <w:p w:rsidR="00F36909" w:rsidRDefault="00F369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48606E">
    <w:pPr>
      <w:pStyle w:val="Header"/>
    </w:pPr>
    <w:r>
      <w:t>INF.2</w:t>
    </w:r>
    <w:r w:rsidR="002620DF">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Header"/>
      <w:jc w:val="right"/>
    </w:pPr>
    <w:r>
      <w:t>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F60D76"/>
    <w:multiLevelType w:val="hybridMultilevel"/>
    <w:tmpl w:val="573888E2"/>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5925DC1"/>
    <w:multiLevelType w:val="hybridMultilevel"/>
    <w:tmpl w:val="2CD693BC"/>
    <w:lvl w:ilvl="0" w:tplc="8C4849AC">
      <w:start w:val="1"/>
      <w:numFmt w:val="bullet"/>
      <w:lvlText w:val="•"/>
      <w:lvlJc w:val="left"/>
      <w:pPr>
        <w:tabs>
          <w:tab w:val="num" w:pos="312"/>
        </w:tabs>
        <w:ind w:left="312" w:hanging="170"/>
      </w:pPr>
      <w:rPr>
        <w:rFonts w:ascii="Times New Roman" w:hAnsi="Times New Roman" w:cs="Times New Roman" w:hint="default"/>
        <w:b w:val="0"/>
        <w:i w:val="0"/>
        <w:sz w:val="20"/>
      </w:rPr>
    </w:lvl>
    <w:lvl w:ilvl="1" w:tplc="E51A967C">
      <w:start w:val="1"/>
      <w:numFmt w:val="decimal"/>
      <w:lvlText w:val="%2."/>
      <w:lvlJc w:val="left"/>
      <w:pPr>
        <w:tabs>
          <w:tab w:val="num" w:pos="51"/>
        </w:tabs>
        <w:ind w:left="51" w:hanging="360"/>
      </w:pPr>
      <w:rPr>
        <w:rFonts w:hint="default"/>
        <w:b w:val="0"/>
        <w:i w:val="0"/>
        <w:sz w:val="20"/>
      </w:rPr>
    </w:lvl>
    <w:lvl w:ilvl="2" w:tplc="040C0005">
      <w:start w:val="1"/>
      <w:numFmt w:val="bullet"/>
      <w:lvlText w:val=""/>
      <w:lvlJc w:val="left"/>
      <w:pPr>
        <w:tabs>
          <w:tab w:val="num" w:pos="771"/>
        </w:tabs>
        <w:ind w:left="771" w:hanging="360"/>
      </w:pPr>
      <w:rPr>
        <w:rFonts w:ascii="Wingdings" w:hAnsi="Wingdings" w:hint="default"/>
      </w:rPr>
    </w:lvl>
    <w:lvl w:ilvl="3" w:tplc="040C0001" w:tentative="1">
      <w:start w:val="1"/>
      <w:numFmt w:val="bullet"/>
      <w:lvlText w:val=""/>
      <w:lvlJc w:val="left"/>
      <w:pPr>
        <w:tabs>
          <w:tab w:val="num" w:pos="1491"/>
        </w:tabs>
        <w:ind w:left="1491" w:hanging="360"/>
      </w:pPr>
      <w:rPr>
        <w:rFonts w:ascii="Symbol" w:hAnsi="Symbol" w:hint="default"/>
      </w:rPr>
    </w:lvl>
    <w:lvl w:ilvl="4" w:tplc="040C0003" w:tentative="1">
      <w:start w:val="1"/>
      <w:numFmt w:val="bullet"/>
      <w:lvlText w:val="o"/>
      <w:lvlJc w:val="left"/>
      <w:pPr>
        <w:tabs>
          <w:tab w:val="num" w:pos="2211"/>
        </w:tabs>
        <w:ind w:left="2211" w:hanging="360"/>
      </w:pPr>
      <w:rPr>
        <w:rFonts w:ascii="Courier New" w:hAnsi="Courier New" w:cs="Courier New" w:hint="default"/>
      </w:rPr>
    </w:lvl>
    <w:lvl w:ilvl="5" w:tplc="040C0005" w:tentative="1">
      <w:start w:val="1"/>
      <w:numFmt w:val="bullet"/>
      <w:lvlText w:val=""/>
      <w:lvlJc w:val="left"/>
      <w:pPr>
        <w:tabs>
          <w:tab w:val="num" w:pos="2931"/>
        </w:tabs>
        <w:ind w:left="2931" w:hanging="360"/>
      </w:pPr>
      <w:rPr>
        <w:rFonts w:ascii="Wingdings" w:hAnsi="Wingdings" w:hint="default"/>
      </w:rPr>
    </w:lvl>
    <w:lvl w:ilvl="6" w:tplc="040C0001" w:tentative="1">
      <w:start w:val="1"/>
      <w:numFmt w:val="bullet"/>
      <w:lvlText w:val=""/>
      <w:lvlJc w:val="left"/>
      <w:pPr>
        <w:tabs>
          <w:tab w:val="num" w:pos="3651"/>
        </w:tabs>
        <w:ind w:left="3651" w:hanging="360"/>
      </w:pPr>
      <w:rPr>
        <w:rFonts w:ascii="Symbol" w:hAnsi="Symbol" w:hint="default"/>
      </w:rPr>
    </w:lvl>
    <w:lvl w:ilvl="7" w:tplc="040C0003" w:tentative="1">
      <w:start w:val="1"/>
      <w:numFmt w:val="bullet"/>
      <w:lvlText w:val="o"/>
      <w:lvlJc w:val="left"/>
      <w:pPr>
        <w:tabs>
          <w:tab w:val="num" w:pos="4371"/>
        </w:tabs>
        <w:ind w:left="4371" w:hanging="360"/>
      </w:pPr>
      <w:rPr>
        <w:rFonts w:ascii="Courier New" w:hAnsi="Courier New" w:cs="Courier New" w:hint="default"/>
      </w:rPr>
    </w:lvl>
    <w:lvl w:ilvl="8" w:tplc="040C0005" w:tentative="1">
      <w:start w:val="1"/>
      <w:numFmt w:val="bullet"/>
      <w:lvlText w:val=""/>
      <w:lvlJc w:val="left"/>
      <w:pPr>
        <w:tabs>
          <w:tab w:val="num" w:pos="5091"/>
        </w:tabs>
        <w:ind w:left="5091"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09"/>
    <w:rsid w:val="00050F6B"/>
    <w:rsid w:val="0005507A"/>
    <w:rsid w:val="00072C8C"/>
    <w:rsid w:val="000829B9"/>
    <w:rsid w:val="000931C0"/>
    <w:rsid w:val="000B175B"/>
    <w:rsid w:val="000B3A0F"/>
    <w:rsid w:val="000E0415"/>
    <w:rsid w:val="001020E2"/>
    <w:rsid w:val="001220B8"/>
    <w:rsid w:val="00191A1F"/>
    <w:rsid w:val="001B4B04"/>
    <w:rsid w:val="001C6663"/>
    <w:rsid w:val="001C7895"/>
    <w:rsid w:val="001D26DF"/>
    <w:rsid w:val="00211E0B"/>
    <w:rsid w:val="002405A7"/>
    <w:rsid w:val="002620DF"/>
    <w:rsid w:val="003107FA"/>
    <w:rsid w:val="003229D8"/>
    <w:rsid w:val="0033745A"/>
    <w:rsid w:val="0038334A"/>
    <w:rsid w:val="0039277A"/>
    <w:rsid w:val="003972E0"/>
    <w:rsid w:val="003C2CC4"/>
    <w:rsid w:val="003C3936"/>
    <w:rsid w:val="003D4B23"/>
    <w:rsid w:val="003F1ED3"/>
    <w:rsid w:val="004325CB"/>
    <w:rsid w:val="00446DE4"/>
    <w:rsid w:val="0048606E"/>
    <w:rsid w:val="0049311F"/>
    <w:rsid w:val="004A41CA"/>
    <w:rsid w:val="004F7665"/>
    <w:rsid w:val="00503228"/>
    <w:rsid w:val="00505384"/>
    <w:rsid w:val="0051026B"/>
    <w:rsid w:val="005420F2"/>
    <w:rsid w:val="0059709A"/>
    <w:rsid w:val="00597521"/>
    <w:rsid w:val="005A4D8A"/>
    <w:rsid w:val="005B3DB3"/>
    <w:rsid w:val="00611FC4"/>
    <w:rsid w:val="006176FB"/>
    <w:rsid w:val="00627ED0"/>
    <w:rsid w:val="00640B26"/>
    <w:rsid w:val="00665595"/>
    <w:rsid w:val="006A7392"/>
    <w:rsid w:val="006B36BA"/>
    <w:rsid w:val="006D53F4"/>
    <w:rsid w:val="006E564B"/>
    <w:rsid w:val="0072632A"/>
    <w:rsid w:val="00743CD6"/>
    <w:rsid w:val="007A0F24"/>
    <w:rsid w:val="007B6BA5"/>
    <w:rsid w:val="007C1070"/>
    <w:rsid w:val="007C3390"/>
    <w:rsid w:val="007C4F4B"/>
    <w:rsid w:val="007F0B83"/>
    <w:rsid w:val="007F6611"/>
    <w:rsid w:val="008175E9"/>
    <w:rsid w:val="008242D7"/>
    <w:rsid w:val="00827E05"/>
    <w:rsid w:val="008311A3"/>
    <w:rsid w:val="00871FD5"/>
    <w:rsid w:val="008979B1"/>
    <w:rsid w:val="008A6B25"/>
    <w:rsid w:val="008A6C4F"/>
    <w:rsid w:val="008E0E46"/>
    <w:rsid w:val="00907AD2"/>
    <w:rsid w:val="00910A02"/>
    <w:rsid w:val="00917904"/>
    <w:rsid w:val="00963CBA"/>
    <w:rsid w:val="00974A41"/>
    <w:rsid w:val="00974A8D"/>
    <w:rsid w:val="00991261"/>
    <w:rsid w:val="009F3A17"/>
    <w:rsid w:val="00A05C20"/>
    <w:rsid w:val="00A1427D"/>
    <w:rsid w:val="00A341EB"/>
    <w:rsid w:val="00A72F22"/>
    <w:rsid w:val="00A748A6"/>
    <w:rsid w:val="00A85956"/>
    <w:rsid w:val="00A879A4"/>
    <w:rsid w:val="00B30179"/>
    <w:rsid w:val="00B33EC0"/>
    <w:rsid w:val="00B81E12"/>
    <w:rsid w:val="00BC74E9"/>
    <w:rsid w:val="00BD2146"/>
    <w:rsid w:val="00BE4F74"/>
    <w:rsid w:val="00BE618E"/>
    <w:rsid w:val="00C17699"/>
    <w:rsid w:val="00C310B9"/>
    <w:rsid w:val="00C41A28"/>
    <w:rsid w:val="00C463DD"/>
    <w:rsid w:val="00C745C3"/>
    <w:rsid w:val="00CC1F00"/>
    <w:rsid w:val="00CE4A8F"/>
    <w:rsid w:val="00D17117"/>
    <w:rsid w:val="00D2031B"/>
    <w:rsid w:val="00D25FE2"/>
    <w:rsid w:val="00D30B80"/>
    <w:rsid w:val="00D317BB"/>
    <w:rsid w:val="00D43252"/>
    <w:rsid w:val="00D978C6"/>
    <w:rsid w:val="00DA67AD"/>
    <w:rsid w:val="00DB5D0F"/>
    <w:rsid w:val="00DD2EC1"/>
    <w:rsid w:val="00DF0CAC"/>
    <w:rsid w:val="00DF12F7"/>
    <w:rsid w:val="00E02C81"/>
    <w:rsid w:val="00E130AB"/>
    <w:rsid w:val="00E47C46"/>
    <w:rsid w:val="00E7260F"/>
    <w:rsid w:val="00E872ED"/>
    <w:rsid w:val="00E87921"/>
    <w:rsid w:val="00E96630"/>
    <w:rsid w:val="00EA264E"/>
    <w:rsid w:val="00ED7A2A"/>
    <w:rsid w:val="00EF1D7F"/>
    <w:rsid w:val="00F36909"/>
    <w:rsid w:val="00F53EDA"/>
    <w:rsid w:val="00F7753D"/>
    <w:rsid w:val="00F85F34"/>
    <w:rsid w:val="00FA06F7"/>
    <w:rsid w:val="00FB171A"/>
    <w:rsid w:val="00FC68B7"/>
    <w:rsid w:val="00FD7BF6"/>
    <w:rsid w:val="00FE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5_G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5_GR Char"/>
    <w:basedOn w:val="DefaultParagraphFont"/>
    <w:link w:val="FootnoteText"/>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 w:type="character" w:customStyle="1" w:styleId="SingleTxtGCar">
    <w:name w:val="_ Single Txt_G Car"/>
    <w:locked/>
    <w:rsid w:val="00A05C20"/>
    <w:rPr>
      <w:lang w:val="en-GB" w:eastAsia="en-US"/>
    </w:rPr>
  </w:style>
  <w:style w:type="character" w:styleId="Emphasis">
    <w:name w:val="Emphasis"/>
    <w:basedOn w:val="DefaultParagraphFont"/>
    <w:qFormat/>
    <w:rsid w:val="002620DF"/>
    <w:rPr>
      <w:i/>
      <w:iCs/>
    </w:rPr>
  </w:style>
  <w:style w:type="paragraph" w:styleId="BalloonText">
    <w:name w:val="Balloon Text"/>
    <w:basedOn w:val="Normal"/>
    <w:link w:val="BalloonTextChar"/>
    <w:rsid w:val="00CC1F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1F00"/>
    <w:rPr>
      <w:rFonts w:ascii="Tahoma" w:hAnsi="Tahoma" w:cs="Tahoma"/>
      <w:sz w:val="16"/>
      <w:szCs w:val="16"/>
      <w:lang w:eastAsia="en-US"/>
    </w:rPr>
  </w:style>
  <w:style w:type="paragraph" w:customStyle="1" w:styleId="H1">
    <w:name w:val="_ H_1"/>
    <w:basedOn w:val="Normal"/>
    <w:next w:val="Normal"/>
    <w:qFormat/>
    <w:rsid w:val="00910A02"/>
    <w:pPr>
      <w:keepNext/>
      <w:keepLines/>
      <w:spacing w:line="270" w:lineRule="exact"/>
      <w:outlineLvl w:val="0"/>
    </w:pPr>
    <w:rPr>
      <w:rFonts w:eastAsiaTheme="minorHAnsi"/>
      <w:b/>
      <w:spacing w:val="4"/>
      <w:w w:val="103"/>
      <w:kern w:val="14"/>
      <w:sz w:val="24"/>
      <w:szCs w:val="22"/>
      <w:lang w:val="fr-CA"/>
    </w:rPr>
  </w:style>
  <w:style w:type="paragraph" w:customStyle="1" w:styleId="H23">
    <w:name w:val="_ H_2/3"/>
    <w:basedOn w:val="H1"/>
    <w:next w:val="Normal"/>
    <w:qFormat/>
    <w:rsid w:val="00910A02"/>
    <w:pPr>
      <w:spacing w:line="240" w:lineRule="exact"/>
      <w:outlineLvl w:val="1"/>
    </w:pPr>
    <w:rPr>
      <w:spacing w:val="2"/>
      <w:sz w:val="20"/>
    </w:rPr>
  </w:style>
  <w:style w:type="paragraph" w:customStyle="1" w:styleId="SingleTxt">
    <w:name w:val="__Single Txt"/>
    <w:basedOn w:val="Normal"/>
    <w:qFormat/>
    <w:rsid w:val="00E47C4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5_G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5_GR Char"/>
    <w:basedOn w:val="DefaultParagraphFont"/>
    <w:link w:val="FootnoteText"/>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 w:type="character" w:customStyle="1" w:styleId="SingleTxtGCar">
    <w:name w:val="_ Single Txt_G Car"/>
    <w:locked/>
    <w:rsid w:val="00A05C20"/>
    <w:rPr>
      <w:lang w:val="en-GB" w:eastAsia="en-US"/>
    </w:rPr>
  </w:style>
  <w:style w:type="character" w:styleId="Emphasis">
    <w:name w:val="Emphasis"/>
    <w:basedOn w:val="DefaultParagraphFont"/>
    <w:qFormat/>
    <w:rsid w:val="002620DF"/>
    <w:rPr>
      <w:i/>
      <w:iCs/>
    </w:rPr>
  </w:style>
  <w:style w:type="paragraph" w:styleId="BalloonText">
    <w:name w:val="Balloon Text"/>
    <w:basedOn w:val="Normal"/>
    <w:link w:val="BalloonTextChar"/>
    <w:rsid w:val="00CC1F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1F00"/>
    <w:rPr>
      <w:rFonts w:ascii="Tahoma" w:hAnsi="Tahoma" w:cs="Tahoma"/>
      <w:sz w:val="16"/>
      <w:szCs w:val="16"/>
      <w:lang w:eastAsia="en-US"/>
    </w:rPr>
  </w:style>
  <w:style w:type="paragraph" w:customStyle="1" w:styleId="H1">
    <w:name w:val="_ H_1"/>
    <w:basedOn w:val="Normal"/>
    <w:next w:val="Normal"/>
    <w:qFormat/>
    <w:rsid w:val="00910A02"/>
    <w:pPr>
      <w:keepNext/>
      <w:keepLines/>
      <w:spacing w:line="270" w:lineRule="exact"/>
      <w:outlineLvl w:val="0"/>
    </w:pPr>
    <w:rPr>
      <w:rFonts w:eastAsiaTheme="minorHAnsi"/>
      <w:b/>
      <w:spacing w:val="4"/>
      <w:w w:val="103"/>
      <w:kern w:val="14"/>
      <w:sz w:val="24"/>
      <w:szCs w:val="22"/>
      <w:lang w:val="fr-CA"/>
    </w:rPr>
  </w:style>
  <w:style w:type="paragraph" w:customStyle="1" w:styleId="H23">
    <w:name w:val="_ H_2/3"/>
    <w:basedOn w:val="H1"/>
    <w:next w:val="Normal"/>
    <w:qFormat/>
    <w:rsid w:val="00910A02"/>
    <w:pPr>
      <w:spacing w:line="240" w:lineRule="exact"/>
      <w:outlineLvl w:val="1"/>
    </w:pPr>
    <w:rPr>
      <w:spacing w:val="2"/>
      <w:sz w:val="20"/>
    </w:rPr>
  </w:style>
  <w:style w:type="paragraph" w:customStyle="1" w:styleId="SingleTxt">
    <w:name w:val="__Single Txt"/>
    <w:basedOn w:val="Normal"/>
    <w:qFormat/>
    <w:rsid w:val="00E47C4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7503">
      <w:bodyDiv w:val="1"/>
      <w:marLeft w:val="0"/>
      <w:marRight w:val="0"/>
      <w:marTop w:val="0"/>
      <w:marBottom w:val="0"/>
      <w:divBdr>
        <w:top w:val="none" w:sz="0" w:space="0" w:color="auto"/>
        <w:left w:val="none" w:sz="0" w:space="0" w:color="auto"/>
        <w:bottom w:val="none" w:sz="0" w:space="0" w:color="auto"/>
        <w:right w:val="none" w:sz="0" w:space="0" w:color="auto"/>
      </w:divBdr>
    </w:div>
    <w:div w:id="11721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14</TotalTime>
  <Pages>2</Pages>
  <Words>829</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UNECE</dc:creator>
  <cp:lastModifiedBy>barrio-champeau</cp:lastModifiedBy>
  <cp:revision>9</cp:revision>
  <cp:lastPrinted>2015-11-12T12:40:00Z</cp:lastPrinted>
  <dcterms:created xsi:type="dcterms:W3CDTF">2015-11-12T12:40:00Z</dcterms:created>
  <dcterms:modified xsi:type="dcterms:W3CDTF">2015-11-12T13:01:00Z</dcterms:modified>
</cp:coreProperties>
</file>