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BE02D7">
            <w:pPr>
              <w:jc w:val="right"/>
              <w:rPr>
                <w:b/>
                <w:sz w:val="40"/>
                <w:szCs w:val="40"/>
              </w:rPr>
            </w:pPr>
            <w:r w:rsidRPr="0099001C">
              <w:rPr>
                <w:b/>
                <w:sz w:val="40"/>
                <w:szCs w:val="40"/>
              </w:rPr>
              <w:t>UN/SCEGHS/</w:t>
            </w:r>
            <w:r w:rsidR="00ED71D9">
              <w:rPr>
                <w:b/>
                <w:sz w:val="40"/>
                <w:szCs w:val="40"/>
              </w:rPr>
              <w:t>30</w:t>
            </w:r>
            <w:r w:rsidRPr="0099001C">
              <w:rPr>
                <w:b/>
                <w:sz w:val="40"/>
                <w:szCs w:val="40"/>
              </w:rPr>
              <w:t>/INF.</w:t>
            </w:r>
            <w:r w:rsidR="00BE02D7">
              <w:rPr>
                <w:b/>
                <w:sz w:val="40"/>
                <w:szCs w:val="40"/>
              </w:rPr>
              <w:t>26</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BE02D7" w:rsidRPr="00BE02D7">
              <w:rPr>
                <w:b/>
                <w:lang w:val="en-US"/>
              </w:rPr>
              <w:t>7 December</w:t>
            </w:r>
            <w:r w:rsidR="00E70DF5" w:rsidRPr="00BE02D7">
              <w:rPr>
                <w:b/>
                <w:lang w:val="en-US"/>
              </w:rPr>
              <w:t xml:space="preserve"> 201</w:t>
            </w:r>
            <w:r w:rsidR="009F3D53" w:rsidRPr="00BE02D7">
              <w:rPr>
                <w:b/>
                <w:lang w:val="en-US"/>
              </w:rPr>
              <w:t>5</w:t>
            </w:r>
          </w:p>
          <w:p w:rsidR="00BE02D7" w:rsidRDefault="00BE02D7" w:rsidP="00BE02D7">
            <w:pPr>
              <w:spacing w:before="120"/>
              <w:rPr>
                <w:b/>
              </w:rPr>
            </w:pPr>
            <w:r>
              <w:rPr>
                <w:b/>
              </w:rPr>
              <w:t>Thirtieth session</w:t>
            </w:r>
          </w:p>
          <w:p w:rsidR="00BE02D7" w:rsidRDefault="00BE02D7" w:rsidP="00BE02D7">
            <w:r>
              <w:t>Geneva, 9 –11 December 2015</w:t>
            </w:r>
          </w:p>
          <w:p w:rsidR="00BE02D7" w:rsidRDefault="00BE02D7" w:rsidP="00BE02D7">
            <w:r>
              <w:t>Item 4 (c) of the provisional agenda</w:t>
            </w:r>
          </w:p>
          <w:p w:rsidR="00BE02D7" w:rsidRDefault="00BE02D7" w:rsidP="00BE02D7">
            <w:pPr>
              <w:rPr>
                <w:b/>
              </w:rPr>
            </w:pPr>
            <w:r w:rsidRPr="00485748">
              <w:rPr>
                <w:b/>
              </w:rPr>
              <w:t>Hazard communication issues:</w:t>
            </w:r>
            <w:r>
              <w:rPr>
                <w:b/>
              </w:rPr>
              <w:t xml:space="preserve"> </w:t>
            </w:r>
          </w:p>
          <w:p w:rsidR="00BE02D7" w:rsidRPr="00485748" w:rsidRDefault="00BE02D7" w:rsidP="00BE02D7">
            <w:pPr>
              <w:rPr>
                <w:b/>
              </w:rPr>
            </w:pPr>
            <w:r w:rsidRPr="00485748">
              <w:rPr>
                <w:b/>
              </w:rPr>
              <w:t>Improvement of annexes 1 to 3 and further rationalization of precautionary statements</w:t>
            </w:r>
          </w:p>
          <w:p w:rsidR="009F3D53" w:rsidRPr="00283442" w:rsidRDefault="009F3D53" w:rsidP="009F3D53">
            <w:pPr>
              <w:jc w:val="both"/>
              <w:rPr>
                <w:b/>
              </w:rPr>
            </w:pPr>
          </w:p>
          <w:p w:rsidR="0099001C" w:rsidRDefault="0099001C" w:rsidP="006A7757">
            <w:pPr>
              <w:spacing w:line="240" w:lineRule="exact"/>
            </w:pPr>
          </w:p>
        </w:tc>
      </w:tr>
    </w:tbl>
    <w:p w:rsidR="00BE02D7" w:rsidRDefault="0099001C" w:rsidP="00BE02D7">
      <w:pPr>
        <w:pStyle w:val="HChG"/>
      </w:pPr>
      <w:r w:rsidRPr="009E7ABD">
        <w:rPr>
          <w:rFonts w:eastAsia="MS Mincho"/>
          <w:lang w:val="en-US" w:eastAsia="ja-JP"/>
        </w:rPr>
        <w:tab/>
      </w:r>
      <w:r w:rsidR="006A7757">
        <w:rPr>
          <w:rFonts w:eastAsia="MS Mincho"/>
          <w:lang w:val="en-US" w:eastAsia="ja-JP"/>
        </w:rPr>
        <w:tab/>
      </w:r>
      <w:r w:rsidR="00BE02D7" w:rsidRPr="007B00ED">
        <w:t xml:space="preserve">Further refinement of </w:t>
      </w:r>
      <w:r w:rsidR="004D54E0">
        <w:t xml:space="preserve">the </w:t>
      </w:r>
      <w:bookmarkStart w:id="0" w:name="_GoBack"/>
      <w:bookmarkEnd w:id="0"/>
      <w:r w:rsidR="00BE02D7">
        <w:t>precautionary statement for e</w:t>
      </w:r>
      <w:r w:rsidR="00BE02D7" w:rsidRPr="007B00ED">
        <w:t>xplosives</w:t>
      </w:r>
    </w:p>
    <w:p w:rsidR="00BE02D7" w:rsidRDefault="00BE02D7" w:rsidP="00BE02D7">
      <w:pPr>
        <w:pStyle w:val="H1G"/>
        <w:ind w:left="1138" w:right="1138" w:hanging="1138"/>
      </w:pPr>
      <w:r>
        <w:tab/>
      </w:r>
      <w:r>
        <w:tab/>
        <w:t>Transmitted by the expert from the United States</w:t>
      </w:r>
    </w:p>
    <w:p w:rsidR="00BE02D7" w:rsidRPr="00B66338" w:rsidRDefault="00BE02D7" w:rsidP="00BE02D7">
      <w:pPr>
        <w:pStyle w:val="SingleTxtG"/>
        <w:spacing w:before="360" w:after="240" w:line="270" w:lineRule="exact"/>
        <w:ind w:left="1138" w:right="1138"/>
        <w:rPr>
          <w:b/>
          <w:sz w:val="28"/>
          <w:szCs w:val="28"/>
        </w:rPr>
      </w:pPr>
      <w:r w:rsidRPr="00B66338">
        <w:rPr>
          <w:b/>
          <w:sz w:val="28"/>
          <w:szCs w:val="28"/>
        </w:rPr>
        <w:t>Background</w:t>
      </w:r>
    </w:p>
    <w:p w:rsidR="00BE02D7" w:rsidRDefault="00BE02D7" w:rsidP="00BE02D7">
      <w:pPr>
        <w:pStyle w:val="SingleTxtG"/>
      </w:pPr>
      <w:r>
        <w:t xml:space="preserve">1. </w:t>
      </w:r>
      <w:r>
        <w:tab/>
        <w:t xml:space="preserve">The United States thanks the expert from Sweden for his further attempts </w:t>
      </w:r>
      <w:r w:rsidRPr="003D08D2">
        <w:t xml:space="preserve">in document ST/SG/AC.10/C.4/2015/9 </w:t>
      </w:r>
      <w:r>
        <w:t xml:space="preserve">to refine the precautionary statement for explosives adopted by the Sub-Committee last session (see the annex to the report of the Sub-Committee on its 29th session, </w:t>
      </w:r>
      <w:r w:rsidRPr="00B8103D">
        <w:t>ST/SG/AC.10/C.4/58</w:t>
      </w:r>
      <w:r>
        <w:t>).</w:t>
      </w:r>
    </w:p>
    <w:p w:rsidR="00BE02D7" w:rsidRPr="00B66338" w:rsidRDefault="00BE02D7" w:rsidP="00BE02D7">
      <w:pPr>
        <w:pStyle w:val="SingleTxtG"/>
        <w:spacing w:before="360" w:after="240" w:line="270" w:lineRule="exact"/>
        <w:ind w:left="1138" w:right="1138"/>
        <w:rPr>
          <w:b/>
          <w:sz w:val="28"/>
          <w:szCs w:val="28"/>
        </w:rPr>
      </w:pPr>
      <w:r w:rsidRPr="00B66338">
        <w:rPr>
          <w:b/>
          <w:sz w:val="28"/>
          <w:szCs w:val="28"/>
        </w:rPr>
        <w:t>Comments</w:t>
      </w:r>
    </w:p>
    <w:p w:rsidR="00BE02D7" w:rsidRDefault="00BE02D7" w:rsidP="00BE02D7">
      <w:pPr>
        <w:pStyle w:val="SingleTxtG"/>
      </w:pPr>
      <w:r>
        <w:t xml:space="preserve">2. </w:t>
      </w:r>
      <w:r>
        <w:tab/>
        <w:t xml:space="preserve">However, we believe there are still problems with both of the new options it proposes.  In Option 1, as Sweden notes, there is the possibility that the user might believe that the text “[/...]” must appear in the precautionary statement.  In Option 2, the text </w:t>
      </w:r>
      <w:r w:rsidRPr="00CD6604">
        <w:t>“[/...]”</w:t>
      </w:r>
      <w:r>
        <w:t xml:space="preserve"> is not addressed in the conditions of use for explosives, which could also create questions in the user’s mind.  In general, both of Sweden’s options and the version of P502 adopted last session are much more complicated than the other precautionary statements in Table A.3.2.1. </w:t>
      </w:r>
    </w:p>
    <w:p w:rsidR="00BE02D7" w:rsidRDefault="00BE02D7" w:rsidP="00BE02D7">
      <w:pPr>
        <w:pStyle w:val="SingleTxtG"/>
      </w:pPr>
      <w:r>
        <w:t xml:space="preserve">3.  </w:t>
      </w:r>
      <w:r>
        <w:tab/>
        <w:t>In our view, these problems arise from the effort to cover both the explosive hazard and the hazardous to the ozone hazard under P502.  We think the better course is to revert to the P502 that appears in Rev. 6 for chemicals that are hazardous to the ozone layer, and adopt a new precautionary statement P503 that addresses the concerns that led Sweden to make the proposal in the first place.</w:t>
      </w:r>
    </w:p>
    <w:p w:rsidR="00BE02D7" w:rsidRDefault="00BE02D7" w:rsidP="00BE02D7">
      <w:pPr>
        <w:pStyle w:val="SingleTxtG"/>
      </w:pPr>
      <w:r>
        <w:t>4</w:t>
      </w:r>
      <w:r w:rsidRPr="00024EF5">
        <w:t>.</w:t>
      </w:r>
      <w:r w:rsidRPr="00024EF5">
        <w:tab/>
        <w:t xml:space="preserve">In addition, the United States also notes that the text adopted in the last session refers to information about the “disposal, recovery or recycling” of explosives.  Our fireworks expert inform us that recovery and recycling of unexploded or defective fireworks can be a common occurrence, and it is therefore important that the precautionary statement refer to these situations.  </w:t>
      </w:r>
      <w:r w:rsidRPr="00024EF5" w:rsidDel="001D75A2">
        <w:t>The United States therefore includes all three operations in its proposed P503, even though only disposal was addressed in the precautionary statement that appeared in the Rev. 6 versions of P501.</w:t>
      </w:r>
    </w:p>
    <w:p w:rsidR="00BE02D7" w:rsidRPr="00B66338" w:rsidRDefault="00BE02D7" w:rsidP="00BE02D7">
      <w:pPr>
        <w:pStyle w:val="SingleTxtG"/>
        <w:keepNext/>
        <w:keepLines/>
        <w:spacing w:before="360" w:after="240" w:line="270" w:lineRule="exact"/>
        <w:ind w:left="1138" w:right="1138"/>
        <w:rPr>
          <w:b/>
          <w:sz w:val="28"/>
          <w:szCs w:val="28"/>
        </w:rPr>
      </w:pPr>
      <w:r>
        <w:rPr>
          <w:b/>
          <w:sz w:val="28"/>
          <w:szCs w:val="28"/>
        </w:rPr>
        <w:lastRenderedPageBreak/>
        <w:t>Proposal</w:t>
      </w:r>
    </w:p>
    <w:p w:rsidR="00BE02D7" w:rsidRDefault="00BE02D7" w:rsidP="00BE02D7">
      <w:pPr>
        <w:pStyle w:val="SingleTxtG"/>
        <w:keepNext/>
        <w:keepLines/>
        <w:ind w:left="1138" w:right="1138"/>
      </w:pPr>
      <w:r>
        <w:t>5.    The United States proposes that P502 revert to the language that currently appears in Rev. 6, and that a new P503 be adopted as follows:</w:t>
      </w:r>
    </w:p>
    <w:p w:rsidR="00BE02D7" w:rsidRDefault="00BE02D7" w:rsidP="00BE02D7">
      <w:pPr>
        <w:pStyle w:val="SingleTxtG"/>
        <w:keepNext/>
        <w:keepLines/>
        <w:ind w:left="1138" w:right="1138"/>
      </w:pPr>
    </w:p>
    <w:tbl>
      <w:tblPr>
        <w:tblStyle w:val="TableGrid"/>
        <w:tblW w:w="9639" w:type="dxa"/>
        <w:tblLook w:val="04A0" w:firstRow="1" w:lastRow="0" w:firstColumn="1" w:lastColumn="0" w:noHBand="0" w:noVBand="1"/>
      </w:tblPr>
      <w:tblGrid>
        <w:gridCol w:w="852"/>
        <w:gridCol w:w="2514"/>
        <w:gridCol w:w="1626"/>
        <w:gridCol w:w="1626"/>
        <w:gridCol w:w="3021"/>
      </w:tblGrid>
      <w:tr w:rsidR="00BE02D7" w:rsidRPr="002A3DBB" w:rsidTr="00757678">
        <w:tc>
          <w:tcPr>
            <w:tcW w:w="852" w:type="dxa"/>
          </w:tcPr>
          <w:p w:rsidR="00BE02D7" w:rsidRPr="002A3DBB" w:rsidRDefault="00BE02D7" w:rsidP="00757678">
            <w:pPr>
              <w:pStyle w:val="Default"/>
              <w:jc w:val="center"/>
              <w:rPr>
                <w:sz w:val="20"/>
                <w:szCs w:val="20"/>
                <w:lang w:val="en-GB"/>
              </w:rPr>
            </w:pPr>
            <w:r w:rsidRPr="002A3DBB">
              <w:rPr>
                <w:b/>
                <w:bCs/>
                <w:sz w:val="20"/>
                <w:szCs w:val="20"/>
                <w:lang w:val="en-GB"/>
              </w:rPr>
              <w:t xml:space="preserve">Code </w:t>
            </w:r>
            <w:r w:rsidRPr="002A3DBB">
              <w:rPr>
                <w:b/>
                <w:bCs/>
                <w:sz w:val="20"/>
                <w:szCs w:val="20"/>
                <w:lang w:val="en-GB"/>
              </w:rPr>
              <w:br/>
              <w:t>(1)</w:t>
            </w:r>
          </w:p>
          <w:p w:rsidR="00BE02D7" w:rsidRPr="002A3DBB" w:rsidRDefault="00BE02D7" w:rsidP="00757678">
            <w:pPr>
              <w:jc w:val="center"/>
            </w:pPr>
          </w:p>
        </w:tc>
        <w:tc>
          <w:tcPr>
            <w:tcW w:w="2514" w:type="dxa"/>
          </w:tcPr>
          <w:p w:rsidR="00BE02D7" w:rsidRPr="002A3DBB" w:rsidRDefault="00BE02D7" w:rsidP="00757678">
            <w:pPr>
              <w:pStyle w:val="Default"/>
              <w:jc w:val="center"/>
              <w:rPr>
                <w:sz w:val="20"/>
                <w:szCs w:val="20"/>
                <w:lang w:val="en-GB"/>
              </w:rPr>
            </w:pPr>
            <w:r w:rsidRPr="002A3DBB">
              <w:rPr>
                <w:b/>
                <w:bCs/>
                <w:sz w:val="20"/>
                <w:szCs w:val="20"/>
                <w:lang w:val="en-GB"/>
              </w:rPr>
              <w:t xml:space="preserve">Disposal precautionary statements </w:t>
            </w:r>
            <w:r w:rsidRPr="002A3DBB">
              <w:rPr>
                <w:b/>
                <w:bCs/>
                <w:sz w:val="20"/>
                <w:szCs w:val="20"/>
                <w:lang w:val="en-GB"/>
              </w:rPr>
              <w:br/>
              <w:t>(2)</w:t>
            </w:r>
          </w:p>
        </w:tc>
        <w:tc>
          <w:tcPr>
            <w:tcW w:w="1626" w:type="dxa"/>
          </w:tcPr>
          <w:p w:rsidR="00BE02D7" w:rsidRPr="002A3DBB" w:rsidRDefault="00BE02D7" w:rsidP="00757678">
            <w:pPr>
              <w:pStyle w:val="Default"/>
              <w:jc w:val="center"/>
              <w:rPr>
                <w:sz w:val="20"/>
                <w:szCs w:val="20"/>
                <w:lang w:val="en-GB"/>
              </w:rPr>
            </w:pPr>
            <w:r w:rsidRPr="002A3DBB">
              <w:rPr>
                <w:b/>
                <w:bCs/>
                <w:sz w:val="20"/>
                <w:szCs w:val="20"/>
                <w:lang w:val="en-GB"/>
              </w:rPr>
              <w:t>Hazard class</w:t>
            </w:r>
          </w:p>
          <w:p w:rsidR="00BE02D7" w:rsidRPr="002A3DBB" w:rsidRDefault="00BE02D7" w:rsidP="00757678">
            <w:pPr>
              <w:jc w:val="center"/>
            </w:pPr>
            <w:r w:rsidRPr="002A3DBB">
              <w:rPr>
                <w:b/>
                <w:bCs/>
              </w:rPr>
              <w:t>(3)</w:t>
            </w:r>
          </w:p>
        </w:tc>
        <w:tc>
          <w:tcPr>
            <w:tcW w:w="1626" w:type="dxa"/>
          </w:tcPr>
          <w:p w:rsidR="00BE02D7" w:rsidRPr="002A3DBB" w:rsidRDefault="00BE02D7" w:rsidP="00757678">
            <w:pPr>
              <w:pStyle w:val="Default"/>
              <w:jc w:val="center"/>
              <w:rPr>
                <w:sz w:val="20"/>
                <w:szCs w:val="20"/>
                <w:lang w:val="en-GB"/>
              </w:rPr>
            </w:pPr>
            <w:r w:rsidRPr="002A3DBB">
              <w:rPr>
                <w:b/>
                <w:bCs/>
                <w:sz w:val="20"/>
                <w:szCs w:val="20"/>
                <w:lang w:val="en-GB"/>
              </w:rPr>
              <w:t>Hazard category</w:t>
            </w:r>
          </w:p>
          <w:p w:rsidR="00BE02D7" w:rsidRPr="002A3DBB" w:rsidRDefault="00BE02D7" w:rsidP="00757678">
            <w:pPr>
              <w:jc w:val="center"/>
            </w:pPr>
            <w:r w:rsidRPr="002A3DBB">
              <w:rPr>
                <w:b/>
                <w:bCs/>
              </w:rPr>
              <w:t>(4)</w:t>
            </w:r>
          </w:p>
        </w:tc>
        <w:tc>
          <w:tcPr>
            <w:tcW w:w="3021" w:type="dxa"/>
          </w:tcPr>
          <w:p w:rsidR="00BE02D7" w:rsidRPr="002A3DBB" w:rsidRDefault="00BE02D7" w:rsidP="00757678">
            <w:pPr>
              <w:pStyle w:val="Default"/>
              <w:jc w:val="center"/>
              <w:rPr>
                <w:sz w:val="20"/>
                <w:szCs w:val="20"/>
                <w:lang w:val="en-GB"/>
              </w:rPr>
            </w:pPr>
            <w:r w:rsidRPr="002A3DBB">
              <w:rPr>
                <w:b/>
                <w:bCs/>
                <w:sz w:val="20"/>
                <w:szCs w:val="20"/>
                <w:lang w:val="en-GB"/>
              </w:rPr>
              <w:t xml:space="preserve">Conditions for use </w:t>
            </w:r>
            <w:r w:rsidRPr="002A3DBB">
              <w:rPr>
                <w:b/>
                <w:bCs/>
                <w:sz w:val="20"/>
                <w:szCs w:val="20"/>
                <w:lang w:val="en-GB"/>
              </w:rPr>
              <w:br/>
              <w:t>(5)</w:t>
            </w:r>
          </w:p>
          <w:p w:rsidR="00BE02D7" w:rsidRPr="002A3DBB" w:rsidRDefault="00BE02D7" w:rsidP="00757678">
            <w:pPr>
              <w:jc w:val="center"/>
            </w:pPr>
          </w:p>
        </w:tc>
      </w:tr>
      <w:tr w:rsidR="00BE02D7" w:rsidRPr="002A3DBB" w:rsidTr="00757678">
        <w:trPr>
          <w:trHeight w:val="2410"/>
        </w:trPr>
        <w:tc>
          <w:tcPr>
            <w:tcW w:w="852" w:type="dxa"/>
          </w:tcPr>
          <w:p w:rsidR="00BE02D7" w:rsidRPr="002A3DBB" w:rsidRDefault="00BE02D7" w:rsidP="00757678">
            <w:pPr>
              <w:jc w:val="center"/>
            </w:pPr>
            <w:r>
              <w:t>P503</w:t>
            </w:r>
          </w:p>
        </w:tc>
        <w:tc>
          <w:tcPr>
            <w:tcW w:w="2514" w:type="dxa"/>
          </w:tcPr>
          <w:p w:rsidR="00BE02D7" w:rsidRPr="00F905EB" w:rsidRDefault="00BE02D7" w:rsidP="00757678">
            <w:pPr>
              <w:pStyle w:val="Default"/>
              <w:rPr>
                <w:b/>
                <w:sz w:val="20"/>
                <w:szCs w:val="20"/>
                <w:lang w:val="en-GB"/>
              </w:rPr>
            </w:pPr>
            <w:r w:rsidRPr="00F905EB">
              <w:rPr>
                <w:b/>
                <w:bCs/>
                <w:sz w:val="20"/>
                <w:szCs w:val="20"/>
                <w:lang w:val="en-GB"/>
              </w:rPr>
              <w:t xml:space="preserve">Refer to manufacturer or supplier/… for information on disposal, recovery, or recycling. </w:t>
            </w:r>
          </w:p>
          <w:p w:rsidR="00BE02D7" w:rsidRPr="002A3DBB" w:rsidRDefault="00BE02D7" w:rsidP="00757678"/>
        </w:tc>
        <w:tc>
          <w:tcPr>
            <w:tcW w:w="1626" w:type="dxa"/>
          </w:tcPr>
          <w:p w:rsidR="00BE02D7" w:rsidRPr="002A3DBB" w:rsidRDefault="00BE02D7" w:rsidP="00757678">
            <w:pPr>
              <w:pStyle w:val="Default"/>
              <w:rPr>
                <w:sz w:val="20"/>
                <w:szCs w:val="20"/>
              </w:rPr>
            </w:pPr>
            <w:r w:rsidRPr="002A3DBB">
              <w:rPr>
                <w:sz w:val="20"/>
                <w:szCs w:val="20"/>
              </w:rPr>
              <w:t xml:space="preserve">Explosives (Chapter 2.1) </w:t>
            </w:r>
          </w:p>
          <w:p w:rsidR="00BE02D7" w:rsidRPr="002A3DBB" w:rsidRDefault="00BE02D7" w:rsidP="00757678"/>
        </w:tc>
        <w:tc>
          <w:tcPr>
            <w:tcW w:w="1626" w:type="dxa"/>
          </w:tcPr>
          <w:p w:rsidR="00BE02D7" w:rsidRPr="002A3DBB" w:rsidRDefault="00BE02D7" w:rsidP="00757678">
            <w:pPr>
              <w:pStyle w:val="Default"/>
              <w:jc w:val="center"/>
              <w:rPr>
                <w:sz w:val="20"/>
                <w:szCs w:val="20"/>
              </w:rPr>
            </w:pPr>
            <w:r w:rsidRPr="002A3DBB">
              <w:rPr>
                <w:sz w:val="20"/>
                <w:szCs w:val="20"/>
              </w:rPr>
              <w:t>Unstable explosives and Divisions 1.1, 1.2, 1.3, 1.4, 1.5</w:t>
            </w:r>
          </w:p>
          <w:p w:rsidR="00BE02D7" w:rsidRPr="002A3DBB" w:rsidRDefault="00BE02D7" w:rsidP="00757678">
            <w:pPr>
              <w:jc w:val="center"/>
            </w:pPr>
          </w:p>
        </w:tc>
        <w:tc>
          <w:tcPr>
            <w:tcW w:w="3021" w:type="dxa"/>
          </w:tcPr>
          <w:p w:rsidR="00BE02D7" w:rsidRPr="002A3DBB" w:rsidRDefault="00BE02D7" w:rsidP="00757678">
            <w:pPr>
              <w:pStyle w:val="Default"/>
              <w:rPr>
                <w:sz w:val="20"/>
                <w:szCs w:val="20"/>
                <w:lang w:val="en-GB"/>
              </w:rPr>
            </w:pPr>
            <w:r w:rsidRPr="002A3DBB">
              <w:rPr>
                <w:sz w:val="20"/>
                <w:szCs w:val="20"/>
                <w:lang w:val="en-GB"/>
              </w:rPr>
              <w:t xml:space="preserve">… Manufacturer/supplier or the competent authority to specify appropriate source of information, in accordance with local/regional/national/ </w:t>
            </w:r>
          </w:p>
          <w:p w:rsidR="00BE02D7" w:rsidRPr="002A3DBB" w:rsidRDefault="00BE02D7" w:rsidP="00757678">
            <w:r w:rsidRPr="002A3DBB">
              <w:t xml:space="preserve">international regulations as applicable </w:t>
            </w:r>
          </w:p>
          <w:p w:rsidR="00BE02D7" w:rsidRPr="002A3DBB" w:rsidRDefault="00BE02D7" w:rsidP="00757678"/>
          <w:p w:rsidR="00BE02D7" w:rsidRPr="00E16B97" w:rsidRDefault="00BE02D7" w:rsidP="00757678">
            <w:pPr>
              <w:rPr>
                <w:b/>
                <w:i/>
                <w:u w:val="single"/>
              </w:rPr>
            </w:pPr>
          </w:p>
        </w:tc>
      </w:tr>
    </w:tbl>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D54E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153C8">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4D54E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BE02D7">
      <w:t>UN/SCEGHS/</w:t>
    </w:r>
    <w:r w:rsidR="00ED71D9" w:rsidRPr="00BE02D7">
      <w:t>30</w:t>
    </w:r>
    <w:r w:rsidRPr="00BE02D7">
      <w:t>/INF.</w:t>
    </w:r>
    <w:r w:rsidR="00BE02D7" w:rsidRPr="00BE02D7">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/INF.xx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D54E0"/>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79A4"/>
    <w:rsid w:val="00AA496B"/>
    <w:rsid w:val="00AE71F3"/>
    <w:rsid w:val="00B30179"/>
    <w:rsid w:val="00B30E8F"/>
    <w:rsid w:val="00B33EC0"/>
    <w:rsid w:val="00B81E12"/>
    <w:rsid w:val="00B97D28"/>
    <w:rsid w:val="00BC74E9"/>
    <w:rsid w:val="00BD2146"/>
    <w:rsid w:val="00BE02D7"/>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153C8"/>
    <w:rsid w:val="00E31C87"/>
    <w:rsid w:val="00E70DF5"/>
    <w:rsid w:val="00E7260F"/>
    <w:rsid w:val="00E80F5F"/>
    <w:rsid w:val="00E87921"/>
    <w:rsid w:val="00E96630"/>
    <w:rsid w:val="00EA264E"/>
    <w:rsid w:val="00EA3A41"/>
    <w:rsid w:val="00ED71D9"/>
    <w:rsid w:val="00ED7A2A"/>
    <w:rsid w:val="00EF1D7F"/>
    <w:rsid w:val="00F53EDA"/>
    <w:rsid w:val="00F7753D"/>
    <w:rsid w:val="00F85F34"/>
    <w:rsid w:val="00F905EB"/>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paragraph" w:customStyle="1" w:styleId="Default">
    <w:name w:val="Default"/>
    <w:rsid w:val="00BE02D7"/>
    <w:pPr>
      <w:autoSpaceDE w:val="0"/>
      <w:autoSpaceDN w:val="0"/>
      <w:adjustRightInd w:val="0"/>
    </w:pPr>
    <w:rPr>
      <w:rFonts w:eastAsia="Calibri"/>
      <w:color w:val="000000"/>
      <w:sz w:val="24"/>
      <w:szCs w:val="24"/>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FE7A-4A61-4338-941B-697AFFBD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8</cp:revision>
  <cp:lastPrinted>2015-12-07T08:44:00Z</cp:lastPrinted>
  <dcterms:created xsi:type="dcterms:W3CDTF">2015-06-23T07:37:00Z</dcterms:created>
  <dcterms:modified xsi:type="dcterms:W3CDTF">2015-12-07T08:44:00Z</dcterms:modified>
</cp:coreProperties>
</file>