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BC41F5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23E67" w:rsidRDefault="00446DE4" w:rsidP="000216CC">
            <w:pPr>
              <w:spacing w:after="80" w:line="340" w:lineRule="exact"/>
              <w:rPr>
                <w:color w:val="000000"/>
                <w:lang w:val="fr-CA"/>
              </w:rPr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23E67" w:rsidRDefault="00446DE4" w:rsidP="000216CC">
            <w:pPr>
              <w:spacing w:after="80" w:line="340" w:lineRule="exact"/>
              <w:rPr>
                <w:color w:val="000000"/>
                <w:sz w:val="28"/>
                <w:szCs w:val="28"/>
                <w:lang w:val="fr-CA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623E67" w:rsidRDefault="00FC215C" w:rsidP="00055FCC">
            <w:pPr>
              <w:ind w:right="0"/>
              <w:jc w:val="right"/>
              <w:rPr>
                <w:b/>
                <w:color w:val="000000"/>
                <w:sz w:val="40"/>
                <w:szCs w:val="40"/>
                <w:lang w:val="fr-CA"/>
              </w:rPr>
            </w:pP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UN/SCETDG/</w:t>
            </w:r>
            <w:r w:rsidR="001D4E70" w:rsidRPr="00623E67">
              <w:rPr>
                <w:b/>
                <w:color w:val="000000"/>
                <w:sz w:val="40"/>
                <w:szCs w:val="40"/>
                <w:lang w:val="fr-CA"/>
              </w:rPr>
              <w:t>4</w:t>
            </w:r>
            <w:r w:rsidR="00D626F7" w:rsidRPr="00623E67">
              <w:rPr>
                <w:b/>
                <w:color w:val="000000"/>
                <w:sz w:val="40"/>
                <w:szCs w:val="40"/>
                <w:lang w:val="fr-CA"/>
              </w:rPr>
              <w:t>8</w:t>
            </w: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/INF.</w:t>
            </w:r>
            <w:r w:rsidR="00D95F21">
              <w:rPr>
                <w:b/>
                <w:color w:val="000000"/>
                <w:sz w:val="40"/>
                <w:szCs w:val="40"/>
                <w:lang w:val="fr-CA"/>
              </w:rPr>
              <w:t>6</w:t>
            </w:r>
            <w:r w:rsidR="00B41B60">
              <w:rPr>
                <w:b/>
                <w:color w:val="000000"/>
                <w:sz w:val="40"/>
                <w:szCs w:val="40"/>
                <w:lang w:val="fr-CA"/>
              </w:rPr>
              <w:t>2</w:t>
            </w:r>
          </w:p>
          <w:p w:rsidR="000216CC" w:rsidRPr="00C07E4C" w:rsidRDefault="00FC215C" w:rsidP="00B41B60">
            <w:pPr>
              <w:ind w:right="0"/>
              <w:jc w:val="right"/>
              <w:rPr>
                <w:b/>
                <w:color w:val="000000"/>
                <w:sz w:val="40"/>
                <w:szCs w:val="40"/>
                <w:lang w:val="fr-CA"/>
              </w:rPr>
            </w:pP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UN/SCEGHS/</w:t>
            </w:r>
            <w:r w:rsidR="00D626F7" w:rsidRPr="00623E67">
              <w:rPr>
                <w:b/>
                <w:color w:val="000000"/>
                <w:sz w:val="40"/>
                <w:szCs w:val="40"/>
                <w:lang w:val="fr-CA"/>
              </w:rPr>
              <w:t>30</w:t>
            </w: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/INF.</w:t>
            </w:r>
            <w:r w:rsidR="00D95F21">
              <w:rPr>
                <w:b/>
                <w:color w:val="000000"/>
                <w:sz w:val="40"/>
                <w:szCs w:val="40"/>
                <w:lang w:val="fr-CA"/>
              </w:rPr>
              <w:t>2</w:t>
            </w:r>
            <w:r w:rsidR="00B41B60">
              <w:rPr>
                <w:b/>
                <w:color w:val="000000"/>
                <w:sz w:val="40"/>
                <w:szCs w:val="40"/>
                <w:lang w:val="fr-CA"/>
              </w:rPr>
              <w:t>3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623E6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F4589" w:rsidRPr="00623E67" w:rsidRDefault="002F4589" w:rsidP="002F4589">
            <w:pPr>
              <w:spacing w:before="120"/>
              <w:ind w:left="0"/>
              <w:rPr>
                <w:b/>
                <w:sz w:val="24"/>
                <w:szCs w:val="24"/>
                <w:lang w:val="fr-CA"/>
              </w:rPr>
            </w:pPr>
            <w:r w:rsidRPr="00623E67">
              <w:rPr>
                <w:b/>
                <w:sz w:val="24"/>
                <w:szCs w:val="24"/>
                <w:lang w:val="fr-CA"/>
              </w:rPr>
              <w:t>Comité d’experts du transport des marchandises dangereuses et du système général harmonisé de classification et d'étiquetage des produits chimiques</w:t>
            </w:r>
          </w:p>
          <w:p w:rsidR="00645A0B" w:rsidRPr="00623E67" w:rsidRDefault="00645A0B" w:rsidP="00D95F21">
            <w:pPr>
              <w:tabs>
                <w:tab w:val="right" w:pos="9214"/>
              </w:tabs>
              <w:ind w:left="210" w:right="2982"/>
              <w:rPr>
                <w:color w:val="000000"/>
                <w:lang w:val="fr-CA"/>
              </w:rPr>
            </w:pPr>
            <w:r w:rsidRPr="00623E67">
              <w:rPr>
                <w:b/>
                <w:color w:val="000000"/>
                <w:lang w:val="fr-CA"/>
              </w:rPr>
              <w:tab/>
            </w:r>
            <w:r w:rsidR="00D95F21">
              <w:rPr>
                <w:b/>
                <w:color w:val="000000"/>
                <w:lang w:val="fr-CA"/>
              </w:rPr>
              <w:t>4 December</w:t>
            </w:r>
            <w:r w:rsidR="00C348AE" w:rsidRPr="00623E67">
              <w:rPr>
                <w:b/>
                <w:color w:val="000000"/>
                <w:lang w:val="fr-CA"/>
              </w:rPr>
              <w:t xml:space="preserve"> 2015</w:t>
            </w:r>
          </w:p>
        </w:tc>
      </w:tr>
      <w:tr w:rsidR="002F4589" w:rsidRPr="00BC41F5" w:rsidTr="00510EAC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F4589" w:rsidRPr="00623E67" w:rsidRDefault="002F4589" w:rsidP="00C23758">
            <w:pPr>
              <w:spacing w:before="12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Sous-comité d’experts du transport des marchandises dangereuses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F4589" w:rsidRPr="00623E67" w:rsidRDefault="002F4589" w:rsidP="00335F23">
            <w:pPr>
              <w:spacing w:before="120"/>
              <w:ind w:left="0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Sous-</w:t>
            </w:r>
            <w:r w:rsidR="00C509A4" w:rsidRPr="00623E67">
              <w:rPr>
                <w:b/>
                <w:lang w:val="fr-CA"/>
              </w:rPr>
              <w:t>c</w:t>
            </w:r>
            <w:r w:rsidRPr="00623E67">
              <w:rPr>
                <w:b/>
                <w:lang w:val="fr-CA"/>
              </w:rPr>
              <w:t xml:space="preserve">omité d'experts du </w:t>
            </w:r>
            <w:r w:rsidR="00335F23">
              <w:rPr>
                <w:b/>
                <w:lang w:val="fr-CA"/>
              </w:rPr>
              <w:t>s</w:t>
            </w:r>
            <w:r w:rsidRPr="00623E67">
              <w:rPr>
                <w:b/>
                <w:lang w:val="fr-CA"/>
              </w:rPr>
              <w:t>ystème général harmonisé de classification et d'étiquetage des produits chimiques</w:t>
            </w:r>
          </w:p>
        </w:tc>
      </w:tr>
      <w:tr w:rsidR="00D626F7" w:rsidRPr="00623E6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26F7" w:rsidRPr="00623E67" w:rsidRDefault="002F4589" w:rsidP="00C23758">
            <w:pPr>
              <w:tabs>
                <w:tab w:val="left" w:pos="2830"/>
              </w:tabs>
              <w:spacing w:after="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Quarante-huitième session</w:t>
            </w:r>
            <w:r w:rsidR="00B30C55" w:rsidRPr="00623E67">
              <w:rPr>
                <w:b/>
                <w:lang w:val="fr-CA"/>
              </w:rPr>
              <w:tab/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26F7" w:rsidRPr="00623E67" w:rsidRDefault="00D626F7" w:rsidP="00C23758">
            <w:pPr>
              <w:spacing w:after="0"/>
              <w:ind w:left="0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T</w:t>
            </w:r>
            <w:r w:rsidR="002F4589" w:rsidRPr="00623E67">
              <w:rPr>
                <w:b/>
                <w:lang w:val="fr-CA"/>
              </w:rPr>
              <w:t>rentième</w:t>
            </w:r>
            <w:r w:rsidRPr="00623E67">
              <w:rPr>
                <w:b/>
                <w:lang w:val="fr-CA"/>
              </w:rPr>
              <w:t xml:space="preserve"> session</w:t>
            </w:r>
          </w:p>
        </w:tc>
      </w:tr>
      <w:tr w:rsidR="00D626F7" w:rsidRPr="00BC41F5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626F7" w:rsidRPr="00623E67" w:rsidRDefault="00D626F7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Gen</w:t>
            </w:r>
            <w:r w:rsidR="00B30C55" w:rsidRPr="00623E67">
              <w:rPr>
                <w:lang w:val="fr-CA"/>
              </w:rPr>
              <w:t>ève, du 3</w:t>
            </w:r>
            <w:r w:rsidR="002F4589" w:rsidRPr="00623E67">
              <w:rPr>
                <w:lang w:val="fr-CA"/>
              </w:rPr>
              <w:t>0 n</w:t>
            </w:r>
            <w:r w:rsidRPr="00623E67">
              <w:rPr>
                <w:lang w:val="fr-CA"/>
              </w:rPr>
              <w:t>ovemb</w:t>
            </w:r>
            <w:r w:rsidR="002F4589" w:rsidRPr="00623E67">
              <w:rPr>
                <w:lang w:val="fr-CA"/>
              </w:rPr>
              <w:t>re au 9 dé</w:t>
            </w:r>
            <w:r w:rsidRPr="00623E67">
              <w:rPr>
                <w:lang w:val="fr-CA"/>
              </w:rPr>
              <w:t>cemb</w:t>
            </w:r>
            <w:r w:rsidR="002F4589" w:rsidRPr="00623E67">
              <w:rPr>
                <w:lang w:val="fr-CA"/>
              </w:rPr>
              <w:t>r</w:t>
            </w:r>
            <w:r w:rsidRPr="00623E67">
              <w:rPr>
                <w:lang w:val="fr-CA"/>
              </w:rPr>
              <w:t>e 2015</w:t>
            </w:r>
          </w:p>
          <w:p w:rsidR="00D626F7" w:rsidRPr="00623E67" w:rsidRDefault="002F4589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Point</w:t>
            </w:r>
            <w:r w:rsidR="00036672" w:rsidRPr="00623E67">
              <w:rPr>
                <w:lang w:val="fr-CA"/>
              </w:rPr>
              <w:t xml:space="preserve"> 3</w:t>
            </w:r>
            <w:r w:rsidR="00D626F7" w:rsidRPr="00623E67">
              <w:rPr>
                <w:lang w:val="fr-CA"/>
              </w:rPr>
              <w:t xml:space="preserve"> </w:t>
            </w:r>
            <w:r w:rsidRPr="00623E67">
              <w:rPr>
                <w:lang w:val="fr-CA"/>
              </w:rPr>
              <w:t>de l’ordre du jour provisoire</w:t>
            </w:r>
          </w:p>
          <w:p w:rsidR="00D626F7" w:rsidRPr="00623E67" w:rsidRDefault="00C509A4" w:rsidP="00C23758">
            <w:pPr>
              <w:spacing w:after="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Inscription, c</w:t>
            </w:r>
            <w:r w:rsidR="00036672" w:rsidRPr="00623E67">
              <w:rPr>
                <w:b/>
                <w:lang w:val="fr-CA"/>
              </w:rPr>
              <w:t xml:space="preserve">lassification </w:t>
            </w:r>
            <w:r w:rsidRPr="00623E67">
              <w:rPr>
                <w:b/>
                <w:lang w:val="fr-CA"/>
              </w:rPr>
              <w:t>et emballage</w:t>
            </w:r>
            <w:r w:rsidR="001F7C45">
              <w:rPr>
                <w:b/>
                <w:lang w:val="fr-CA"/>
              </w:rPr>
              <w:t xml:space="preserve"> 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626F7" w:rsidRPr="00623E67" w:rsidRDefault="002F4589" w:rsidP="00C23758">
            <w:pPr>
              <w:spacing w:after="0"/>
              <w:ind w:left="0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Genève, du 9 au 11 dé</w:t>
            </w:r>
            <w:r w:rsidR="00D626F7" w:rsidRPr="00623E67">
              <w:rPr>
                <w:lang w:val="fr-CA"/>
              </w:rPr>
              <w:t>cemb</w:t>
            </w:r>
            <w:r w:rsidRPr="00623E67">
              <w:rPr>
                <w:lang w:val="fr-CA"/>
              </w:rPr>
              <w:t>r</w:t>
            </w:r>
            <w:r w:rsidR="00D626F7" w:rsidRPr="00623E67">
              <w:rPr>
                <w:lang w:val="fr-CA"/>
              </w:rPr>
              <w:t>e 2015</w:t>
            </w:r>
          </w:p>
          <w:p w:rsidR="002F4589" w:rsidRPr="00623E67" w:rsidRDefault="002F4589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Point 2 de l’ordre du jour provisoire</w:t>
            </w:r>
          </w:p>
          <w:p w:rsidR="00D626F7" w:rsidRPr="00623E67" w:rsidRDefault="002F4589" w:rsidP="00C23758">
            <w:pPr>
              <w:spacing w:after="0"/>
              <w:ind w:left="0"/>
              <w:jc w:val="left"/>
              <w:rPr>
                <w:b/>
                <w:strike/>
                <w:lang w:val="fr-CA"/>
              </w:rPr>
            </w:pPr>
            <w:r w:rsidRPr="00623E67">
              <w:rPr>
                <w:b/>
                <w:lang w:val="fr-CA"/>
              </w:rPr>
              <w:t>Travaux conjoints avec le Sous-comité d’experts du transport des marchandises dangereuses</w:t>
            </w:r>
            <w:r w:rsidR="00C509A4" w:rsidRPr="00623E67">
              <w:rPr>
                <w:b/>
                <w:lang w:val="fr-CA"/>
              </w:rPr>
              <w:t xml:space="preserve"> (Sous-comité du TMD)</w:t>
            </w:r>
          </w:p>
        </w:tc>
      </w:tr>
    </w:tbl>
    <w:p w:rsidR="00D626F7" w:rsidRPr="00623E67" w:rsidRDefault="00D95F21" w:rsidP="00D95F21">
      <w:pPr>
        <w:pStyle w:val="HChG"/>
        <w:rPr>
          <w:rFonts w:eastAsia="MS Mincho"/>
          <w:lang w:val="fr-CA"/>
        </w:rPr>
      </w:pPr>
      <w:r>
        <w:rPr>
          <w:rFonts w:eastAsia="MS Mincho"/>
          <w:lang w:val="fr-CA" w:eastAsia="ja-JP"/>
        </w:rPr>
        <w:tab/>
      </w:r>
      <w:r>
        <w:rPr>
          <w:rFonts w:eastAsia="MS Mincho"/>
          <w:lang w:val="fr-CA" w:eastAsia="ja-JP"/>
        </w:rPr>
        <w:tab/>
      </w:r>
      <w:r w:rsidR="00C509A4" w:rsidRPr="00623E67">
        <w:rPr>
          <w:rFonts w:eastAsia="MS Mincho"/>
          <w:lang w:val="fr-CA" w:eastAsia="ja-JP"/>
        </w:rPr>
        <w:t>Pétrole brut</w:t>
      </w:r>
      <w:r w:rsidR="00036672" w:rsidRPr="00623E67">
        <w:rPr>
          <w:rFonts w:eastAsia="MS Mincho"/>
          <w:lang w:val="fr-CA" w:eastAsia="ja-JP"/>
        </w:rPr>
        <w:t xml:space="preserve"> – </w:t>
      </w:r>
      <w:r w:rsidR="00C509A4" w:rsidRPr="00623E67">
        <w:rPr>
          <w:rFonts w:eastAsia="MS Mincho"/>
          <w:lang w:val="fr-CA" w:eastAsia="ja-JP"/>
        </w:rPr>
        <w:t xml:space="preserve">questions </w:t>
      </w:r>
      <w:r w:rsidR="00D2262E">
        <w:rPr>
          <w:rFonts w:eastAsia="MS Mincho"/>
          <w:lang w:val="fr-CA" w:eastAsia="ja-JP"/>
        </w:rPr>
        <w:t>de</w:t>
      </w:r>
      <w:r w:rsidR="00C509A4" w:rsidRPr="00623E67">
        <w:rPr>
          <w:rFonts w:eastAsia="MS Mincho"/>
          <w:lang w:val="fr-CA" w:eastAsia="ja-JP"/>
        </w:rPr>
        <w:t xml:space="preserve"> </w:t>
      </w:r>
      <w:r w:rsidR="00036672" w:rsidRPr="00623E67">
        <w:rPr>
          <w:rFonts w:eastAsia="MS Mincho"/>
          <w:lang w:val="fr-CA" w:eastAsia="ja-JP"/>
        </w:rPr>
        <w:t>classification</w:t>
      </w:r>
      <w:r w:rsidR="00C509A4" w:rsidRPr="00623E67">
        <w:rPr>
          <w:rFonts w:eastAsia="MS Mincho"/>
          <w:lang w:val="fr-CA" w:eastAsia="ja-JP"/>
        </w:rPr>
        <w:t xml:space="preserve"> et</w:t>
      </w:r>
      <w:r w:rsidR="00036672" w:rsidRPr="00623E67">
        <w:rPr>
          <w:rFonts w:eastAsia="MS Mincho"/>
          <w:lang w:val="fr-CA" w:eastAsia="ja-JP"/>
        </w:rPr>
        <w:t xml:space="preserve"> transport</w:t>
      </w:r>
    </w:p>
    <w:p w:rsidR="00D626F7" w:rsidRPr="00623E67" w:rsidRDefault="00D95F21" w:rsidP="00F06BFB">
      <w:pPr>
        <w:pStyle w:val="H1G"/>
        <w:ind w:left="0" w:firstLine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09A4" w:rsidRPr="00623E67">
        <w:rPr>
          <w:lang w:val="fr-CA"/>
        </w:rPr>
        <w:t>Communication de l’expert du</w:t>
      </w:r>
      <w:r w:rsidR="00D626F7" w:rsidRPr="00623E67">
        <w:rPr>
          <w:lang w:val="fr-CA"/>
        </w:rPr>
        <w:t xml:space="preserve"> Canada</w:t>
      </w:r>
    </w:p>
    <w:p w:rsidR="00D626F7" w:rsidRPr="00623E67" w:rsidRDefault="00D95F21" w:rsidP="00D626F7">
      <w:pPr>
        <w:pStyle w:val="HChG"/>
        <w:rPr>
          <w:rFonts w:eastAsia="MS Mincho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09A4" w:rsidRPr="00623E67">
        <w:rPr>
          <w:lang w:val="fr-CA"/>
        </w:rPr>
        <w:t>Objet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D62640" w:rsidRPr="00623E67">
        <w:rPr>
          <w:lang w:val="fr-CA"/>
        </w:rPr>
        <w:t xml:space="preserve">En </w:t>
      </w:r>
      <w:r w:rsidR="00D62640" w:rsidRPr="00D95F21">
        <w:t>référence</w:t>
      </w:r>
      <w:r w:rsidR="00D62640" w:rsidRPr="00623E67">
        <w:rPr>
          <w:lang w:val="fr-CA"/>
        </w:rPr>
        <w:t xml:space="preserve"> au document</w:t>
      </w:r>
      <w:r w:rsidR="00036672" w:rsidRPr="00623E67">
        <w:rPr>
          <w:lang w:val="fr-CA"/>
        </w:rPr>
        <w:t xml:space="preserve"> ST/SG/AC.10/C.3/2014/49, </w:t>
      </w:r>
      <w:r w:rsidR="00421064">
        <w:rPr>
          <w:lang w:val="fr-CA"/>
        </w:rPr>
        <w:t>rendre compte</w:t>
      </w:r>
      <w:r w:rsidR="00D62640" w:rsidRPr="00623E67">
        <w:rPr>
          <w:lang w:val="fr-CA"/>
        </w:rPr>
        <w:t xml:space="preserve"> à deux sous-comités d’experts de l’ONU, soit le Sous-comité d’experts </w:t>
      </w:r>
      <w:r w:rsidR="00C23758" w:rsidRPr="00623E67">
        <w:rPr>
          <w:lang w:val="fr-CA"/>
        </w:rPr>
        <w:t>du</w:t>
      </w:r>
      <w:r w:rsidR="00D62640" w:rsidRPr="00623E67">
        <w:rPr>
          <w:lang w:val="fr-CA"/>
        </w:rPr>
        <w:t xml:space="preserve"> transport des marchandises dangereuses</w:t>
      </w:r>
      <w:r w:rsidR="00036672" w:rsidRPr="00623E67">
        <w:rPr>
          <w:lang w:val="fr-CA"/>
        </w:rPr>
        <w:t xml:space="preserve"> </w:t>
      </w:r>
      <w:r w:rsidR="00D626F7" w:rsidRPr="00623E67">
        <w:rPr>
          <w:lang w:val="fr-CA"/>
        </w:rPr>
        <w:t>(</w:t>
      </w:r>
      <w:r w:rsidR="00663125">
        <w:rPr>
          <w:lang w:val="fr-CA"/>
        </w:rPr>
        <w:t>SCETMD-ONU</w:t>
      </w:r>
      <w:r w:rsidR="00D626F7" w:rsidRPr="00623E67">
        <w:rPr>
          <w:lang w:val="fr-CA"/>
        </w:rPr>
        <w:t>)</w:t>
      </w:r>
      <w:r w:rsidR="00036672" w:rsidRPr="00623E67">
        <w:rPr>
          <w:lang w:val="fr-CA"/>
        </w:rPr>
        <w:t xml:space="preserve"> </w:t>
      </w:r>
      <w:r w:rsidR="00D62640" w:rsidRPr="00623E67">
        <w:rPr>
          <w:lang w:val="fr-CA"/>
        </w:rPr>
        <w:t xml:space="preserve">et le Sous-comité d’experts du </w:t>
      </w:r>
      <w:r w:rsidR="00335F23">
        <w:rPr>
          <w:lang w:val="fr-CA"/>
        </w:rPr>
        <w:t>s</w:t>
      </w:r>
      <w:r w:rsidR="00D62640" w:rsidRPr="00623E67">
        <w:rPr>
          <w:lang w:val="fr-CA"/>
        </w:rPr>
        <w:t>ystème général harmonisé de classification et d’étiquetage des produits chimiques</w:t>
      </w:r>
      <w:r w:rsidR="00036672" w:rsidRPr="00623E67">
        <w:rPr>
          <w:lang w:val="fr-CA"/>
        </w:rPr>
        <w:t xml:space="preserve"> (</w:t>
      </w:r>
      <w:r w:rsidR="00663125">
        <w:rPr>
          <w:lang w:val="fr-CA"/>
        </w:rPr>
        <w:t>SCESGH-ONU)</w:t>
      </w:r>
      <w:r w:rsidR="00C23758" w:rsidRPr="00623E67">
        <w:rPr>
          <w:lang w:val="fr-CA"/>
        </w:rPr>
        <w:t>,</w:t>
      </w:r>
      <w:r w:rsidR="00036672" w:rsidRPr="00623E67">
        <w:rPr>
          <w:lang w:val="fr-CA"/>
        </w:rPr>
        <w:t xml:space="preserve"> </w:t>
      </w:r>
      <w:r w:rsidR="0033091A" w:rsidRPr="00623E67">
        <w:rPr>
          <w:lang w:val="fr-CA"/>
        </w:rPr>
        <w:t xml:space="preserve">sur les conclusions d’une étude </w:t>
      </w:r>
      <w:r w:rsidR="00C23758" w:rsidRPr="00623E67">
        <w:rPr>
          <w:lang w:val="fr-CA"/>
        </w:rPr>
        <w:t xml:space="preserve">ciblée </w:t>
      </w:r>
      <w:r w:rsidR="0033091A" w:rsidRPr="00623E67">
        <w:rPr>
          <w:lang w:val="fr-CA"/>
        </w:rPr>
        <w:t>d’échantillonnage et d’analyse pour évaluer la</w:t>
      </w:r>
      <w:r w:rsidR="00036672" w:rsidRPr="00623E67">
        <w:rPr>
          <w:lang w:val="fr-CA"/>
        </w:rPr>
        <w:t xml:space="preserve"> composition</w:t>
      </w:r>
      <w:r w:rsidR="0033091A" w:rsidRPr="00623E67">
        <w:rPr>
          <w:lang w:val="fr-CA"/>
        </w:rPr>
        <w:t xml:space="preserve"> et les</w:t>
      </w:r>
      <w:r w:rsidR="00036672" w:rsidRPr="00623E67">
        <w:rPr>
          <w:lang w:val="fr-CA"/>
        </w:rPr>
        <w:t xml:space="preserve"> prop</w:t>
      </w:r>
      <w:r w:rsidR="0033091A" w:rsidRPr="00623E67">
        <w:rPr>
          <w:lang w:val="fr-CA"/>
        </w:rPr>
        <w:t>riétés d</w:t>
      </w:r>
      <w:r w:rsidR="00335F23">
        <w:rPr>
          <w:lang w:val="fr-CA"/>
        </w:rPr>
        <w:t>es</w:t>
      </w:r>
      <w:r w:rsidR="0033091A" w:rsidRPr="00623E67">
        <w:rPr>
          <w:lang w:val="fr-CA"/>
        </w:rPr>
        <w:t xml:space="preserve"> pétrole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brut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transporté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par mode routier et ferroviaire au</w:t>
      </w:r>
      <w:r w:rsidR="00036672" w:rsidRPr="00623E67">
        <w:rPr>
          <w:lang w:val="fr-CA"/>
        </w:rPr>
        <w:t xml:space="preserve"> Canada</w:t>
      </w:r>
      <w:r w:rsidR="00D626F7" w:rsidRPr="00623E67">
        <w:rPr>
          <w:lang w:val="fr-CA"/>
        </w:rPr>
        <w:t>.</w:t>
      </w:r>
    </w:p>
    <w:p w:rsidR="00D626F7" w:rsidRPr="00623E67" w:rsidRDefault="00D95F21" w:rsidP="00F06BFB">
      <w:pPr>
        <w:pStyle w:val="HChG"/>
        <w:ind w:left="0" w:firstLine="0"/>
        <w:rPr>
          <w:rFonts w:eastAsia="MS Mincho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3091A" w:rsidRPr="00623E67">
        <w:rPr>
          <w:lang w:val="fr-CA"/>
        </w:rPr>
        <w:t>Renseignements généraux et i</w:t>
      </w:r>
      <w:r w:rsidR="00D626F7" w:rsidRPr="00623E67">
        <w:rPr>
          <w:lang w:val="fr-CA"/>
        </w:rPr>
        <w:t>ntroduction</w:t>
      </w:r>
    </w:p>
    <w:p w:rsidR="001D2518" w:rsidRPr="00623E67" w:rsidRDefault="00D95F21" w:rsidP="00D95F21">
      <w:pPr>
        <w:pStyle w:val="SingleTxtG"/>
        <w:rPr>
          <w:lang w:val="fr-CA"/>
        </w:rPr>
      </w:pPr>
      <w:r>
        <w:t>2.</w:t>
      </w:r>
      <w:r>
        <w:tab/>
      </w:r>
      <w:r w:rsidR="00100915" w:rsidRPr="00D95F21">
        <w:t>L’Amérique</w:t>
      </w:r>
      <w:r w:rsidR="00100915" w:rsidRPr="00623E67">
        <w:rPr>
          <w:lang w:val="fr-CA"/>
        </w:rPr>
        <w:t xml:space="preserve"> du Nord a connu une importante augmentation </w:t>
      </w:r>
      <w:r w:rsidR="00644F4A">
        <w:rPr>
          <w:lang w:val="fr-CA"/>
        </w:rPr>
        <w:t>de son a</w:t>
      </w:r>
      <w:r w:rsidR="00100915" w:rsidRPr="00623E67">
        <w:rPr>
          <w:lang w:val="fr-CA"/>
        </w:rPr>
        <w:t xml:space="preserve">pprovisionnement en pétrole brut, </w:t>
      </w:r>
      <w:r w:rsidR="00335F23">
        <w:rPr>
          <w:lang w:val="fr-CA"/>
        </w:rPr>
        <w:t>en raison d’u</w:t>
      </w:r>
      <w:r w:rsidR="00100915" w:rsidRPr="00623E67">
        <w:rPr>
          <w:lang w:val="fr-CA"/>
        </w:rPr>
        <w:t xml:space="preserve">ne production croissante dans les sables bitumineux canadiens et </w:t>
      </w:r>
      <w:r w:rsidR="00644F4A">
        <w:rPr>
          <w:lang w:val="fr-CA"/>
        </w:rPr>
        <w:t xml:space="preserve">de </w:t>
      </w:r>
      <w:r w:rsidR="00100915" w:rsidRPr="00623E67">
        <w:rPr>
          <w:lang w:val="fr-CA"/>
        </w:rPr>
        <w:t>la récente expansion de la production du pétrole de schiste et du gaz naturel aux États-Unis d’Amérique et au</w:t>
      </w:r>
      <w:r w:rsidR="001D2518" w:rsidRPr="00623E67">
        <w:rPr>
          <w:lang w:val="fr-CA"/>
        </w:rPr>
        <w:t xml:space="preserve"> Canada.</w:t>
      </w:r>
      <w:r w:rsidR="00395E4C" w:rsidRPr="00623E67">
        <w:rPr>
          <w:lang w:val="fr-CA"/>
        </w:rPr>
        <w:t xml:space="preserve"> </w:t>
      </w:r>
    </w:p>
    <w:p w:rsidR="001D2518" w:rsidRPr="00D95F21" w:rsidRDefault="00D95F21" w:rsidP="00D95F21">
      <w:pPr>
        <w:pStyle w:val="SingleTxtG"/>
      </w:pPr>
      <w:r>
        <w:t>3.</w:t>
      </w:r>
      <w:r>
        <w:tab/>
      </w:r>
      <w:r w:rsidR="00100915" w:rsidRPr="00D95F21">
        <w:t xml:space="preserve">Le pétrole de schiste nord-américain se </w:t>
      </w:r>
      <w:r w:rsidR="00335F23" w:rsidRPr="00D95F21">
        <w:t>re</w:t>
      </w:r>
      <w:r w:rsidR="00100915" w:rsidRPr="00D95F21">
        <w:t>trouve en grande partie dans des régions gé</w:t>
      </w:r>
      <w:r w:rsidR="001D2518" w:rsidRPr="00D95F21">
        <w:t>ographi</w:t>
      </w:r>
      <w:r w:rsidR="00100915" w:rsidRPr="00D95F21">
        <w:t xml:space="preserve">ques éloignées des oléoducs </w:t>
      </w:r>
      <w:r w:rsidR="00E91A39" w:rsidRPr="00D95F21">
        <w:t>tradition</w:t>
      </w:r>
      <w:r w:rsidR="00100915" w:rsidRPr="00D95F21">
        <w:t>nels utilisé</w:t>
      </w:r>
      <w:r w:rsidR="00335F23" w:rsidRPr="00D95F21">
        <w:t>s</w:t>
      </w:r>
      <w:r w:rsidR="00100915" w:rsidRPr="00D95F21">
        <w:t xml:space="preserve"> pour le </w:t>
      </w:r>
      <w:r w:rsidR="00335F23" w:rsidRPr="00D95F21">
        <w:t xml:space="preserve">transport du </w:t>
      </w:r>
      <w:r w:rsidR="00100915" w:rsidRPr="00D95F21">
        <w:t xml:space="preserve">pétrole brut et </w:t>
      </w:r>
      <w:r w:rsidR="00335F23" w:rsidRPr="00D95F21">
        <w:t>du</w:t>
      </w:r>
      <w:r w:rsidR="00100915" w:rsidRPr="00D95F21">
        <w:t xml:space="preserve"> gaz naturel</w:t>
      </w:r>
      <w:r w:rsidR="001D2518" w:rsidRPr="00D95F21">
        <w:t xml:space="preserve">, </w:t>
      </w:r>
      <w:r w:rsidR="00100915" w:rsidRPr="00D95F21">
        <w:t xml:space="preserve">ce qui </w:t>
      </w:r>
      <w:r w:rsidR="00E91A39" w:rsidRPr="00D95F21">
        <w:t>entraîne</w:t>
      </w:r>
      <w:r w:rsidR="00100915" w:rsidRPr="00D95F21">
        <w:t xml:space="preserve"> une augmentation </w:t>
      </w:r>
      <w:r w:rsidR="00E91A39" w:rsidRPr="00D95F21">
        <w:t>du</w:t>
      </w:r>
      <w:r w:rsidR="00100915" w:rsidRPr="00D95F21">
        <w:t xml:space="preserve"> transport terrestre. En plus, le transport </w:t>
      </w:r>
      <w:r w:rsidR="00335F23" w:rsidRPr="00D95F21">
        <w:t>en surface</w:t>
      </w:r>
      <w:r w:rsidR="00100915" w:rsidRPr="00D95F21">
        <w:t xml:space="preserve"> (routier et ferroviaire)</w:t>
      </w:r>
      <w:r w:rsidR="001D2518" w:rsidRPr="00D95F21">
        <w:t xml:space="preserve"> </w:t>
      </w:r>
      <w:r w:rsidR="00100915" w:rsidRPr="00D95F21">
        <w:t>a permis de transporter le pétrole brut vers différentes raffineries situées sur le territoire nord-américain</w:t>
      </w:r>
      <w:r w:rsidR="001D2518" w:rsidRPr="00D95F21">
        <w:t>.</w:t>
      </w:r>
      <w:r w:rsidR="00B610E5" w:rsidRPr="00D95F21">
        <w:t xml:space="preserve"> </w:t>
      </w:r>
      <w:r w:rsidR="00510EAC" w:rsidRPr="00D95F21">
        <w:t>Il est reconnu que c</w:t>
      </w:r>
      <w:r w:rsidR="00100915" w:rsidRPr="00D95F21">
        <w:t>e pétrole brut</w:t>
      </w:r>
      <w:r w:rsidR="001D2518" w:rsidRPr="00D95F21">
        <w:t xml:space="preserve"> </w:t>
      </w:r>
      <w:r w:rsidR="008272AB" w:rsidRPr="00D95F21">
        <w:t>contient des composant</w:t>
      </w:r>
      <w:r w:rsidR="00510EAC" w:rsidRPr="00D95F21">
        <w:t xml:space="preserve">s beaucoup plus volatiles que ce qui était </w:t>
      </w:r>
      <w:r w:rsidR="00E91A39" w:rsidRPr="00D95F21">
        <w:t>traditionnellement</w:t>
      </w:r>
      <w:r w:rsidR="00510EAC" w:rsidRPr="00D95F21">
        <w:t xml:space="preserve"> transporté comme du pétrole brut</w:t>
      </w:r>
      <w:r w:rsidR="001D2518" w:rsidRPr="00D95F21">
        <w:t xml:space="preserve"> UN 1267.</w:t>
      </w:r>
    </w:p>
    <w:p w:rsidR="001D2518" w:rsidRPr="00D95F21" w:rsidRDefault="00D95F21" w:rsidP="00D95F21">
      <w:pPr>
        <w:pStyle w:val="SingleTxtG"/>
      </w:pPr>
      <w:r>
        <w:t>4.</w:t>
      </w:r>
      <w:r>
        <w:tab/>
      </w:r>
      <w:r w:rsidR="00510EAC" w:rsidRPr="00D95F21">
        <w:t xml:space="preserve">Cette augmentation exponentielle </w:t>
      </w:r>
      <w:r w:rsidR="00E91A39" w:rsidRPr="00D95F21">
        <w:t xml:space="preserve">des </w:t>
      </w:r>
      <w:r w:rsidR="00510EAC" w:rsidRPr="00D95F21">
        <w:t>déplacement</w:t>
      </w:r>
      <w:r w:rsidR="00E91A39" w:rsidRPr="00D95F21">
        <w:t>s</w:t>
      </w:r>
      <w:r w:rsidR="00510EAC" w:rsidRPr="00D95F21">
        <w:t xml:space="preserve"> terrestre</w:t>
      </w:r>
      <w:r w:rsidR="00E91A39" w:rsidRPr="00D95F21">
        <w:t>s</w:t>
      </w:r>
      <w:r w:rsidR="00510EAC" w:rsidRPr="00D95F21">
        <w:t xml:space="preserve"> de pétrole brut a incité les autorités américaines et canadiennes à considérer </w:t>
      </w:r>
      <w:r w:rsidR="00E91A39" w:rsidRPr="00D95F21">
        <w:t>les répercussions</w:t>
      </w:r>
      <w:r w:rsidR="00510EAC" w:rsidRPr="00D95F21">
        <w:t xml:space="preserve"> sur la sécurité des transports et les éventuelles répercussions </w:t>
      </w:r>
      <w:r w:rsidR="00E91A39" w:rsidRPr="00D95F21">
        <w:t>sur</w:t>
      </w:r>
      <w:r w:rsidR="00510EAC" w:rsidRPr="00D95F21">
        <w:t xml:space="preserve"> l’</w:t>
      </w:r>
      <w:r w:rsidR="001D2518" w:rsidRPr="00D95F21">
        <w:t>environ</w:t>
      </w:r>
      <w:r w:rsidR="00510EAC" w:rsidRPr="00D95F21">
        <w:t>ne</w:t>
      </w:r>
      <w:r w:rsidR="00E91A39" w:rsidRPr="00D95F21">
        <w:t xml:space="preserve">ment. Une priorité a été accordée à ces efforts en raison </w:t>
      </w:r>
      <w:r w:rsidR="00510EAC" w:rsidRPr="00D95F21">
        <w:t xml:space="preserve">d’une série d’accidents majeurs </w:t>
      </w:r>
      <w:r w:rsidR="00335F23" w:rsidRPr="00D95F21">
        <w:t xml:space="preserve">survenus </w:t>
      </w:r>
      <w:r w:rsidR="00510EAC" w:rsidRPr="00D95F21">
        <w:t>à travers l’Amérique du Nord dans lesquels le transport ferroviaire d</w:t>
      </w:r>
      <w:r w:rsidR="00335F23" w:rsidRPr="00D95F21">
        <w:t>u</w:t>
      </w:r>
      <w:r w:rsidR="00510EAC" w:rsidRPr="00D95F21">
        <w:t xml:space="preserve"> pétrole brut était concerné</w:t>
      </w:r>
      <w:r w:rsidR="001D2518" w:rsidRPr="00D95F21">
        <w:t xml:space="preserve"> – </w:t>
      </w:r>
      <w:r w:rsidR="00510EAC" w:rsidRPr="00D95F21">
        <w:t xml:space="preserve">y compris la </w:t>
      </w:r>
      <w:r w:rsidR="00510EAC" w:rsidRPr="00D95F21">
        <w:lastRenderedPageBreak/>
        <w:t>tragédie catastrophique qui a causé plusieurs décès et détruit une importante partie de</w:t>
      </w:r>
      <w:r w:rsidR="001D2518" w:rsidRPr="00D95F21">
        <w:t xml:space="preserve"> Lac</w:t>
      </w:r>
      <w:r w:rsidR="00510EAC" w:rsidRPr="00D95F21">
        <w:t>-</w:t>
      </w:r>
      <w:r w:rsidR="001D2518" w:rsidRPr="00D95F21">
        <w:t>Mégantic</w:t>
      </w:r>
      <w:r w:rsidR="00510EAC" w:rsidRPr="00D95F21">
        <w:t xml:space="preserve"> (</w:t>
      </w:r>
      <w:r w:rsidR="001D2518" w:rsidRPr="00D95F21">
        <w:t>Qu</w:t>
      </w:r>
      <w:r w:rsidR="00510EAC" w:rsidRPr="00D95F21">
        <w:t>é</w:t>
      </w:r>
      <w:r w:rsidR="001D2518" w:rsidRPr="00D95F21">
        <w:t>bec</w:t>
      </w:r>
      <w:r w:rsidR="00510EAC" w:rsidRPr="00D95F21">
        <w:t>) en juillet</w:t>
      </w:r>
      <w:r w:rsidR="001D2518" w:rsidRPr="00D95F21">
        <w:t xml:space="preserve"> 2013.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</w:r>
      <w:r w:rsidR="00B315F8" w:rsidRPr="00623E67">
        <w:rPr>
          <w:lang w:val="fr-CA"/>
        </w:rPr>
        <w:t>L’étude canadienne visait à vérifier l’</w:t>
      </w:r>
      <w:r w:rsidR="001D2518" w:rsidRPr="00623E67">
        <w:rPr>
          <w:lang w:val="fr-CA"/>
        </w:rPr>
        <w:t>application</w:t>
      </w:r>
      <w:r w:rsidR="00036672" w:rsidRPr="00623E67">
        <w:rPr>
          <w:lang w:val="fr-CA"/>
        </w:rPr>
        <w:t xml:space="preserve"> </w:t>
      </w:r>
      <w:r w:rsidR="00B315F8" w:rsidRPr="00623E67">
        <w:rPr>
          <w:lang w:val="fr-CA"/>
        </w:rPr>
        <w:t>des exigences actuelles en matière de</w:t>
      </w:r>
      <w:r w:rsidR="00036672" w:rsidRPr="00623E67">
        <w:rPr>
          <w:lang w:val="fr-CA"/>
        </w:rPr>
        <w:t xml:space="preserve"> classification</w:t>
      </w:r>
      <w:r w:rsidR="00B315F8" w:rsidRPr="00623E67">
        <w:rPr>
          <w:lang w:val="fr-CA"/>
        </w:rPr>
        <w:t xml:space="preserve"> qui sont décrites dans le Règlement type de l’ONU pour la classe 3</w:t>
      </w:r>
      <w:r w:rsidR="008272AB" w:rsidRPr="00623E67">
        <w:rPr>
          <w:lang w:val="fr-CA"/>
        </w:rPr>
        <w:t xml:space="preserve"> -</w:t>
      </w:r>
      <w:r w:rsidR="00395E4C" w:rsidRPr="00623E67">
        <w:rPr>
          <w:lang w:val="fr-CA"/>
        </w:rPr>
        <w:t xml:space="preserve"> </w:t>
      </w:r>
      <w:r w:rsidR="00B315F8" w:rsidRPr="00623E67">
        <w:rPr>
          <w:lang w:val="fr-CA"/>
        </w:rPr>
        <w:t>Liquides inflammables, et la classe 2</w:t>
      </w:r>
      <w:r w:rsidR="008272AB" w:rsidRPr="00623E67">
        <w:rPr>
          <w:lang w:val="fr-CA"/>
        </w:rPr>
        <w:t xml:space="preserve"> -</w:t>
      </w:r>
      <w:r w:rsidR="00B315F8" w:rsidRPr="00623E67">
        <w:rPr>
          <w:lang w:val="fr-CA"/>
        </w:rPr>
        <w:t xml:space="preserve"> Gaz</w:t>
      </w:r>
      <w:r w:rsidR="001D2518" w:rsidRPr="00623E67">
        <w:rPr>
          <w:lang w:val="fr-CA"/>
        </w:rPr>
        <w:t>.</w:t>
      </w:r>
    </w:p>
    <w:p w:rsidR="00036672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</w:r>
      <w:r w:rsidR="00B315F8" w:rsidRPr="00623E67">
        <w:rPr>
          <w:lang w:val="fr-CA"/>
        </w:rPr>
        <w:t>Au</w:t>
      </w:r>
      <w:r w:rsidR="00036672" w:rsidRPr="00623E67">
        <w:rPr>
          <w:lang w:val="fr-CA"/>
        </w:rPr>
        <w:t xml:space="preserve"> total, 68</w:t>
      </w:r>
      <w:r w:rsidR="00B315F8" w:rsidRPr="00623E67">
        <w:rPr>
          <w:lang w:val="fr-CA"/>
        </w:rPr>
        <w:t> échantillons de pétrole brut devant être transporté par mode routier ou ferroviaire au</w:t>
      </w:r>
      <w:r w:rsidR="001D2518" w:rsidRPr="00623E67">
        <w:rPr>
          <w:lang w:val="fr-CA"/>
        </w:rPr>
        <w:t xml:space="preserve"> Canada</w:t>
      </w:r>
      <w:r w:rsidR="00B315F8" w:rsidRPr="00623E67">
        <w:rPr>
          <w:lang w:val="fr-CA"/>
        </w:rPr>
        <w:t xml:space="preserve"> et représenta</w:t>
      </w:r>
      <w:r w:rsidR="00335F23">
        <w:rPr>
          <w:lang w:val="fr-CA"/>
        </w:rPr>
        <w:t>tifs d’</w:t>
      </w:r>
      <w:r w:rsidR="00B315F8" w:rsidRPr="00623E67">
        <w:rPr>
          <w:lang w:val="fr-CA"/>
        </w:rPr>
        <w:t>un vaste éventail de pétroles bruts ont été prélevés et analysés</w:t>
      </w:r>
      <w:r w:rsidR="001D2518" w:rsidRPr="00623E67">
        <w:rPr>
          <w:lang w:val="fr-CA"/>
        </w:rPr>
        <w:t>.</w:t>
      </w:r>
      <w:r w:rsidR="00036672" w:rsidRPr="00623E67">
        <w:rPr>
          <w:lang w:val="fr-CA"/>
        </w:rPr>
        <w:t xml:space="preserve"> </w:t>
      </w:r>
      <w:r w:rsidR="00B315F8" w:rsidRPr="00623E67">
        <w:rPr>
          <w:lang w:val="fr-CA"/>
        </w:rPr>
        <w:t>Certains échantillons ont été prélevés sous pression</w:t>
      </w:r>
      <w:r w:rsidR="00404E6B">
        <w:rPr>
          <w:lang w:val="fr-CA"/>
        </w:rPr>
        <w:t>,</w:t>
      </w:r>
      <w:r w:rsidR="00B315F8" w:rsidRPr="00623E67">
        <w:rPr>
          <w:lang w:val="fr-CA"/>
        </w:rPr>
        <w:t xml:space="preserve"> </w:t>
      </w:r>
      <w:r w:rsidR="00404E6B">
        <w:rPr>
          <w:lang w:val="fr-CA"/>
        </w:rPr>
        <w:t>afin qu’ils puissent</w:t>
      </w:r>
      <w:r w:rsidR="00B315F8" w:rsidRPr="00623E67">
        <w:rPr>
          <w:lang w:val="fr-CA"/>
        </w:rPr>
        <w:t xml:space="preserve"> contenir leurs</w:t>
      </w:r>
      <w:r w:rsidR="00335F23" w:rsidRPr="00335F23">
        <w:rPr>
          <w:lang w:val="fr-CA"/>
        </w:rPr>
        <w:t xml:space="preserve"> </w:t>
      </w:r>
      <w:r w:rsidR="00335F23" w:rsidRPr="00623E67">
        <w:rPr>
          <w:lang w:val="fr-CA"/>
        </w:rPr>
        <w:t>composants</w:t>
      </w:r>
      <w:r w:rsidR="00B315F8" w:rsidRPr="00623E67">
        <w:rPr>
          <w:lang w:val="fr-CA"/>
        </w:rPr>
        <w:t xml:space="preserve"> </w:t>
      </w:r>
      <w:r w:rsidR="00335F23">
        <w:rPr>
          <w:lang w:val="fr-CA"/>
        </w:rPr>
        <w:t xml:space="preserve">les </w:t>
      </w:r>
      <w:r w:rsidR="00B315F8" w:rsidRPr="00623E67">
        <w:rPr>
          <w:lang w:val="fr-CA"/>
        </w:rPr>
        <w:t>plus volatiles, alors que d’autres ont été prélevés à la pression atmosphérique</w:t>
      </w:r>
      <w:r w:rsidR="00404E6B">
        <w:rPr>
          <w:lang w:val="fr-CA"/>
        </w:rPr>
        <w:t>,</w:t>
      </w:r>
      <w:r w:rsidR="00B315F8" w:rsidRPr="00623E67">
        <w:rPr>
          <w:lang w:val="fr-CA"/>
        </w:rPr>
        <w:t xml:space="preserve"> </w:t>
      </w:r>
      <w:r w:rsidR="00404E6B">
        <w:rPr>
          <w:lang w:val="fr-CA"/>
        </w:rPr>
        <w:t>afin que des</w:t>
      </w:r>
      <w:r w:rsidR="00B315F8" w:rsidRPr="00623E67">
        <w:rPr>
          <w:lang w:val="fr-CA"/>
        </w:rPr>
        <w:t xml:space="preserve"> analyses qui n’exigent pas que les échantillons soient pressurisés et scellés</w:t>
      </w:r>
      <w:r w:rsidR="00404E6B">
        <w:rPr>
          <w:lang w:val="fr-CA"/>
        </w:rPr>
        <w:t xml:space="preserve"> puissent être réalisées</w:t>
      </w:r>
      <w:r w:rsidR="00B315F8" w:rsidRPr="00623E67">
        <w:rPr>
          <w:lang w:val="fr-CA"/>
        </w:rPr>
        <w:t xml:space="preserve">, ou lorsque le pétrole brut était trop visqueux pour </w:t>
      </w:r>
      <w:r w:rsidR="00404E6B">
        <w:rPr>
          <w:lang w:val="fr-CA"/>
        </w:rPr>
        <w:t xml:space="preserve">qu’un </w:t>
      </w:r>
      <w:r w:rsidR="00B315F8" w:rsidRPr="00623E67">
        <w:rPr>
          <w:lang w:val="fr-CA"/>
        </w:rPr>
        <w:t>échantillonnage sous pression</w:t>
      </w:r>
      <w:r w:rsidR="00404E6B">
        <w:rPr>
          <w:lang w:val="fr-CA"/>
        </w:rPr>
        <w:t xml:space="preserve"> </w:t>
      </w:r>
      <w:r w:rsidR="00F41392">
        <w:rPr>
          <w:lang w:val="fr-CA"/>
        </w:rPr>
        <w:t>soit réalisé</w:t>
      </w:r>
      <w:r w:rsidR="00036672" w:rsidRPr="00623E67">
        <w:rPr>
          <w:lang w:val="fr-CA"/>
        </w:rPr>
        <w:t>.</w:t>
      </w:r>
    </w:p>
    <w:p w:rsidR="00AA4AE9" w:rsidRPr="00F06BFB" w:rsidRDefault="00D95F21" w:rsidP="00D95F21">
      <w:pPr>
        <w:pStyle w:val="SingleTxtG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</w:r>
      <w:r w:rsidR="00B315F8" w:rsidRPr="00F06BFB">
        <w:rPr>
          <w:lang w:val="fr-CA"/>
        </w:rPr>
        <w:t xml:space="preserve">Les échantillons ont été analysés pour </w:t>
      </w:r>
      <w:r w:rsidR="00F41392">
        <w:rPr>
          <w:lang w:val="fr-CA"/>
        </w:rPr>
        <w:t xml:space="preserve">en </w:t>
      </w:r>
      <w:r w:rsidR="00B315F8" w:rsidRPr="00F06BFB">
        <w:rPr>
          <w:lang w:val="fr-CA"/>
        </w:rPr>
        <w:t>dé</w:t>
      </w:r>
      <w:r w:rsidR="00AA4AE9" w:rsidRPr="00F06BFB">
        <w:rPr>
          <w:lang w:val="fr-CA"/>
        </w:rPr>
        <w:t>termine</w:t>
      </w:r>
      <w:r w:rsidR="00B315F8" w:rsidRPr="00F06BFB">
        <w:rPr>
          <w:lang w:val="fr-CA"/>
        </w:rPr>
        <w:t xml:space="preserve">r </w:t>
      </w:r>
      <w:r w:rsidR="00B935F4" w:rsidRPr="00F06BFB">
        <w:rPr>
          <w:lang w:val="fr-CA"/>
        </w:rPr>
        <w:t xml:space="preserve">certaines </w:t>
      </w:r>
      <w:r w:rsidR="00F41392">
        <w:rPr>
          <w:lang w:val="fr-CA"/>
        </w:rPr>
        <w:t xml:space="preserve">des </w:t>
      </w:r>
      <w:r w:rsidR="00B935F4" w:rsidRPr="00F06BFB">
        <w:rPr>
          <w:lang w:val="fr-CA"/>
        </w:rPr>
        <w:t>propriétés,</w:t>
      </w:r>
      <w:r w:rsidR="00395E4C" w:rsidRPr="00F06BFB">
        <w:rPr>
          <w:lang w:val="fr-CA"/>
        </w:rPr>
        <w:t xml:space="preserve"> </w:t>
      </w:r>
      <w:r w:rsidR="00B935F4" w:rsidRPr="00F06BFB">
        <w:rPr>
          <w:lang w:val="fr-CA"/>
        </w:rPr>
        <w:t>y compris mais sans en exclure d’autres, le point initial d</w:t>
      </w:r>
      <w:r w:rsidR="00B22C86" w:rsidRPr="00F06BFB">
        <w:rPr>
          <w:lang w:val="fr-CA"/>
        </w:rPr>
        <w:t>’ébullition (PIE)</w:t>
      </w:r>
      <w:r w:rsidR="00AA4AE9" w:rsidRPr="00F06BFB">
        <w:rPr>
          <w:lang w:val="fr-CA"/>
        </w:rPr>
        <w:t xml:space="preserve">, </w:t>
      </w:r>
      <w:r w:rsidR="00A97D90" w:rsidRPr="00F06BFB">
        <w:rPr>
          <w:lang w:val="fr-CA"/>
        </w:rPr>
        <w:t>la pression de vapeur réelle,</w:t>
      </w:r>
      <w:r w:rsidR="00A97D90">
        <w:rPr>
          <w:lang w:val="fr-CA"/>
        </w:rPr>
        <w:t xml:space="preserve"> </w:t>
      </w:r>
      <w:r w:rsidR="00B935F4" w:rsidRPr="00F06BFB">
        <w:rPr>
          <w:lang w:val="fr-CA"/>
        </w:rPr>
        <w:t xml:space="preserve">la pression de vapeur </w:t>
      </w:r>
      <w:r w:rsidR="00AA4AE9" w:rsidRPr="00F06BFB">
        <w:rPr>
          <w:lang w:val="fr-CA"/>
        </w:rPr>
        <w:t>Reid (</w:t>
      </w:r>
      <w:r w:rsidR="00B935F4" w:rsidRPr="00F06BFB">
        <w:rPr>
          <w:lang w:val="fr-CA"/>
        </w:rPr>
        <w:t>PVR</w:t>
      </w:r>
      <w:r w:rsidR="00AA4AE9" w:rsidRPr="00F06BFB">
        <w:rPr>
          <w:lang w:val="fr-CA"/>
        </w:rPr>
        <w:t xml:space="preserve">), </w:t>
      </w:r>
      <w:r w:rsidR="0025236F" w:rsidRPr="00F06BFB">
        <w:rPr>
          <w:lang w:val="fr-CA"/>
        </w:rPr>
        <w:t xml:space="preserve">la </w:t>
      </w:r>
      <w:r w:rsidR="00AA4AE9" w:rsidRPr="00F06BFB">
        <w:rPr>
          <w:lang w:val="fr-CA"/>
        </w:rPr>
        <w:t xml:space="preserve">composition, </w:t>
      </w:r>
      <w:r w:rsidR="00A97D90">
        <w:rPr>
          <w:lang w:val="fr-CA"/>
        </w:rPr>
        <w:t xml:space="preserve">la concentration de </w:t>
      </w:r>
      <w:r w:rsidR="0025236F" w:rsidRPr="00F06BFB">
        <w:rPr>
          <w:lang w:val="fr-CA"/>
        </w:rPr>
        <w:t>sulfure d’hydrogène</w:t>
      </w:r>
      <w:r w:rsidR="00AA4AE9" w:rsidRPr="00F06BFB">
        <w:rPr>
          <w:lang w:val="fr-CA"/>
        </w:rPr>
        <w:t xml:space="preserve"> (H2S) </w:t>
      </w:r>
      <w:r w:rsidR="0025236F" w:rsidRPr="00F06BFB">
        <w:rPr>
          <w:lang w:val="fr-CA"/>
        </w:rPr>
        <w:t>en</w:t>
      </w:r>
      <w:r w:rsidR="00AA4AE9" w:rsidRPr="00F06BFB">
        <w:rPr>
          <w:lang w:val="fr-CA"/>
        </w:rPr>
        <w:t xml:space="preserve"> phase</w:t>
      </w:r>
      <w:r w:rsidR="0025236F" w:rsidRPr="00F06BFB">
        <w:rPr>
          <w:lang w:val="fr-CA"/>
        </w:rPr>
        <w:t xml:space="preserve"> de vapeur et</w:t>
      </w:r>
      <w:r w:rsidR="00F41392">
        <w:rPr>
          <w:lang w:val="fr-CA"/>
        </w:rPr>
        <w:t xml:space="preserve"> l</w:t>
      </w:r>
      <w:r w:rsidR="0025236F" w:rsidRPr="00F06BFB">
        <w:rPr>
          <w:lang w:val="fr-CA"/>
        </w:rPr>
        <w:t>’inf</w:t>
      </w:r>
      <w:r w:rsidR="00AA4AE9" w:rsidRPr="00F06BFB">
        <w:rPr>
          <w:lang w:val="fr-CA"/>
        </w:rPr>
        <w:t>lammabilit</w:t>
      </w:r>
      <w:r w:rsidR="0025236F" w:rsidRPr="00F06BFB">
        <w:rPr>
          <w:lang w:val="fr-CA"/>
        </w:rPr>
        <w:t>é de la phase de vapeur</w:t>
      </w:r>
      <w:r w:rsidR="00AA4AE9" w:rsidRPr="00F06BFB">
        <w:rPr>
          <w:lang w:val="fr-CA"/>
        </w:rPr>
        <w:t xml:space="preserve">. </w:t>
      </w:r>
      <w:r w:rsidR="0025236F" w:rsidRPr="00F06BFB">
        <w:rPr>
          <w:lang w:val="fr-CA"/>
        </w:rPr>
        <w:t>L’annexe A présente la liste complètes des propriétés et des méthodes d’analyse</w:t>
      </w:r>
      <w:r w:rsidR="00AA4AE9" w:rsidRPr="00F06BFB">
        <w:rPr>
          <w:lang w:val="fr-CA"/>
        </w:rPr>
        <w:t>.</w:t>
      </w:r>
    </w:p>
    <w:p w:rsidR="00D626F7" w:rsidRPr="00623E67" w:rsidRDefault="00D95F21" w:rsidP="00F06BFB">
      <w:pPr>
        <w:pStyle w:val="HChG"/>
        <w:rPr>
          <w:szCs w:val="24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D407D" w:rsidRPr="00623E67">
        <w:rPr>
          <w:lang w:val="fr-CA"/>
        </w:rPr>
        <w:t>R</w:t>
      </w:r>
      <w:r w:rsidR="0033091A" w:rsidRPr="00623E67">
        <w:rPr>
          <w:lang w:val="fr-CA"/>
        </w:rPr>
        <w:t>é</w:t>
      </w:r>
      <w:r w:rsidR="003D407D" w:rsidRPr="00623E67">
        <w:rPr>
          <w:lang w:val="fr-CA"/>
        </w:rPr>
        <w:t>sult</w:t>
      </w:r>
      <w:r w:rsidR="0033091A" w:rsidRPr="00623E67">
        <w:rPr>
          <w:lang w:val="fr-CA"/>
        </w:rPr>
        <w:t>at</w:t>
      </w:r>
      <w:r w:rsidR="003D407D" w:rsidRPr="00623E67">
        <w:rPr>
          <w:lang w:val="fr-CA"/>
        </w:rPr>
        <w:t xml:space="preserve">s </w:t>
      </w:r>
      <w:r w:rsidR="0033091A" w:rsidRPr="00623E67">
        <w:rPr>
          <w:lang w:val="fr-CA"/>
        </w:rPr>
        <w:t>et d</w:t>
      </w:r>
      <w:r w:rsidR="003D407D" w:rsidRPr="00623E67">
        <w:rPr>
          <w:lang w:val="fr-CA"/>
        </w:rPr>
        <w:t>iscussion</w:t>
      </w:r>
    </w:p>
    <w:p w:rsidR="00D626F7" w:rsidRPr="00623E67" w:rsidRDefault="000500B7" w:rsidP="00D95F21">
      <w:pPr>
        <w:pStyle w:val="SingleTxtG"/>
        <w:ind w:left="567" w:firstLine="567"/>
        <w:jc w:val="left"/>
        <w:rPr>
          <w:lang w:val="fr-CA"/>
        </w:rPr>
      </w:pPr>
      <w:r w:rsidRPr="00623E67">
        <w:rPr>
          <w:u w:val="single"/>
          <w:lang w:val="fr-CA"/>
        </w:rPr>
        <w:t>Press</w:t>
      </w:r>
      <w:r w:rsidR="0025236F" w:rsidRPr="00623E67">
        <w:rPr>
          <w:u w:val="single"/>
          <w:lang w:val="fr-CA"/>
        </w:rPr>
        <w:t>ion de vapeur</w:t>
      </w:r>
      <w:r w:rsidR="00D626F7" w:rsidRPr="00623E67">
        <w:rPr>
          <w:lang w:val="fr-CA"/>
        </w:rPr>
        <w:tab/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8.</w:t>
      </w:r>
      <w:r>
        <w:rPr>
          <w:lang w:val="fr-CA"/>
        </w:rPr>
        <w:tab/>
      </w:r>
      <w:r w:rsidR="0025236F" w:rsidRPr="00623E67">
        <w:rPr>
          <w:lang w:val="fr-CA"/>
        </w:rPr>
        <w:t>La pression de vape</w:t>
      </w:r>
      <w:r w:rsidR="003F3E85" w:rsidRPr="00623E67">
        <w:rPr>
          <w:lang w:val="fr-CA"/>
        </w:rPr>
        <w:t xml:space="preserve">ur </w:t>
      </w:r>
      <w:r w:rsidR="00305C6D" w:rsidRPr="00623E67">
        <w:rPr>
          <w:lang w:val="fr-CA"/>
        </w:rPr>
        <w:t>est une propriété essentielle pour déterminer si une</w:t>
      </w:r>
      <w:r w:rsidR="003F3E85" w:rsidRPr="00623E67">
        <w:rPr>
          <w:lang w:val="fr-CA"/>
        </w:rPr>
        <w:t xml:space="preserve"> substance </w:t>
      </w:r>
      <w:r w:rsidR="00A97D90">
        <w:rPr>
          <w:lang w:val="fr-CA"/>
        </w:rPr>
        <w:t>correspond à</w:t>
      </w:r>
      <w:r w:rsidR="00305C6D" w:rsidRPr="00623E67">
        <w:rPr>
          <w:lang w:val="fr-CA"/>
        </w:rPr>
        <w:t xml:space="preserve"> la dé</w:t>
      </w:r>
      <w:r w:rsidR="003F3E85" w:rsidRPr="00623E67">
        <w:rPr>
          <w:lang w:val="fr-CA"/>
        </w:rPr>
        <w:t xml:space="preserve">finition </w:t>
      </w:r>
      <w:r w:rsidR="00305C6D" w:rsidRPr="00623E67">
        <w:rPr>
          <w:lang w:val="fr-CA"/>
        </w:rPr>
        <w:t>d’un</w:t>
      </w:r>
      <w:r w:rsidR="003F3E85" w:rsidRPr="00623E67">
        <w:rPr>
          <w:lang w:val="fr-CA"/>
        </w:rPr>
        <w:t xml:space="preserve"> liquid</w:t>
      </w:r>
      <w:r w:rsidR="00305C6D" w:rsidRPr="00623E67">
        <w:rPr>
          <w:lang w:val="fr-CA"/>
        </w:rPr>
        <w:t>e ou d’un gaz, conformément aux critères de la classification de l’ONU</w:t>
      </w:r>
      <w:r w:rsidR="003F3E85" w:rsidRPr="00623E67">
        <w:rPr>
          <w:lang w:val="fr-CA"/>
        </w:rPr>
        <w:t xml:space="preserve">. </w:t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9.</w:t>
      </w:r>
      <w:r>
        <w:rPr>
          <w:lang w:val="fr-CA"/>
        </w:rPr>
        <w:tab/>
      </w:r>
      <w:r w:rsidR="000D498E" w:rsidRPr="00623E67">
        <w:rPr>
          <w:lang w:val="fr-CA"/>
        </w:rPr>
        <w:t xml:space="preserve">La </w:t>
      </w:r>
      <w:r w:rsidR="000D498E" w:rsidRPr="00D95F21">
        <w:t>définition</w:t>
      </w:r>
      <w:r w:rsidR="000D498E" w:rsidRPr="00623E67">
        <w:rPr>
          <w:lang w:val="fr-CA"/>
        </w:rPr>
        <w:t xml:space="preserve"> d’un liquide est énoncée au chapitre 1.2 du Règlement type de l’ONU </w:t>
      </w:r>
      <w:r w:rsidR="003F3E85" w:rsidRPr="00623E67">
        <w:rPr>
          <w:lang w:val="fr-CA"/>
        </w:rPr>
        <w:t>:</w:t>
      </w:r>
    </w:p>
    <w:p w:rsidR="003F3E85" w:rsidRPr="00623E67" w:rsidRDefault="00D95F21" w:rsidP="00D95F21">
      <w:pPr>
        <w:pStyle w:val="SingleTxtG"/>
        <w:ind w:left="1701"/>
        <w:rPr>
          <w:lang w:val="fr-CA"/>
        </w:rPr>
      </w:pPr>
      <w:r>
        <w:rPr>
          <w:lang w:val="fr-CA"/>
        </w:rPr>
        <w:t>(a)</w:t>
      </w:r>
      <w:r>
        <w:rPr>
          <w:lang w:val="fr-CA"/>
        </w:rPr>
        <w:tab/>
      </w:r>
      <w:r w:rsidR="003F3E85" w:rsidRPr="00623E67">
        <w:rPr>
          <w:lang w:val="fr-CA"/>
        </w:rPr>
        <w:t>Liquid</w:t>
      </w:r>
      <w:r w:rsidR="00C832F5" w:rsidRPr="00623E67">
        <w:rPr>
          <w:lang w:val="fr-CA"/>
        </w:rPr>
        <w:t>e </w:t>
      </w:r>
      <w:r w:rsidR="003F3E85" w:rsidRPr="00623E67">
        <w:rPr>
          <w:lang w:val="fr-CA"/>
        </w:rPr>
        <w:t xml:space="preserve">: </w:t>
      </w:r>
      <w:r w:rsidR="00C832F5" w:rsidRPr="00623E67">
        <w:rPr>
          <w:lang w:val="fr-CA"/>
        </w:rPr>
        <w:t>sous-entend une marchandise dangereuse qui exerce, à 50 °C, une pression de vapeur inférieure ou égale à 300 kPa</w:t>
      </w:r>
      <w:r w:rsidR="00395E4C" w:rsidRPr="00623E67">
        <w:rPr>
          <w:lang w:val="fr-CA"/>
        </w:rPr>
        <w:t xml:space="preserve"> </w:t>
      </w:r>
      <w:r w:rsidR="003F3E85" w:rsidRPr="00623E67">
        <w:rPr>
          <w:lang w:val="fr-CA"/>
        </w:rPr>
        <w:t xml:space="preserve">(3 bar), </w:t>
      </w:r>
      <w:r w:rsidR="00C832F5" w:rsidRPr="00623E67">
        <w:rPr>
          <w:lang w:val="fr-CA"/>
        </w:rPr>
        <w:t>qui n’est pas complètement gazeu</w:t>
      </w:r>
      <w:r w:rsidR="00A97D90">
        <w:rPr>
          <w:lang w:val="fr-CA"/>
        </w:rPr>
        <w:t>se</w:t>
      </w:r>
      <w:r w:rsidR="00C832F5" w:rsidRPr="00623E67">
        <w:rPr>
          <w:lang w:val="fr-CA"/>
        </w:rPr>
        <w:t xml:space="preserve"> à 20 °C et à la pression normale de 101,3 kPa et dont le point de fusion ou </w:t>
      </w:r>
      <w:r w:rsidR="00A97D90">
        <w:rPr>
          <w:lang w:val="fr-CA"/>
        </w:rPr>
        <w:t xml:space="preserve">le </w:t>
      </w:r>
      <w:r w:rsidR="00C832F5" w:rsidRPr="00623E67">
        <w:rPr>
          <w:lang w:val="fr-CA"/>
        </w:rPr>
        <w:t>point initial de fusion est inférieur ou égal à 20 °C à la pression normale de 101,3 kPa</w:t>
      </w:r>
      <w:r w:rsidR="003F3E85" w:rsidRPr="00623E67">
        <w:rPr>
          <w:lang w:val="fr-CA"/>
        </w:rPr>
        <w:t>.</w:t>
      </w:r>
      <w:r w:rsidR="00395E4C" w:rsidRPr="00623E67">
        <w:rPr>
          <w:lang w:val="fr-CA"/>
        </w:rPr>
        <w:t xml:space="preserve"> </w:t>
      </w:r>
      <w:r w:rsidR="00C832F5" w:rsidRPr="00623E67">
        <w:rPr>
          <w:lang w:val="fr-CA"/>
        </w:rPr>
        <w:t xml:space="preserve">Une matière visqueuse pour laquelle un point de fusion </w:t>
      </w:r>
      <w:r w:rsidR="00CA4CB6">
        <w:rPr>
          <w:lang w:val="fr-CA"/>
        </w:rPr>
        <w:t>précis</w:t>
      </w:r>
      <w:r w:rsidR="00C832F5" w:rsidRPr="00623E67">
        <w:rPr>
          <w:lang w:val="fr-CA"/>
        </w:rPr>
        <w:t xml:space="preserve"> ne peut </w:t>
      </w:r>
      <w:r w:rsidR="00CA4CB6">
        <w:rPr>
          <w:lang w:val="fr-CA"/>
        </w:rPr>
        <w:t xml:space="preserve">pas </w:t>
      </w:r>
      <w:r w:rsidR="00C832F5" w:rsidRPr="00623E67">
        <w:rPr>
          <w:lang w:val="fr-CA"/>
        </w:rPr>
        <w:t xml:space="preserve">être défini doit être soumise à </w:t>
      </w:r>
      <w:r w:rsidR="00C832F5" w:rsidRPr="00A97D90">
        <w:rPr>
          <w:rStyle w:val="Emphasis"/>
          <w:i w:val="0"/>
          <w:lang w:val="fr-CA"/>
        </w:rPr>
        <w:t>l'épreuve ASTM D</w:t>
      </w:r>
      <w:r w:rsidR="00C832F5" w:rsidRPr="00623E67">
        <w:rPr>
          <w:lang w:val="fr-CA"/>
        </w:rPr>
        <w:t xml:space="preserve"> 4359-90 ou à l'épreuve de détermination de la fluidité (épreuve de pénétromètre) prescrite à la section 2.3.4 de l’annexe A de </w:t>
      </w:r>
      <w:r w:rsidR="00C832F5" w:rsidRPr="00CA4CB6">
        <w:rPr>
          <w:i/>
          <w:lang w:val="fr-CA"/>
        </w:rPr>
        <w:t>l'Accord européen relatif au transport international des marchandises dangereuses par route</w:t>
      </w:r>
      <w:r w:rsidR="00A97D90" w:rsidRPr="00CA4CB6">
        <w:rPr>
          <w:i/>
          <w:lang w:val="fr-CA"/>
        </w:rPr>
        <w:t xml:space="preserve"> (ADR)</w:t>
      </w:r>
      <w:r w:rsidR="00A97D90">
        <w:rPr>
          <w:lang w:val="fr-CA"/>
        </w:rPr>
        <w:t>.</w:t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10.</w:t>
      </w:r>
      <w:r>
        <w:rPr>
          <w:lang w:val="fr-CA"/>
        </w:rPr>
        <w:tab/>
      </w:r>
      <w:r w:rsidR="0092730B" w:rsidRPr="00623E67">
        <w:rPr>
          <w:lang w:val="fr-CA"/>
        </w:rPr>
        <w:t>La définition d’un gaz est énoncée au chapitre 2.2 du Règlement type de l’ONU </w:t>
      </w:r>
      <w:r w:rsidR="003F3E85" w:rsidRPr="00623E67">
        <w:rPr>
          <w:lang w:val="fr-CA"/>
        </w:rPr>
        <w:t>:</w:t>
      </w:r>
    </w:p>
    <w:p w:rsidR="003F3E85" w:rsidRPr="00623E67" w:rsidRDefault="0092730B" w:rsidP="00E60395">
      <w:pPr>
        <w:pStyle w:val="SingleTxtG"/>
        <w:spacing w:line="480" w:lineRule="auto"/>
        <w:ind w:left="1689"/>
        <w:jc w:val="left"/>
        <w:rPr>
          <w:i/>
          <w:lang w:val="fr-CA"/>
        </w:rPr>
      </w:pPr>
      <w:r w:rsidRPr="00623E67">
        <w:rPr>
          <w:i/>
          <w:lang w:val="fr-CA"/>
        </w:rPr>
        <w:t>2.2.1.1</w:t>
      </w: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  <w:t>Un gaz est une</w:t>
      </w:r>
      <w:r w:rsidR="003F3E85" w:rsidRPr="00623E67">
        <w:rPr>
          <w:i/>
          <w:lang w:val="fr-CA"/>
        </w:rPr>
        <w:t xml:space="preserve"> substance </w:t>
      </w:r>
      <w:r w:rsidRPr="00623E67">
        <w:rPr>
          <w:i/>
          <w:lang w:val="fr-CA"/>
        </w:rPr>
        <w:t>qui </w:t>
      </w:r>
      <w:r w:rsidR="003F3E85" w:rsidRPr="00623E67">
        <w:rPr>
          <w:i/>
          <w:lang w:val="fr-CA"/>
        </w:rPr>
        <w:t>:</w:t>
      </w:r>
    </w:p>
    <w:p w:rsidR="003F3E85" w:rsidRPr="00623E67" w:rsidRDefault="003F3E85" w:rsidP="00E60395">
      <w:pPr>
        <w:pStyle w:val="SingleTxtG"/>
        <w:spacing w:line="480" w:lineRule="auto"/>
        <w:ind w:left="1689"/>
        <w:jc w:val="left"/>
        <w:rPr>
          <w:i/>
          <w:lang w:val="fr-CA"/>
        </w:rPr>
      </w:pP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  <w:t xml:space="preserve">(a) </w:t>
      </w:r>
      <w:r w:rsidR="00CA4CB6">
        <w:rPr>
          <w:i/>
          <w:lang w:val="fr-CA"/>
        </w:rPr>
        <w:t>à</w:t>
      </w:r>
      <w:r w:rsidRPr="00623E67">
        <w:rPr>
          <w:i/>
          <w:lang w:val="fr-CA"/>
        </w:rPr>
        <w:t xml:space="preserve"> 50 </w:t>
      </w:r>
      <w:r w:rsidRPr="00623E67">
        <w:rPr>
          <w:i/>
          <w:lang w:val="fr-CA"/>
        </w:rPr>
        <w:sym w:font="Symbol" w:char="F0B0"/>
      </w:r>
      <w:r w:rsidRPr="00623E67">
        <w:rPr>
          <w:i/>
          <w:lang w:val="fr-CA"/>
        </w:rPr>
        <w:t>C</w:t>
      </w:r>
      <w:r w:rsidR="00CA4CB6">
        <w:rPr>
          <w:i/>
          <w:lang w:val="fr-CA"/>
        </w:rPr>
        <w:t>,</w:t>
      </w:r>
      <w:r w:rsidRPr="00623E67">
        <w:rPr>
          <w:i/>
          <w:lang w:val="fr-CA"/>
        </w:rPr>
        <w:t xml:space="preserve"> </w:t>
      </w:r>
      <w:r w:rsidR="0092730B" w:rsidRPr="00623E67">
        <w:rPr>
          <w:i/>
          <w:lang w:val="fr-CA"/>
        </w:rPr>
        <w:t>a une pression de vapeur supérieure à</w:t>
      </w:r>
      <w:r w:rsidR="00CA4CB6">
        <w:rPr>
          <w:i/>
          <w:lang w:val="fr-CA"/>
        </w:rPr>
        <w:t xml:space="preserve"> 300 kPa;</w:t>
      </w:r>
    </w:p>
    <w:p w:rsidR="003F3E85" w:rsidRDefault="003F3E85" w:rsidP="00E60395">
      <w:pPr>
        <w:pStyle w:val="SingleTxtG"/>
        <w:spacing w:line="480" w:lineRule="auto"/>
        <w:ind w:left="2835"/>
        <w:jc w:val="left"/>
        <w:rPr>
          <w:i/>
          <w:lang w:val="fr-CA"/>
        </w:rPr>
      </w:pPr>
      <w:r w:rsidRPr="00623E67">
        <w:rPr>
          <w:i/>
          <w:lang w:val="fr-CA"/>
        </w:rPr>
        <w:tab/>
        <w:t xml:space="preserve">(b) </w:t>
      </w:r>
      <w:r w:rsidR="00CA4CB6">
        <w:rPr>
          <w:i/>
          <w:lang w:val="fr-CA"/>
        </w:rPr>
        <w:t>e</w:t>
      </w:r>
      <w:r w:rsidR="0092730B" w:rsidRPr="00623E67">
        <w:rPr>
          <w:i/>
          <w:lang w:val="fr-CA"/>
        </w:rPr>
        <w:t>st complètement gazeuse à</w:t>
      </w:r>
      <w:r w:rsidRPr="00623E67">
        <w:rPr>
          <w:i/>
          <w:lang w:val="fr-CA"/>
        </w:rPr>
        <w:t xml:space="preserve"> 20 </w:t>
      </w:r>
      <w:r w:rsidRPr="00623E67">
        <w:rPr>
          <w:i/>
          <w:lang w:val="fr-CA"/>
        </w:rPr>
        <w:sym w:font="Symbol" w:char="F0B0"/>
      </w:r>
      <w:r w:rsidRPr="00623E67">
        <w:rPr>
          <w:i/>
          <w:lang w:val="fr-CA"/>
        </w:rPr>
        <w:t xml:space="preserve">C </w:t>
      </w:r>
      <w:r w:rsidR="0092730B" w:rsidRPr="00623E67">
        <w:rPr>
          <w:i/>
          <w:lang w:val="fr-CA"/>
        </w:rPr>
        <w:t>à la pression standard de</w:t>
      </w:r>
      <w:r w:rsidRPr="00623E67">
        <w:rPr>
          <w:i/>
          <w:lang w:val="fr-CA"/>
        </w:rPr>
        <w:t xml:space="preserve"> 101</w:t>
      </w:r>
      <w:r w:rsidR="000E345C">
        <w:rPr>
          <w:i/>
          <w:lang w:val="fr-CA"/>
        </w:rPr>
        <w:t>,</w:t>
      </w:r>
      <w:r w:rsidRPr="00623E67">
        <w:rPr>
          <w:i/>
          <w:lang w:val="fr-CA"/>
        </w:rPr>
        <w:t>3</w:t>
      </w:r>
      <w:r w:rsidR="0092730B" w:rsidRPr="00623E67">
        <w:rPr>
          <w:i/>
          <w:lang w:val="fr-CA"/>
        </w:rPr>
        <w:t> </w:t>
      </w:r>
      <w:r w:rsidRPr="00623E67">
        <w:rPr>
          <w:i/>
          <w:lang w:val="fr-CA"/>
        </w:rPr>
        <w:t>kPa.</w:t>
      </w:r>
    </w:p>
    <w:p w:rsidR="009B19F1" w:rsidRPr="00D95F21" w:rsidRDefault="00D95F21" w:rsidP="00D95F21">
      <w:pPr>
        <w:pStyle w:val="SingleTxtG"/>
      </w:pPr>
      <w:r>
        <w:lastRenderedPageBreak/>
        <w:t>11.</w:t>
      </w:r>
      <w:r>
        <w:tab/>
      </w:r>
      <w:r w:rsidR="00B935F4" w:rsidRPr="00D95F21">
        <w:t>La p</w:t>
      </w:r>
      <w:r w:rsidR="009B19F1" w:rsidRPr="00D95F21">
        <w:t>ress</w:t>
      </w:r>
      <w:r w:rsidR="00B935F4" w:rsidRPr="00D95F21">
        <w:t>ion de vapeur réelle</w:t>
      </w:r>
      <w:r w:rsidR="001D2518" w:rsidRPr="00D95F21">
        <w:rPr>
          <w:rStyle w:val="FootnoteReference"/>
          <w:sz w:val="20"/>
          <w:vertAlign w:val="baseline"/>
        </w:rPr>
        <w:footnoteReference w:id="2"/>
      </w:r>
      <w:r w:rsidR="009B19F1" w:rsidRPr="00D95F21">
        <w:t xml:space="preserve"> </w:t>
      </w:r>
      <w:r w:rsidR="0092730B" w:rsidRPr="00D95F21">
        <w:t>est expliquée comme la pression de vapeur exercée par le pétrole brut liquide et les gaz contenus à l’intérieur, à une température</w:t>
      </w:r>
      <w:r w:rsidR="00395E4C" w:rsidRPr="00D95F21">
        <w:t xml:space="preserve"> </w:t>
      </w:r>
      <w:r w:rsidR="00FF2843" w:rsidRPr="00D95F21">
        <w:t>donnée</w:t>
      </w:r>
      <w:r w:rsidR="0092730B" w:rsidRPr="00D95F21">
        <w:t xml:space="preserve"> et un ratio vapeur/liquide</w:t>
      </w:r>
      <w:r w:rsidR="009B19F1" w:rsidRPr="00D95F21">
        <w:t xml:space="preserve"> (V/L) </w:t>
      </w:r>
      <w:r w:rsidR="0092730B" w:rsidRPr="00D95F21">
        <w:t>précis</w:t>
      </w:r>
      <w:r w:rsidR="009B19F1" w:rsidRPr="00D95F21">
        <w:t>.</w:t>
      </w:r>
    </w:p>
    <w:p w:rsidR="009B19F1" w:rsidRPr="00D95F21" w:rsidRDefault="00D95F21" w:rsidP="00D95F21">
      <w:pPr>
        <w:pStyle w:val="SingleTxtG"/>
      </w:pPr>
      <w:r>
        <w:t>12.</w:t>
      </w:r>
      <w:r>
        <w:tab/>
      </w:r>
      <w:r w:rsidR="00B935F4" w:rsidRPr="00D95F21">
        <w:t xml:space="preserve">La pression de vapeur </w:t>
      </w:r>
      <w:r w:rsidR="009B19F1" w:rsidRPr="00D95F21">
        <w:t>Reid (</w:t>
      </w:r>
      <w:r w:rsidR="00B935F4" w:rsidRPr="00D95F21">
        <w:t>PVR</w:t>
      </w:r>
      <w:r w:rsidR="009B19F1" w:rsidRPr="00D95F21">
        <w:t>)</w:t>
      </w:r>
      <w:r w:rsidR="001D2518" w:rsidRPr="00D95F21">
        <w:rPr>
          <w:rStyle w:val="FootnoteReference"/>
          <w:sz w:val="20"/>
          <w:vertAlign w:val="baseline"/>
        </w:rPr>
        <w:footnoteReference w:id="3"/>
      </w:r>
      <w:r w:rsidR="009B19F1" w:rsidRPr="00D95F21">
        <w:t xml:space="preserve"> </w:t>
      </w:r>
      <w:r w:rsidR="0092730B" w:rsidRPr="00D95F21">
        <w:t>est expliquée comme la pression de vapeur exercée par le pétrole brut liquide à un ratio</w:t>
      </w:r>
      <w:r w:rsidR="009B19F1" w:rsidRPr="00D95F21">
        <w:t xml:space="preserve"> V/L </w:t>
      </w:r>
      <w:r w:rsidR="0092730B" w:rsidRPr="00D95F21">
        <w:t>de</w:t>
      </w:r>
      <w:r w:rsidR="009B19F1" w:rsidRPr="00D95F21">
        <w:t xml:space="preserve"> 4:1 </w:t>
      </w:r>
      <w:r w:rsidR="0092730B" w:rsidRPr="00D95F21">
        <w:t>à</w:t>
      </w:r>
      <w:r w:rsidR="009B19F1" w:rsidRPr="00D95F21">
        <w:t xml:space="preserve"> 37</w:t>
      </w:r>
      <w:r w:rsidR="0092730B" w:rsidRPr="00D95F21">
        <w:t>,</w:t>
      </w:r>
      <w:r w:rsidR="009B19F1" w:rsidRPr="00D95F21">
        <w:t xml:space="preserve">8 </w:t>
      </w:r>
      <w:r w:rsidR="009B19F1" w:rsidRPr="00D95F21">
        <w:sym w:font="Symbol" w:char="F0B0"/>
      </w:r>
      <w:r w:rsidR="009B19F1" w:rsidRPr="00D95F21">
        <w:t>C.</w:t>
      </w:r>
    </w:p>
    <w:p w:rsidR="003F3E85" w:rsidRPr="00D95F21" w:rsidRDefault="00D95F21" w:rsidP="00D95F21">
      <w:pPr>
        <w:pStyle w:val="SingleTxtG"/>
      </w:pPr>
      <w:r>
        <w:t>13.</w:t>
      </w:r>
      <w:r>
        <w:tab/>
      </w:r>
      <w:r w:rsidR="0092730B" w:rsidRPr="00D95F21">
        <w:t xml:space="preserve">Les pressions de vapeur </w:t>
      </w:r>
      <w:r w:rsidR="00685CB8" w:rsidRPr="00D95F21">
        <w:t>relevées</w:t>
      </w:r>
      <w:r w:rsidR="008272AB" w:rsidRPr="00D95F21">
        <w:t xml:space="preserve"> à l’aide de</w:t>
      </w:r>
      <w:r w:rsidR="000500B7" w:rsidRPr="00D95F21">
        <w:t xml:space="preserve"> </w:t>
      </w:r>
      <w:r w:rsidR="00B935F4" w:rsidRPr="00D95F21">
        <w:t>la m</w:t>
      </w:r>
      <w:r w:rsidR="008272AB" w:rsidRPr="00D95F21">
        <w:t>é</w:t>
      </w:r>
      <w:r w:rsidR="00B935F4" w:rsidRPr="00D95F21">
        <w:t>thod</w:t>
      </w:r>
      <w:r w:rsidR="008272AB" w:rsidRPr="00D95F21">
        <w:t>e</w:t>
      </w:r>
      <w:r w:rsidR="00B935F4" w:rsidRPr="00D95F21">
        <w:t xml:space="preserve"> d’analyse de la pression de vapeur réelle</w:t>
      </w:r>
      <w:r w:rsidR="000500B7" w:rsidRPr="00D95F21">
        <w:t xml:space="preserve"> </w:t>
      </w:r>
      <w:r w:rsidR="008272AB" w:rsidRPr="00D95F21">
        <w:t>indiquent que presque tous les pétroles bruts échantillonnés bouilleraient à la température d’analyse de</w:t>
      </w:r>
      <w:r w:rsidR="00AA4AE9" w:rsidRPr="00D95F21">
        <w:t xml:space="preserve"> 50 </w:t>
      </w:r>
      <w:r w:rsidR="00AA4AE9" w:rsidRPr="00D95F21">
        <w:sym w:font="Symbol" w:char="F0B0"/>
      </w:r>
      <w:r w:rsidR="000500B7" w:rsidRPr="00D95F21">
        <w:t>C</w:t>
      </w:r>
      <w:r w:rsidR="008272AB" w:rsidRPr="00D95F21">
        <w:t>, si ces pétroles bruts étaient exposés à l’atmosphè</w:t>
      </w:r>
      <w:r w:rsidR="000500B7" w:rsidRPr="00D95F21">
        <w:t>re</w:t>
      </w:r>
      <w:r w:rsidR="003F3E85" w:rsidRPr="00D95F21">
        <w:t xml:space="preserve"> (</w:t>
      </w:r>
      <w:r w:rsidR="008272AB" w:rsidRPr="00D95F21">
        <w:t>leur</w:t>
      </w:r>
      <w:r w:rsidR="003F3E85" w:rsidRPr="00D95F21">
        <w:t xml:space="preserve"> </w:t>
      </w:r>
      <w:r w:rsidR="00B935F4" w:rsidRPr="00D95F21">
        <w:t xml:space="preserve">pression de vapeur réelle </w:t>
      </w:r>
      <w:r w:rsidR="008272AB" w:rsidRPr="00D95F21">
        <w:t>est supérieure à</w:t>
      </w:r>
      <w:r w:rsidR="003F3E85" w:rsidRPr="00D95F21">
        <w:t xml:space="preserve"> </w:t>
      </w:r>
      <w:r w:rsidR="00055FCC" w:rsidRPr="00D95F21">
        <w:t>101</w:t>
      </w:r>
      <w:r w:rsidR="008272AB" w:rsidRPr="00D95F21">
        <w:t>,</w:t>
      </w:r>
      <w:r w:rsidR="00055FCC" w:rsidRPr="00D95F21">
        <w:t>3</w:t>
      </w:r>
      <w:r w:rsidR="003F3E85" w:rsidRPr="00D95F21">
        <w:t xml:space="preserve"> kPa </w:t>
      </w:r>
      <w:r w:rsidR="008272AB" w:rsidRPr="00D95F21">
        <w:t>à</w:t>
      </w:r>
      <w:r w:rsidR="003F3E85" w:rsidRPr="00D95F21">
        <w:t xml:space="preserve"> 50 </w:t>
      </w:r>
      <w:r w:rsidR="003F3E85" w:rsidRPr="00D95F21">
        <w:sym w:font="Symbol" w:char="F0B0"/>
      </w:r>
      <w:r w:rsidR="003F3E85" w:rsidRPr="00D95F21">
        <w:t>C)</w:t>
      </w:r>
      <w:r w:rsidR="00D728BE" w:rsidRPr="00D95F21">
        <w:t>.</w:t>
      </w:r>
    </w:p>
    <w:p w:rsidR="00D728BE" w:rsidRPr="00D95F21" w:rsidRDefault="00D95F21" w:rsidP="00D95F21">
      <w:pPr>
        <w:pStyle w:val="SingleTxtG"/>
      </w:pPr>
      <w:r>
        <w:t>14.</w:t>
      </w:r>
      <w:r>
        <w:tab/>
      </w:r>
      <w:r w:rsidR="008272AB" w:rsidRPr="00D95F21">
        <w:t xml:space="preserve">Un échantillon prélevé a satisfait </w:t>
      </w:r>
      <w:r w:rsidR="008E26D7" w:rsidRPr="00D95F21">
        <w:t xml:space="preserve">à </w:t>
      </w:r>
      <w:r w:rsidR="008272AB" w:rsidRPr="00D95F21">
        <w:t>la dé</w:t>
      </w:r>
      <w:r w:rsidR="00D728BE" w:rsidRPr="00D95F21">
        <w:t xml:space="preserve">finition </w:t>
      </w:r>
      <w:r w:rsidR="008272AB" w:rsidRPr="00D95F21">
        <w:t>de</w:t>
      </w:r>
      <w:r w:rsidR="00685CB8" w:rsidRPr="00D95F21">
        <w:t xml:space="preserve"> la</w:t>
      </w:r>
      <w:r w:rsidR="008272AB" w:rsidRPr="00D95F21">
        <w:t xml:space="preserve"> c</w:t>
      </w:r>
      <w:r w:rsidR="00D728BE" w:rsidRPr="00D95F21">
        <w:t>lass</w:t>
      </w:r>
      <w:r w:rsidR="008272AB" w:rsidRPr="00D95F21">
        <w:t>e</w:t>
      </w:r>
      <w:r w:rsidR="00D728BE" w:rsidRPr="00D95F21">
        <w:t xml:space="preserve"> 2.1 – </w:t>
      </w:r>
      <w:r w:rsidR="008272AB" w:rsidRPr="00D95F21">
        <w:t>Gaz inf</w:t>
      </w:r>
      <w:r w:rsidR="00D728BE" w:rsidRPr="00D95F21">
        <w:t>lammable</w:t>
      </w:r>
      <w:r w:rsidR="008272AB" w:rsidRPr="00D95F21">
        <w:t>, en raison de ses résultats de pression de vapeur</w:t>
      </w:r>
      <w:r w:rsidR="00D728BE" w:rsidRPr="00D95F21">
        <w:t xml:space="preserve"> </w:t>
      </w:r>
      <w:r w:rsidR="00685CB8" w:rsidRPr="00D95F21">
        <w:t xml:space="preserve">et </w:t>
      </w:r>
      <w:r w:rsidR="008272AB" w:rsidRPr="00D95F21">
        <w:t>d’in</w:t>
      </w:r>
      <w:r w:rsidR="00D728BE" w:rsidRPr="00D95F21">
        <w:t>flammabilit</w:t>
      </w:r>
      <w:r w:rsidR="008272AB" w:rsidRPr="00D95F21">
        <w:t>é</w:t>
      </w:r>
      <w:r w:rsidR="00D728BE" w:rsidRPr="00D95F21">
        <w:t>.</w:t>
      </w:r>
    </w:p>
    <w:p w:rsidR="003F3E85" w:rsidRPr="00D95F21" w:rsidRDefault="00D95F21" w:rsidP="00D95F21">
      <w:pPr>
        <w:pStyle w:val="SingleTxtG"/>
      </w:pPr>
      <w:r>
        <w:t>15.</w:t>
      </w:r>
      <w:r>
        <w:tab/>
      </w:r>
      <w:r w:rsidR="00B935F4" w:rsidRPr="00D95F21">
        <w:t>Les valeurs de pression de vapeur réelle</w:t>
      </w:r>
      <w:r w:rsidR="000500B7" w:rsidRPr="00D95F21">
        <w:t xml:space="preserve"> </w:t>
      </w:r>
      <w:r w:rsidR="003F3E85" w:rsidRPr="00D95F21">
        <w:t>obt</w:t>
      </w:r>
      <w:r w:rsidR="008272AB" w:rsidRPr="00D95F21">
        <w:t>enues sont supérieures aux</w:t>
      </w:r>
      <w:r w:rsidR="00B935F4" w:rsidRPr="00D95F21">
        <w:t xml:space="preserve"> valeurs de PVR</w:t>
      </w:r>
      <w:r w:rsidR="008272AB" w:rsidRPr="00D95F21">
        <w:t xml:space="preserve"> pour les échantillons de pétrole brut analysés par les deux méthodes</w:t>
      </w:r>
      <w:r w:rsidR="000500B7" w:rsidRPr="00D95F21">
        <w:t xml:space="preserve">. </w:t>
      </w:r>
      <w:r w:rsidR="003F3E85" w:rsidRPr="00D95F21">
        <w:t>Dur</w:t>
      </w:r>
      <w:r w:rsidR="00B935F4" w:rsidRPr="00D95F21">
        <w:t>ant une analyse de pression de vapeur réelle</w:t>
      </w:r>
      <w:r w:rsidR="000500B7" w:rsidRPr="00D95F21">
        <w:t xml:space="preserve">, </w:t>
      </w:r>
      <w:r w:rsidR="008272AB" w:rsidRPr="00D95F21">
        <w:t>les composants volatiles demeurent dans l’échantillon</w:t>
      </w:r>
      <w:r w:rsidR="000500B7" w:rsidRPr="00D95F21">
        <w:t xml:space="preserve"> </w:t>
      </w:r>
      <w:r w:rsidR="008272AB" w:rsidRPr="00D95F21">
        <w:t>pendant l’échantillonnage et l’analyse et ils</w:t>
      </w:r>
      <w:r w:rsidR="000500B7" w:rsidRPr="00D95F21">
        <w:t xml:space="preserve"> contribu</w:t>
      </w:r>
      <w:r w:rsidR="008272AB" w:rsidRPr="00D95F21">
        <w:t>ent au résultat de pression</w:t>
      </w:r>
      <w:r w:rsidR="00685CB8" w:rsidRPr="00D95F21">
        <w:t>, c</w:t>
      </w:r>
      <w:r w:rsidR="005638C6" w:rsidRPr="00D95F21">
        <w:t>e</w:t>
      </w:r>
      <w:r w:rsidR="00685CB8" w:rsidRPr="00D95F21">
        <w:t xml:space="preserve"> qui</w:t>
      </w:r>
      <w:r w:rsidR="00EB1B51" w:rsidRPr="00D95F21">
        <w:t xml:space="preserve"> n’est pas le cas pour </w:t>
      </w:r>
      <w:r w:rsidR="00B935F4" w:rsidRPr="00D95F21">
        <w:t>une analyse de PVR</w:t>
      </w:r>
      <w:r w:rsidR="00EB1B51" w:rsidRPr="00D95F21">
        <w:t> </w:t>
      </w:r>
      <w:r w:rsidR="000500B7" w:rsidRPr="00D95F21">
        <w:t xml:space="preserve">: </w:t>
      </w:r>
      <w:r w:rsidR="00EB1B51" w:rsidRPr="00D95F21">
        <w:t>l’échantillonnage et la man</w:t>
      </w:r>
      <w:r w:rsidR="00AC1265" w:rsidRPr="00D95F21">
        <w:t>utention</w:t>
      </w:r>
      <w:r w:rsidR="00EB1B51" w:rsidRPr="00D95F21">
        <w:t xml:space="preserve"> permettent habituellement aux composants volatiles de s’échapper</w:t>
      </w:r>
      <w:r w:rsidR="003F3E85" w:rsidRPr="00D95F21">
        <w:t xml:space="preserve">; </w:t>
      </w:r>
      <w:r w:rsidR="00EB1B51" w:rsidRPr="00D95F21">
        <w:t xml:space="preserve">leurs </w:t>
      </w:r>
      <w:r w:rsidR="00110889" w:rsidRPr="00D95F21">
        <w:t>risques</w:t>
      </w:r>
      <w:r w:rsidR="00EB1B51" w:rsidRPr="00D95F21">
        <w:t xml:space="preserve"> ne sont pas </w:t>
      </w:r>
      <w:r w:rsidR="00685CB8" w:rsidRPr="00D95F21">
        <w:t>saisis</w:t>
      </w:r>
      <w:r w:rsidR="00EB1B51" w:rsidRPr="00D95F21">
        <w:t xml:space="preserve"> pendant l’analyse, mais ils sont présents dans le</w:t>
      </w:r>
      <w:r w:rsidR="003F3E85" w:rsidRPr="00D95F21">
        <w:t xml:space="preserve"> </w:t>
      </w:r>
      <w:r w:rsidR="009B19F1" w:rsidRPr="00D95F21">
        <w:t>transport</w:t>
      </w:r>
      <w:r w:rsidR="003F3E85" w:rsidRPr="00D95F21">
        <w:t>.</w:t>
      </w:r>
    </w:p>
    <w:p w:rsidR="00494BF8" w:rsidRPr="00623E67" w:rsidRDefault="00494BF8" w:rsidP="00D95F21">
      <w:pPr>
        <w:ind w:left="567" w:firstLine="567"/>
        <w:rPr>
          <w:u w:val="single"/>
          <w:lang w:val="fr-CA"/>
        </w:rPr>
      </w:pPr>
      <w:r w:rsidRPr="00623E67">
        <w:rPr>
          <w:u w:val="single"/>
          <w:lang w:val="fr-CA"/>
        </w:rPr>
        <w:t>Poin</w:t>
      </w:r>
      <w:r w:rsidR="00EB1B51" w:rsidRPr="00623E67">
        <w:rPr>
          <w:u w:val="single"/>
          <w:lang w:val="fr-CA"/>
        </w:rPr>
        <w:t>t initial d</w:t>
      </w:r>
      <w:r w:rsidR="00B22C86" w:rsidRPr="00623E67">
        <w:rPr>
          <w:u w:val="single"/>
          <w:lang w:val="fr-CA"/>
        </w:rPr>
        <w:t>’ébullition</w:t>
      </w:r>
    </w:p>
    <w:p w:rsidR="009B19F1" w:rsidRPr="00D95F21" w:rsidRDefault="00D95F21" w:rsidP="00D95F21">
      <w:pPr>
        <w:pStyle w:val="SingleTxtG"/>
      </w:pPr>
      <w:r>
        <w:t>16.</w:t>
      </w:r>
      <w:r>
        <w:tab/>
      </w:r>
      <w:r w:rsidR="00EB1B51" w:rsidRPr="00D95F21">
        <w:t xml:space="preserve">L’analyse du </w:t>
      </w:r>
      <w:r w:rsidR="00B935F4" w:rsidRPr="00D95F21">
        <w:t xml:space="preserve">point initial </w:t>
      </w:r>
      <w:r w:rsidR="00B22C86" w:rsidRPr="00D95F21">
        <w:t>d’ébullition</w:t>
      </w:r>
      <w:r w:rsidR="00494BF8" w:rsidRPr="00D95F21">
        <w:t xml:space="preserve"> </w:t>
      </w:r>
      <w:r w:rsidR="00B22C86" w:rsidRPr="00D95F21">
        <w:t xml:space="preserve">(PIE) </w:t>
      </w:r>
      <w:r w:rsidR="00EB1B51" w:rsidRPr="00D95F21">
        <w:t>est utilisée pour déterminer les groupes d’emballage pour le</w:t>
      </w:r>
      <w:r w:rsidR="00494BF8" w:rsidRPr="00D95F21">
        <w:t xml:space="preserve"> transport </w:t>
      </w:r>
      <w:r w:rsidR="00EB1B51" w:rsidRPr="00D95F21">
        <w:t>des marchandises dangereuses de c</w:t>
      </w:r>
      <w:r w:rsidR="00494BF8" w:rsidRPr="00D95F21">
        <w:t>lass</w:t>
      </w:r>
      <w:r w:rsidR="00EB1B51" w:rsidRPr="00D95F21">
        <w:t>e</w:t>
      </w:r>
      <w:r w:rsidR="00494BF8" w:rsidRPr="00D95F21">
        <w:t> 3 – </w:t>
      </w:r>
      <w:r w:rsidR="00EB1B51" w:rsidRPr="00D95F21">
        <w:t>Liquides inf</w:t>
      </w:r>
      <w:r w:rsidR="00494BF8" w:rsidRPr="00D95F21">
        <w:t>lammable</w:t>
      </w:r>
      <w:r w:rsidR="00EB1B51" w:rsidRPr="00D95F21">
        <w:t>s</w:t>
      </w:r>
      <w:r w:rsidR="00494BF8" w:rsidRPr="00D95F21">
        <w:t xml:space="preserve">. </w:t>
      </w:r>
      <w:r w:rsidR="00EB1B51" w:rsidRPr="00D95F21">
        <w:t>La s</w:t>
      </w:r>
      <w:r w:rsidR="00494BF8" w:rsidRPr="00D95F21">
        <w:t xml:space="preserve">ection 2.3.2.6 </w:t>
      </w:r>
      <w:r w:rsidR="00EB1B51" w:rsidRPr="00D95F21">
        <w:t xml:space="preserve">du Règlement type de l’ONU </w:t>
      </w:r>
      <w:r w:rsidR="005638C6" w:rsidRPr="00D95F21">
        <w:t>réunit</w:t>
      </w:r>
      <w:r w:rsidR="00110889" w:rsidRPr="00D95F21">
        <w:t xml:space="preserve"> le point d’éclair et le</w:t>
      </w:r>
      <w:r w:rsidR="00494BF8" w:rsidRPr="00D95F21">
        <w:t xml:space="preserve"> </w:t>
      </w:r>
      <w:r w:rsidR="00B22C86" w:rsidRPr="00D95F21">
        <w:t>PIE</w:t>
      </w:r>
      <w:r w:rsidR="00494BF8" w:rsidRPr="00D95F21">
        <w:t xml:space="preserve"> </w:t>
      </w:r>
      <w:r w:rsidR="00110889" w:rsidRPr="00D95F21">
        <w:t>pour l’attribution à un groupe de risques et groupe d’emballage</w:t>
      </w:r>
      <w:r w:rsidR="00494BF8" w:rsidRPr="00D95F21">
        <w:t xml:space="preserve">. </w:t>
      </w:r>
    </w:p>
    <w:p w:rsidR="00494BF8" w:rsidRPr="00D95F21" w:rsidRDefault="00D95F21" w:rsidP="00D95F21">
      <w:pPr>
        <w:pStyle w:val="SingleTxtG"/>
      </w:pPr>
      <w:r>
        <w:t>17.</w:t>
      </w:r>
      <w:r>
        <w:tab/>
      </w:r>
      <w:r w:rsidR="00110889" w:rsidRPr="00D95F21">
        <w:t>La s</w:t>
      </w:r>
      <w:r w:rsidR="00494BF8" w:rsidRPr="00D95F21">
        <w:t xml:space="preserve">ection 2.3.4 </w:t>
      </w:r>
      <w:r w:rsidR="00110889" w:rsidRPr="00D95F21">
        <w:t xml:space="preserve">du Règlement type de l’ONU </w:t>
      </w:r>
      <w:r w:rsidR="00B22C86" w:rsidRPr="00D95F21">
        <w:t>mentionne la méthode</w:t>
      </w:r>
      <w:r w:rsidR="00494BF8" w:rsidRPr="00D95F21">
        <w:t xml:space="preserve"> ASTM D86-07a </w:t>
      </w:r>
      <w:r w:rsidR="00B22C86" w:rsidRPr="00D95F21">
        <w:t xml:space="preserve">comme méthode </w:t>
      </w:r>
      <w:r w:rsidR="005638C6" w:rsidRPr="00D95F21">
        <w:t>pour déterminer le</w:t>
      </w:r>
      <w:r w:rsidR="00494BF8" w:rsidRPr="00D95F21">
        <w:t xml:space="preserve"> </w:t>
      </w:r>
      <w:r w:rsidR="00B22C86" w:rsidRPr="00D95F21">
        <w:t>PIE</w:t>
      </w:r>
      <w:r w:rsidR="00494BF8" w:rsidRPr="00D95F21">
        <w:t xml:space="preserve"> </w:t>
      </w:r>
      <w:r w:rsidR="005638C6" w:rsidRPr="00D95F21">
        <w:t>d</w:t>
      </w:r>
      <w:r w:rsidR="00B22C86" w:rsidRPr="00D95F21">
        <w:t>es produits pétroliers à</w:t>
      </w:r>
      <w:r w:rsidR="00C15B9D" w:rsidRPr="00D95F21">
        <w:t xml:space="preserve"> la pression atmosphérique</w:t>
      </w:r>
      <w:r w:rsidR="00494BF8" w:rsidRPr="00D95F21">
        <w:t xml:space="preserve">. </w:t>
      </w:r>
      <w:r w:rsidR="00C15B9D" w:rsidRPr="00D95F21">
        <w:t>L’industrie utilise couramment cette mé</w:t>
      </w:r>
      <w:r w:rsidR="00B610E5" w:rsidRPr="00D95F21">
        <w:t>thod</w:t>
      </w:r>
      <w:r w:rsidR="00C15B9D" w:rsidRPr="00D95F21">
        <w:t>e</w:t>
      </w:r>
      <w:r w:rsidR="003129A5" w:rsidRPr="00D95F21">
        <w:t xml:space="preserve"> qui est</w:t>
      </w:r>
      <w:r w:rsidR="00C15B9D" w:rsidRPr="00D95F21">
        <w:t xml:space="preserve"> cependant problématique, car la méthode est ouverte à l’</w:t>
      </w:r>
      <w:r w:rsidR="00494BF8" w:rsidRPr="00D95F21">
        <w:t>atmosph</w:t>
      </w:r>
      <w:r w:rsidR="00C15B9D" w:rsidRPr="00D95F21">
        <w:t>è</w:t>
      </w:r>
      <w:r w:rsidR="00494BF8" w:rsidRPr="00D95F21">
        <w:t xml:space="preserve">re – </w:t>
      </w:r>
      <w:r w:rsidR="00C15B9D" w:rsidRPr="00D95F21">
        <w:t xml:space="preserve">les </w:t>
      </w:r>
      <w:r w:rsidR="003D3B75" w:rsidRPr="00D95F21">
        <w:t>fractions</w:t>
      </w:r>
      <w:r w:rsidR="00C15B9D" w:rsidRPr="00D95F21">
        <w:t xml:space="preserve"> légères volatiles ne sont pas maintenues pendant l’analyse dans une méthode à vase ouvert</w:t>
      </w:r>
      <w:r w:rsidR="00014273" w:rsidRPr="00D95F21">
        <w:t xml:space="preserve">. </w:t>
      </w:r>
      <w:r w:rsidR="00C15B9D" w:rsidRPr="00D95F21">
        <w:t xml:space="preserve">En plus, sa limitation physique ne </w:t>
      </w:r>
      <w:r w:rsidR="003D3B75" w:rsidRPr="00D95F21">
        <w:t>permet pas de saisir</w:t>
      </w:r>
      <w:r w:rsidR="00C15B9D" w:rsidRPr="00D95F21">
        <w:t xml:space="preserve"> les </w:t>
      </w:r>
      <w:r w:rsidR="003D3B75" w:rsidRPr="00D95F21">
        <w:t>fraction</w:t>
      </w:r>
      <w:r w:rsidR="00C15B9D" w:rsidRPr="00D95F21">
        <w:t>s légères qui s’échappent durant la détermination du</w:t>
      </w:r>
      <w:r w:rsidR="00B22C86" w:rsidRPr="00D95F21">
        <w:t xml:space="preserve"> PIE</w:t>
      </w:r>
      <w:r w:rsidR="00494BF8" w:rsidRPr="00D95F21">
        <w:t xml:space="preserve">, </w:t>
      </w:r>
      <w:r w:rsidR="00327E5D" w:rsidRPr="00D95F21">
        <w:t xml:space="preserve">ce qui rend la méthode inefficace pour </w:t>
      </w:r>
      <w:r w:rsidR="00C15B9D" w:rsidRPr="00D95F21">
        <w:t>dé</w:t>
      </w:r>
      <w:r w:rsidR="00494BF8" w:rsidRPr="00D95F21">
        <w:t>termin</w:t>
      </w:r>
      <w:r w:rsidR="00C15B9D" w:rsidRPr="00D95F21">
        <w:t>er les valeurs</w:t>
      </w:r>
      <w:r w:rsidR="00B22C86" w:rsidRPr="00D95F21">
        <w:t xml:space="preserve"> de PIE</w:t>
      </w:r>
      <w:r w:rsidR="00494BF8" w:rsidRPr="00D95F21">
        <w:t xml:space="preserve"> </w:t>
      </w:r>
      <w:r w:rsidR="00C15B9D" w:rsidRPr="00D95F21">
        <w:t>à</w:t>
      </w:r>
      <w:r w:rsidR="00494BF8" w:rsidRPr="00D95F21">
        <w:t xml:space="preserve"> 0 </w:t>
      </w:r>
      <w:r w:rsidR="00494BF8" w:rsidRPr="00D95F21">
        <w:sym w:font="Symbol" w:char="F0B0"/>
      </w:r>
      <w:r w:rsidR="00494BF8" w:rsidRPr="00D95F21">
        <w:t>C</w:t>
      </w:r>
      <w:r w:rsidR="00014273" w:rsidRPr="00D95F21">
        <w:t xml:space="preserve"> </w:t>
      </w:r>
      <w:r w:rsidR="00C15B9D" w:rsidRPr="00D95F21">
        <w:t>ou sous le point de congélation en raison de l’utilisation d’un condenseur refroidi à l’eau</w:t>
      </w:r>
      <w:r w:rsidR="00494BF8" w:rsidRPr="00D95F21">
        <w:t xml:space="preserve">. </w:t>
      </w:r>
      <w:r w:rsidR="00C15B9D" w:rsidRPr="00D95F21">
        <w:t>Par conséquent</w:t>
      </w:r>
      <w:r w:rsidR="00494BF8" w:rsidRPr="00D95F21">
        <w:t xml:space="preserve">, </w:t>
      </w:r>
      <w:r w:rsidR="00C15B9D" w:rsidRPr="00D95F21">
        <w:t>cette mé</w:t>
      </w:r>
      <w:r w:rsidR="00494BF8" w:rsidRPr="00D95F21">
        <w:t>thod</w:t>
      </w:r>
      <w:r w:rsidR="00C15B9D" w:rsidRPr="00D95F21">
        <w:t xml:space="preserve">e </w:t>
      </w:r>
      <w:r w:rsidR="00327E5D" w:rsidRPr="00D95F21">
        <w:t>ne permet pas de</w:t>
      </w:r>
      <w:r w:rsidR="00C15B9D" w:rsidRPr="00D95F21">
        <w:t xml:space="preserve"> résoudre les contributions </w:t>
      </w:r>
      <w:r w:rsidR="00327E5D" w:rsidRPr="00D95F21">
        <w:t xml:space="preserve">en termes </w:t>
      </w:r>
      <w:r w:rsidR="00C15B9D" w:rsidRPr="00D95F21">
        <w:t>de</w:t>
      </w:r>
      <w:r w:rsidR="00B22C86" w:rsidRPr="00D95F21">
        <w:t xml:space="preserve"> PIE</w:t>
      </w:r>
      <w:r w:rsidR="00494BF8" w:rsidRPr="00D95F21">
        <w:t xml:space="preserve"> </w:t>
      </w:r>
      <w:r w:rsidR="00C15B9D" w:rsidRPr="00D95F21">
        <w:t>des composants comme le mé</w:t>
      </w:r>
      <w:r w:rsidR="00494BF8" w:rsidRPr="00D95F21">
        <w:t xml:space="preserve">thane, </w:t>
      </w:r>
      <w:r w:rsidR="00C15B9D" w:rsidRPr="00D95F21">
        <w:t>l’é</w:t>
      </w:r>
      <w:r w:rsidR="00494BF8" w:rsidRPr="00D95F21">
        <w:t xml:space="preserve">thane, </w:t>
      </w:r>
      <w:r w:rsidR="00C15B9D" w:rsidRPr="00D95F21">
        <w:t xml:space="preserve">le </w:t>
      </w:r>
      <w:r w:rsidR="00494BF8" w:rsidRPr="00D95F21">
        <w:t>propane, etc.</w:t>
      </w:r>
      <w:r w:rsidR="00327E5D" w:rsidRPr="00D95F21">
        <w:t xml:space="preserve"> qui sont</w:t>
      </w:r>
      <w:r w:rsidR="001254CA" w:rsidRPr="00D95F21">
        <w:t xml:space="preserve"> présents dans le pétrole brut et d’autres</w:t>
      </w:r>
      <w:r w:rsidR="00494BF8" w:rsidRPr="00D95F21">
        <w:t xml:space="preserve"> produ</w:t>
      </w:r>
      <w:r w:rsidR="001254CA" w:rsidRPr="00D95F21">
        <w:t>i</w:t>
      </w:r>
      <w:r w:rsidR="00494BF8" w:rsidRPr="00D95F21">
        <w:t xml:space="preserve">ts </w:t>
      </w:r>
      <w:r w:rsidR="001254CA" w:rsidRPr="00D95F21">
        <w:t>pour lesquels cette méthode pourrait être utilisée</w:t>
      </w:r>
      <w:r w:rsidR="00494BF8" w:rsidRPr="00D95F21">
        <w:t>.</w:t>
      </w:r>
    </w:p>
    <w:p w:rsidR="00B610E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18.</w:t>
      </w:r>
      <w:r>
        <w:rPr>
          <w:lang w:val="fr-CA"/>
        </w:rPr>
        <w:tab/>
      </w:r>
      <w:r w:rsidR="001254CA" w:rsidRPr="00623E67">
        <w:rPr>
          <w:lang w:val="fr-CA"/>
        </w:rPr>
        <w:t xml:space="preserve">Le </w:t>
      </w:r>
      <w:r w:rsidR="00B610E5" w:rsidRPr="00D95F21">
        <w:t>Canada</w:t>
      </w:r>
      <w:r w:rsidR="00B610E5" w:rsidRPr="00623E67">
        <w:rPr>
          <w:lang w:val="fr-CA"/>
        </w:rPr>
        <w:t xml:space="preserve"> </w:t>
      </w:r>
      <w:r w:rsidR="001254CA" w:rsidRPr="00623E67">
        <w:rPr>
          <w:lang w:val="fr-CA"/>
        </w:rPr>
        <w:t xml:space="preserve">a </w:t>
      </w:r>
      <w:r w:rsidR="000E345C">
        <w:rPr>
          <w:lang w:val="fr-CA"/>
        </w:rPr>
        <w:t>trouvé d’autres</w:t>
      </w:r>
      <w:r w:rsidR="001254CA" w:rsidRPr="00623E67">
        <w:rPr>
          <w:lang w:val="fr-CA"/>
        </w:rPr>
        <w:t xml:space="preserve"> méthodes qui ne </w:t>
      </w:r>
      <w:r w:rsidR="000E345C">
        <w:rPr>
          <w:lang w:val="fr-CA"/>
        </w:rPr>
        <w:t>figurent pas</w:t>
      </w:r>
      <w:r w:rsidR="001254CA" w:rsidRPr="00623E67">
        <w:rPr>
          <w:lang w:val="fr-CA"/>
        </w:rPr>
        <w:t xml:space="preserve"> dans le Règlement type de l’ONU, mais qui seraient plus appropriées pour les pétroles bruts, notamment ceux qui ont été récupérés dans le cadre de cette étude</w:t>
      </w:r>
      <w:r w:rsidR="00B610E5" w:rsidRPr="00623E67">
        <w:rPr>
          <w:lang w:val="fr-CA"/>
        </w:rPr>
        <w:t xml:space="preserve">. </w:t>
      </w:r>
      <w:r w:rsidR="001254CA" w:rsidRPr="00623E67">
        <w:rPr>
          <w:lang w:val="fr-CA"/>
        </w:rPr>
        <w:t>Une analyse par</w:t>
      </w:r>
      <w:r w:rsidR="00B610E5" w:rsidRPr="00623E67">
        <w:rPr>
          <w:lang w:val="fr-CA"/>
        </w:rPr>
        <w:t xml:space="preserve"> injection </w:t>
      </w:r>
      <w:r w:rsidR="001254CA" w:rsidRPr="00623E67">
        <w:rPr>
          <w:lang w:val="fr-CA"/>
        </w:rPr>
        <w:t>à l’aide de la méthode</w:t>
      </w:r>
      <w:r w:rsidR="00B610E5" w:rsidRPr="00623E67">
        <w:rPr>
          <w:lang w:val="fr-CA"/>
        </w:rPr>
        <w:t xml:space="preserve"> ASTM D8003</w:t>
      </w:r>
      <w:r w:rsidR="00F453C5" w:rsidRPr="00623E67">
        <w:rPr>
          <w:lang w:val="fr-CA"/>
        </w:rPr>
        <w:t xml:space="preserve"> o</w:t>
      </w:r>
      <w:r w:rsidR="001254CA" w:rsidRPr="00623E67">
        <w:rPr>
          <w:lang w:val="fr-CA"/>
        </w:rPr>
        <w:t>u d’une autre méthode</w:t>
      </w:r>
      <w:r w:rsidR="00F453C5" w:rsidRPr="00623E67">
        <w:rPr>
          <w:lang w:val="fr-CA"/>
        </w:rPr>
        <w:t xml:space="preserve"> ASTM</w:t>
      </w:r>
      <w:r w:rsidR="00B610E5" w:rsidRPr="00623E67">
        <w:rPr>
          <w:lang w:val="fr-CA"/>
        </w:rPr>
        <w:t xml:space="preserve"> </w:t>
      </w:r>
      <w:r w:rsidR="001254CA" w:rsidRPr="00623E67">
        <w:rPr>
          <w:lang w:val="fr-CA"/>
        </w:rPr>
        <w:t>permet d’</w:t>
      </w:r>
      <w:r w:rsidR="00F453C5" w:rsidRPr="00623E67">
        <w:rPr>
          <w:lang w:val="fr-CA"/>
        </w:rPr>
        <w:t>inject</w:t>
      </w:r>
      <w:r w:rsidR="001254CA" w:rsidRPr="00623E67">
        <w:rPr>
          <w:lang w:val="fr-CA"/>
        </w:rPr>
        <w:t>er des échantillons pressurisés dans l’instrument analytique pour éviter de perdre des composants très volatiles et conserver l’intégrité d’un échantillon</w:t>
      </w:r>
      <w:r w:rsidR="00B610E5" w:rsidRPr="00623E67">
        <w:rPr>
          <w:lang w:val="fr-CA"/>
        </w:rPr>
        <w:t xml:space="preserve">. </w:t>
      </w:r>
      <w:r w:rsidR="001254CA" w:rsidRPr="00623E67">
        <w:rPr>
          <w:lang w:val="fr-CA"/>
        </w:rPr>
        <w:t>La méthode A</w:t>
      </w:r>
      <w:r w:rsidR="00F453C5" w:rsidRPr="00623E67">
        <w:rPr>
          <w:lang w:val="fr-CA"/>
        </w:rPr>
        <w:t xml:space="preserve">STM D8003 </w:t>
      </w:r>
      <w:r w:rsidR="001254CA" w:rsidRPr="00623E67">
        <w:rPr>
          <w:lang w:val="fr-CA"/>
        </w:rPr>
        <w:t xml:space="preserve">a été utilisée pour la </w:t>
      </w:r>
      <w:r w:rsidR="001254CA" w:rsidRPr="00623E67">
        <w:rPr>
          <w:lang w:val="fr-CA"/>
        </w:rPr>
        <w:lastRenderedPageBreak/>
        <w:t xml:space="preserve">détermination des </w:t>
      </w:r>
      <w:r w:rsidR="003D3B75">
        <w:rPr>
          <w:lang w:val="fr-CA"/>
        </w:rPr>
        <w:t>fraction</w:t>
      </w:r>
      <w:r w:rsidR="001254CA" w:rsidRPr="00623E67">
        <w:rPr>
          <w:lang w:val="fr-CA"/>
        </w:rPr>
        <w:t>s légères</w:t>
      </w:r>
      <w:r w:rsidR="00F453C5" w:rsidRPr="00623E67">
        <w:rPr>
          <w:lang w:val="fr-CA"/>
        </w:rPr>
        <w:t xml:space="preserve"> (C1</w:t>
      </w:r>
      <w:r w:rsidR="001254CA" w:rsidRPr="00623E67">
        <w:rPr>
          <w:lang w:val="fr-CA"/>
        </w:rPr>
        <w:t> à </w:t>
      </w:r>
      <w:r w:rsidR="00F453C5" w:rsidRPr="00623E67">
        <w:rPr>
          <w:i/>
          <w:lang w:val="fr-CA"/>
        </w:rPr>
        <w:t>n</w:t>
      </w:r>
      <w:r w:rsidR="00F453C5" w:rsidRPr="00623E67">
        <w:rPr>
          <w:lang w:val="fr-CA"/>
        </w:rPr>
        <w:t xml:space="preserve">C9) </w:t>
      </w:r>
      <w:r w:rsidR="001254CA" w:rsidRPr="00623E67">
        <w:rPr>
          <w:lang w:val="fr-CA"/>
        </w:rPr>
        <w:t>et de concert avec la méthode </w:t>
      </w:r>
      <w:r w:rsidR="00F453C5" w:rsidRPr="00623E67">
        <w:rPr>
          <w:lang w:val="fr-CA"/>
        </w:rPr>
        <w:t xml:space="preserve">ASTM D7169 </w:t>
      </w:r>
      <w:r w:rsidR="001254CA" w:rsidRPr="00623E67">
        <w:rPr>
          <w:lang w:val="fr-CA"/>
        </w:rPr>
        <w:t xml:space="preserve">pour la détermination des </w:t>
      </w:r>
      <w:r w:rsidR="003D3B75">
        <w:rPr>
          <w:lang w:val="fr-CA"/>
        </w:rPr>
        <w:t>fraction</w:t>
      </w:r>
      <w:r w:rsidR="001254CA" w:rsidRPr="00623E67">
        <w:rPr>
          <w:lang w:val="fr-CA"/>
        </w:rPr>
        <w:t xml:space="preserve">s </w:t>
      </w:r>
      <w:r w:rsidR="00F453C5" w:rsidRPr="00623E67">
        <w:rPr>
          <w:lang w:val="fr-CA"/>
        </w:rPr>
        <w:t xml:space="preserve">C9 </w:t>
      </w:r>
      <w:r w:rsidR="001254CA" w:rsidRPr="00623E67">
        <w:rPr>
          <w:lang w:val="fr-CA"/>
        </w:rPr>
        <w:t>à</w:t>
      </w:r>
      <w:r w:rsidR="00F453C5" w:rsidRPr="00623E67">
        <w:rPr>
          <w:lang w:val="fr-CA"/>
        </w:rPr>
        <w:t xml:space="preserve"> C100.</w:t>
      </w:r>
    </w:p>
    <w:p w:rsidR="003F3E85" w:rsidRPr="00D95F21" w:rsidRDefault="00D95F21" w:rsidP="00D95F21">
      <w:pPr>
        <w:pStyle w:val="SingleTxtG"/>
      </w:pPr>
      <w:r>
        <w:t>19.</w:t>
      </w:r>
      <w:r>
        <w:tab/>
      </w:r>
      <w:r w:rsidR="00B22C86" w:rsidRPr="00D95F21">
        <w:t>L</w:t>
      </w:r>
      <w:r w:rsidR="00F81A70" w:rsidRPr="00D95F21">
        <w:t>’analyse pour déterminer le</w:t>
      </w:r>
      <w:r w:rsidR="00B22C86" w:rsidRPr="00D95F21">
        <w:t xml:space="preserve"> PIE</w:t>
      </w:r>
      <w:r w:rsidR="00494BF8" w:rsidRPr="00D95F21">
        <w:t xml:space="preserve"> </w:t>
      </w:r>
      <w:r w:rsidR="00F81A70" w:rsidRPr="00D95F21">
        <w:t>dans des échantillons pressurisés et scellés à l’aide des données de</w:t>
      </w:r>
      <w:r w:rsidR="00494BF8" w:rsidRPr="00D95F21">
        <w:t xml:space="preserve"> composition </w:t>
      </w:r>
      <w:r w:rsidR="00F81A70" w:rsidRPr="00D95F21">
        <w:t>par la méthode</w:t>
      </w:r>
      <w:r w:rsidR="00494BF8" w:rsidRPr="00D95F21">
        <w:t xml:space="preserve"> </w:t>
      </w:r>
      <w:r w:rsidR="003129A5" w:rsidRPr="00D95F21">
        <w:t>ASTM D8003</w:t>
      </w:r>
      <w:r w:rsidR="00055FCC" w:rsidRPr="00D95F21">
        <w:t>/ASTM</w:t>
      </w:r>
      <w:r w:rsidR="00014273" w:rsidRPr="00D95F21">
        <w:t> </w:t>
      </w:r>
      <w:r w:rsidR="00494BF8" w:rsidRPr="00D95F21">
        <w:t>D71</w:t>
      </w:r>
      <w:r w:rsidR="00B610E5" w:rsidRPr="00D95F21">
        <w:t xml:space="preserve">69 </w:t>
      </w:r>
      <w:r w:rsidR="00F81A70" w:rsidRPr="00D95F21">
        <w:t>pour des échantillons de pétrole brut</w:t>
      </w:r>
      <w:r w:rsidR="00B610E5" w:rsidRPr="00D95F21">
        <w:t xml:space="preserve"> </w:t>
      </w:r>
      <w:r w:rsidR="00F81A70" w:rsidRPr="00D95F21">
        <w:t xml:space="preserve">a produit des lectures de point d’ébullition constamment inférieures </w:t>
      </w:r>
      <w:r w:rsidR="000563E0" w:rsidRPr="00D95F21">
        <w:t>aux résultats obtenus par la méthode</w:t>
      </w:r>
      <w:r w:rsidR="00494BF8" w:rsidRPr="00D95F21">
        <w:t xml:space="preserve"> ASTM D86 </w:t>
      </w:r>
      <w:r w:rsidR="000563E0" w:rsidRPr="00D95F21">
        <w:t>pour les échantillons analysés par les deux mé</w:t>
      </w:r>
      <w:r w:rsidR="00494BF8" w:rsidRPr="00D95F21">
        <w:t>thod</w:t>
      </w:r>
      <w:r w:rsidR="000563E0" w:rsidRPr="00D95F21">
        <w:t>e</w:t>
      </w:r>
      <w:r w:rsidR="00494BF8" w:rsidRPr="00D95F21">
        <w:t xml:space="preserve">s. </w:t>
      </w:r>
      <w:r w:rsidR="000563E0" w:rsidRPr="00D95F21">
        <w:t>La différence moyenne était de</w:t>
      </w:r>
      <w:r w:rsidR="00B610E5" w:rsidRPr="00D95F21">
        <w:t xml:space="preserve"> 46</w:t>
      </w:r>
      <w:r w:rsidR="000563E0" w:rsidRPr="00D95F21">
        <w:t>,</w:t>
      </w:r>
      <w:r w:rsidR="00B610E5" w:rsidRPr="00D95F21">
        <w:t xml:space="preserve">3 </w:t>
      </w:r>
      <w:r w:rsidR="00B610E5" w:rsidRPr="00D95F21">
        <w:sym w:font="Symbol" w:char="F0B0"/>
      </w:r>
      <w:r w:rsidR="00B610E5" w:rsidRPr="00D95F21">
        <w:t xml:space="preserve">C </w:t>
      </w:r>
      <w:r w:rsidR="000563E0" w:rsidRPr="00D95F21">
        <w:t>en comparant les échantillons qui possédaient</w:t>
      </w:r>
      <w:r w:rsidR="003D3B75" w:rsidRPr="00D95F21">
        <w:t xml:space="preserve"> la proportion la plus élevée de fraction</w:t>
      </w:r>
      <w:r w:rsidR="000563E0" w:rsidRPr="00D95F21">
        <w:t>s légères</w:t>
      </w:r>
      <w:r w:rsidR="00B610E5" w:rsidRPr="00D95F21">
        <w:t xml:space="preserve">. </w:t>
      </w:r>
      <w:r w:rsidR="00B22C86" w:rsidRPr="00D95F21">
        <w:t>Le PIE</w:t>
      </w:r>
      <w:r w:rsidR="00BD1540" w:rsidRPr="00D95F21">
        <w:t xml:space="preserve"> </w:t>
      </w:r>
      <w:r w:rsidR="000563E0" w:rsidRPr="00D95F21">
        <w:t>est la tempé</w:t>
      </w:r>
      <w:r w:rsidR="00BD1540" w:rsidRPr="00D95F21">
        <w:t xml:space="preserve">rature </w:t>
      </w:r>
      <w:r w:rsidR="000563E0" w:rsidRPr="00D95F21">
        <w:t xml:space="preserve">à laquelle </w:t>
      </w:r>
      <w:r w:rsidR="00BD1540" w:rsidRPr="00D95F21">
        <w:t>0</w:t>
      </w:r>
      <w:r w:rsidR="000563E0" w:rsidRPr="00D95F21">
        <w:t>,</w:t>
      </w:r>
      <w:r w:rsidR="00BD1540" w:rsidRPr="00D95F21">
        <w:t xml:space="preserve">5 </w:t>
      </w:r>
      <w:r w:rsidR="000563E0" w:rsidRPr="00D95F21">
        <w:t>pour cent en poids de l’échantillon a été élué</w:t>
      </w:r>
      <w:r w:rsidR="00BD1540" w:rsidRPr="00D95F21">
        <w:t xml:space="preserve">, </w:t>
      </w:r>
      <w:r w:rsidR="009725D5" w:rsidRPr="00D95F21">
        <w:t>comme le définissent</w:t>
      </w:r>
      <w:r w:rsidR="000563E0" w:rsidRPr="00D95F21">
        <w:t xml:space="preserve"> la méthode</w:t>
      </w:r>
      <w:r w:rsidR="00BD1540" w:rsidRPr="00D95F21">
        <w:t xml:space="preserve"> ASTM D7169 </w:t>
      </w:r>
      <w:r w:rsidR="000563E0" w:rsidRPr="00D95F21">
        <w:t>et le document</w:t>
      </w:r>
      <w:r w:rsidR="00BD1540" w:rsidRPr="00D95F21">
        <w:t xml:space="preserve"> American Petroleum Institute (API) Recommended Practice 3000.</w:t>
      </w:r>
    </w:p>
    <w:p w:rsidR="009B19F1" w:rsidRPr="00D95F21" w:rsidRDefault="00D95F21" w:rsidP="00D95F21">
      <w:pPr>
        <w:pStyle w:val="SingleTxtG"/>
      </w:pPr>
      <w:r>
        <w:t>20.</w:t>
      </w:r>
      <w:r>
        <w:tab/>
      </w:r>
      <w:r w:rsidR="00B22C86" w:rsidRPr="00D95F21">
        <w:t>Le PIE dé</w:t>
      </w:r>
      <w:r w:rsidR="009B19F1" w:rsidRPr="00D95F21">
        <w:t>termin</w:t>
      </w:r>
      <w:r w:rsidR="00B22C86" w:rsidRPr="00D95F21">
        <w:t>é</w:t>
      </w:r>
      <w:r w:rsidR="009B19F1" w:rsidRPr="00D95F21">
        <w:t xml:space="preserve"> </w:t>
      </w:r>
      <w:r w:rsidR="000563E0" w:rsidRPr="00D95F21">
        <w:t>par la méthode</w:t>
      </w:r>
      <w:r w:rsidR="009B19F1" w:rsidRPr="00D95F21">
        <w:t xml:space="preserve"> ASTM D86 </w:t>
      </w:r>
      <w:r w:rsidR="000563E0" w:rsidRPr="00D95F21">
        <w:t xml:space="preserve">a fait en sorte que plusieurs échantillons de pétrole brut ont été placés dans le groupe d’emballage </w:t>
      </w:r>
      <w:r w:rsidR="00052B6B" w:rsidRPr="00D95F21">
        <w:t>II (</w:t>
      </w:r>
      <w:r w:rsidR="009725D5" w:rsidRPr="00D95F21">
        <w:t>GE</w:t>
      </w:r>
      <w:r w:rsidR="009B19F1" w:rsidRPr="00D95F21">
        <w:t xml:space="preserve"> II</w:t>
      </w:r>
      <w:r w:rsidR="00052B6B" w:rsidRPr="00D95F21">
        <w:t>)</w:t>
      </w:r>
      <w:r w:rsidR="009B19F1" w:rsidRPr="00D95F21">
        <w:t xml:space="preserve">, </w:t>
      </w:r>
      <w:r w:rsidR="000563E0" w:rsidRPr="00D95F21">
        <w:t>alors que les données des méthodes</w:t>
      </w:r>
      <w:r w:rsidR="009B19F1" w:rsidRPr="00D95F21">
        <w:t xml:space="preserve"> </w:t>
      </w:r>
      <w:r w:rsidR="00014273" w:rsidRPr="00D95F21">
        <w:t>ASTM D8003</w:t>
      </w:r>
      <w:r w:rsidR="003129A5" w:rsidRPr="00D95F21">
        <w:t>/</w:t>
      </w:r>
      <w:r w:rsidR="00014273" w:rsidRPr="00D95F21">
        <w:t xml:space="preserve">ASTM D7169 </w:t>
      </w:r>
      <w:r w:rsidR="000563E0" w:rsidRPr="00D95F21">
        <w:t xml:space="preserve">pour ces mêmes échantillons les ont placés dans le groupe d’emballage </w:t>
      </w:r>
      <w:r w:rsidR="00052B6B" w:rsidRPr="00D95F21">
        <w:t>I</w:t>
      </w:r>
      <w:r w:rsidR="009B19F1" w:rsidRPr="00D95F21">
        <w:t xml:space="preserve"> </w:t>
      </w:r>
      <w:r w:rsidR="00052B6B" w:rsidRPr="00D95F21">
        <w:t>(</w:t>
      </w:r>
      <w:r w:rsidR="009725D5" w:rsidRPr="00D95F21">
        <w:t>GE</w:t>
      </w:r>
      <w:r w:rsidR="009B19F1" w:rsidRPr="00D95F21">
        <w:t xml:space="preserve"> I</w:t>
      </w:r>
      <w:r w:rsidR="00052B6B" w:rsidRPr="00D95F21">
        <w:t>)</w:t>
      </w:r>
      <w:r w:rsidR="009B19F1" w:rsidRPr="00D95F21">
        <w:t>.</w:t>
      </w:r>
      <w:r w:rsidR="00014273" w:rsidRPr="00D95F21">
        <w:t xml:space="preserve"> </w:t>
      </w:r>
      <w:r w:rsidR="00641150" w:rsidRPr="00D95F21">
        <w:t>En utilisant les</w:t>
      </w:r>
      <w:r w:rsidR="00B22C86" w:rsidRPr="00D95F21">
        <w:t xml:space="preserve"> critères du PIE</w:t>
      </w:r>
      <w:r w:rsidR="00014273" w:rsidRPr="00D95F21">
        <w:t xml:space="preserve">, 56 </w:t>
      </w:r>
      <w:r w:rsidR="00052B6B" w:rsidRPr="00D95F21">
        <w:t>des</w:t>
      </w:r>
      <w:r w:rsidR="00014273" w:rsidRPr="00D95F21">
        <w:t xml:space="preserve"> 68</w:t>
      </w:r>
      <w:r w:rsidR="00052B6B" w:rsidRPr="00D95F21">
        <w:t> échantillons appartenaient au groupe d’emballage</w:t>
      </w:r>
      <w:r w:rsidR="00014273" w:rsidRPr="00D95F21">
        <w:t xml:space="preserve"> I</w:t>
      </w:r>
      <w:r w:rsidR="00052B6B" w:rsidRPr="00D95F21">
        <w:t xml:space="preserve"> (</w:t>
      </w:r>
      <w:r w:rsidR="009725D5" w:rsidRPr="00D95F21">
        <w:t>GE</w:t>
      </w:r>
      <w:r w:rsidR="00052B6B" w:rsidRPr="00D95F21">
        <w:t xml:space="preserve"> I)</w:t>
      </w:r>
      <w:r w:rsidR="00014273" w:rsidRPr="00D95F21">
        <w:t xml:space="preserve">, </w:t>
      </w:r>
      <w:r w:rsidR="00052B6B" w:rsidRPr="00D95F21">
        <w:t>le groupe de risque le plus élevé pour les produits de c</w:t>
      </w:r>
      <w:r w:rsidR="00014273" w:rsidRPr="00D95F21">
        <w:t>lass</w:t>
      </w:r>
      <w:r w:rsidR="00052B6B" w:rsidRPr="00D95F21">
        <w:t>e</w:t>
      </w:r>
      <w:r w:rsidR="00014273" w:rsidRPr="00D95F21">
        <w:t xml:space="preserve"> 3 – Liquid</w:t>
      </w:r>
      <w:r w:rsidR="00052B6B" w:rsidRPr="00D95F21">
        <w:t>e</w:t>
      </w:r>
      <w:r w:rsidR="00014273" w:rsidRPr="00D95F21">
        <w:t>s</w:t>
      </w:r>
      <w:r w:rsidR="00052B6B" w:rsidRPr="00D95F21">
        <w:t xml:space="preserve"> inflammables</w:t>
      </w:r>
      <w:r w:rsidR="00014273" w:rsidRPr="00D95F21">
        <w:t>.</w:t>
      </w:r>
    </w:p>
    <w:p w:rsidR="00055FCC" w:rsidRPr="00D95F21" w:rsidRDefault="00D95F21" w:rsidP="00D95F21">
      <w:pPr>
        <w:pStyle w:val="SingleTxtG"/>
      </w:pPr>
      <w:r>
        <w:t>21.</w:t>
      </w:r>
      <w:r>
        <w:tab/>
      </w:r>
      <w:r w:rsidR="00052B6B" w:rsidRPr="00D95F21">
        <w:t>Le tableau qui suit illustre les diffé</w:t>
      </w:r>
      <w:r w:rsidR="00055FCC" w:rsidRPr="00D95F21">
        <w:t xml:space="preserve">rences </w:t>
      </w:r>
      <w:r w:rsidR="00052B6B" w:rsidRPr="00D95F21">
        <w:t>entre</w:t>
      </w:r>
      <w:r w:rsidR="00055FCC" w:rsidRPr="00D95F21">
        <w:t xml:space="preserve"> </w:t>
      </w:r>
      <w:r w:rsidR="00B22C86" w:rsidRPr="00D95F21">
        <w:t>les dé</w:t>
      </w:r>
      <w:r w:rsidR="00055FCC" w:rsidRPr="00D95F21">
        <w:t xml:space="preserve">terminations </w:t>
      </w:r>
      <w:r w:rsidR="00B22C86" w:rsidRPr="00D95F21">
        <w:t xml:space="preserve">du PIE </w:t>
      </w:r>
      <w:r w:rsidR="00052B6B" w:rsidRPr="00D95F21">
        <w:t>selon la méthode utilisée :</w:t>
      </w:r>
      <w:r w:rsidR="00055FCC" w:rsidRPr="00D95F21">
        <w:t xml:space="preserve"> ASTM D86 </w:t>
      </w:r>
      <w:r w:rsidR="00052B6B" w:rsidRPr="00D95F21">
        <w:t>et</w:t>
      </w:r>
      <w:r w:rsidR="00055FCC" w:rsidRPr="00D95F21">
        <w:t xml:space="preserve"> </w:t>
      </w:r>
      <w:r w:rsidR="00014273" w:rsidRPr="00D95F21">
        <w:t>ASTM D8003/ASTM D7169</w:t>
      </w:r>
      <w:r w:rsidR="00052B6B" w:rsidRPr="00D95F21">
        <w:t>.</w:t>
      </w:r>
    </w:p>
    <w:tbl>
      <w:tblPr>
        <w:tblStyle w:val="GridTable1Light1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126"/>
        <w:gridCol w:w="1985"/>
        <w:gridCol w:w="1701"/>
      </w:tblGrid>
      <w:tr w:rsidR="00D728BE" w:rsidRPr="00623E67" w:rsidTr="0064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14273">
            <w:pPr>
              <w:pStyle w:val="SingleTxtG"/>
              <w:ind w:left="0" w:right="-16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Type</w:t>
            </w:r>
            <w:r w:rsidR="00052B6B" w:rsidRPr="00623E67">
              <w:rPr>
                <w:lang w:val="fr-CA"/>
              </w:rPr>
              <w:t xml:space="preserve"> d’échantillon</w:t>
            </w:r>
          </w:p>
        </w:tc>
        <w:tc>
          <w:tcPr>
            <w:tcW w:w="2126" w:type="dxa"/>
          </w:tcPr>
          <w:p w:rsidR="00D728BE" w:rsidRPr="00623E67" w:rsidRDefault="00B22C86" w:rsidP="00B22C86">
            <w:pPr>
              <w:pStyle w:val="SingleTxtG"/>
              <w:ind w:left="0"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PIE moyen</w:t>
            </w:r>
            <w:r w:rsidR="00D728BE" w:rsidRPr="00623E67">
              <w:rPr>
                <w:lang w:val="fr-CA"/>
              </w:rPr>
              <w:t xml:space="preserve"> (°C), ASTM D86</w:t>
            </w:r>
          </w:p>
        </w:tc>
        <w:tc>
          <w:tcPr>
            <w:tcW w:w="1985" w:type="dxa"/>
          </w:tcPr>
          <w:p w:rsidR="00D728BE" w:rsidRPr="00623E67" w:rsidRDefault="00B22C86" w:rsidP="00D728BE">
            <w:pPr>
              <w:pStyle w:val="SingleTxtG"/>
              <w:ind w:left="0" w:righ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PIE moyen </w:t>
            </w:r>
            <w:r w:rsidR="00D728BE" w:rsidRPr="00623E67">
              <w:rPr>
                <w:lang w:val="fr-CA"/>
              </w:rPr>
              <w:t>(</w:t>
            </w:r>
            <w:r w:rsidR="00641150">
              <w:rPr>
                <w:lang w:val="fr-CA"/>
              </w:rPr>
              <w:t xml:space="preserve">en </w:t>
            </w:r>
            <w:r w:rsidR="00D728BE" w:rsidRPr="00623E67">
              <w:rPr>
                <w:lang w:val="fr-CA"/>
              </w:rPr>
              <w:t xml:space="preserve">°C), </w:t>
            </w:r>
            <w:r w:rsidR="00014273" w:rsidRPr="00623E67">
              <w:rPr>
                <w:lang w:val="fr-CA"/>
              </w:rPr>
              <w:t>ASTM D8003 / </w:t>
            </w:r>
            <w:r w:rsidR="00014273" w:rsidRPr="00623E67">
              <w:rPr>
                <w:lang w:val="fr-CA"/>
              </w:rPr>
              <w:br/>
              <w:t>ASTM D7169</w:t>
            </w:r>
          </w:p>
        </w:tc>
        <w:tc>
          <w:tcPr>
            <w:tcW w:w="1701" w:type="dxa"/>
          </w:tcPr>
          <w:p w:rsidR="00D728BE" w:rsidRPr="00623E67" w:rsidRDefault="00395E4C" w:rsidP="00D728BE">
            <w:pPr>
              <w:pStyle w:val="SingleTxtG"/>
              <w:ind w:left="0" w:right="-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Différence (∆) </w:t>
            </w:r>
            <w:r w:rsidR="00052B6B" w:rsidRPr="00623E67">
              <w:rPr>
                <w:lang w:val="fr-CA"/>
              </w:rPr>
              <w:t xml:space="preserve">moyenne </w:t>
            </w:r>
            <w:r w:rsidR="00D728BE" w:rsidRPr="00623E67">
              <w:rPr>
                <w:lang w:val="fr-CA"/>
              </w:rPr>
              <w:t>(</w:t>
            </w:r>
            <w:r w:rsidR="00641150">
              <w:rPr>
                <w:lang w:val="fr-CA"/>
              </w:rPr>
              <w:t xml:space="preserve">en </w:t>
            </w:r>
            <w:r w:rsidR="00D728BE" w:rsidRPr="00623E67">
              <w:rPr>
                <w:lang w:val="fr-CA"/>
              </w:rPr>
              <w:t>°C)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léger</w:t>
            </w:r>
          </w:p>
        </w:tc>
        <w:tc>
          <w:tcPr>
            <w:tcW w:w="2126" w:type="dxa"/>
          </w:tcPr>
          <w:p w:rsidR="00D728BE" w:rsidRPr="00623E67" w:rsidRDefault="00D728BE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35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3</w:t>
            </w:r>
          </w:p>
        </w:tc>
        <w:tc>
          <w:tcPr>
            <w:tcW w:w="1985" w:type="dxa"/>
          </w:tcPr>
          <w:p w:rsidR="00D728BE" w:rsidRPr="00623E67" w:rsidRDefault="00055FCC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-17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9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53,</w:t>
            </w:r>
            <w:r w:rsidR="00055FCC" w:rsidRPr="00623E67">
              <w:rPr>
                <w:lang w:val="fr-CA"/>
              </w:rPr>
              <w:t>2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à consistance modérée</w:t>
            </w:r>
          </w:p>
        </w:tc>
        <w:tc>
          <w:tcPr>
            <w:tcW w:w="2126" w:type="dxa"/>
          </w:tcPr>
          <w:p w:rsidR="00D728BE" w:rsidRPr="00623E67" w:rsidRDefault="00052B6B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92,</w:t>
            </w:r>
            <w:r w:rsidR="00D728BE" w:rsidRPr="00623E67">
              <w:rPr>
                <w:lang w:val="fr-CA"/>
              </w:rPr>
              <w:t>8</w:t>
            </w:r>
            <w:r w:rsidR="00055FCC" w:rsidRPr="00623E67">
              <w:rPr>
                <w:lang w:val="fr-CA"/>
              </w:rPr>
              <w:br/>
            </w:r>
            <w:r w:rsidRPr="00623E67">
              <w:rPr>
                <w:lang w:val="fr-CA"/>
              </w:rPr>
              <w:t>(un</w:t>
            </w:r>
            <w:r w:rsidR="00D728BE" w:rsidRPr="00623E67">
              <w:rPr>
                <w:lang w:val="fr-CA"/>
              </w:rPr>
              <w:t xml:space="preserve"> point </w:t>
            </w:r>
            <w:r w:rsidRPr="00623E67">
              <w:rPr>
                <w:lang w:val="fr-CA"/>
              </w:rPr>
              <w:t>seulement</w:t>
            </w:r>
            <w:r w:rsidR="00D728BE" w:rsidRPr="00623E67">
              <w:rPr>
                <w:lang w:val="fr-CA"/>
              </w:rPr>
              <w:t>)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87,</w:t>
            </w:r>
            <w:r w:rsidR="00055FCC" w:rsidRPr="00623E67">
              <w:rPr>
                <w:lang w:val="fr-CA"/>
              </w:rPr>
              <w:t>0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lourd dilué</w:t>
            </w:r>
          </w:p>
        </w:tc>
        <w:tc>
          <w:tcPr>
            <w:tcW w:w="2126" w:type="dxa"/>
          </w:tcPr>
          <w:p w:rsidR="00D728BE" w:rsidRPr="00623E67" w:rsidRDefault="00055FCC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30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9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-6,</w:t>
            </w:r>
            <w:r w:rsidR="00055FCC" w:rsidRPr="00623E67">
              <w:rPr>
                <w:lang w:val="fr-CA"/>
              </w:rPr>
              <w:t>2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37,</w:t>
            </w:r>
            <w:r w:rsidR="00055FCC" w:rsidRPr="00623E67">
              <w:rPr>
                <w:lang w:val="fr-CA"/>
              </w:rPr>
              <w:t>1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5FCC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Brut de synthèse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35,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5FCC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36.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4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Bitume</w:t>
            </w:r>
            <w:r w:rsidR="00052B6B" w:rsidRPr="00623E67">
              <w:rPr>
                <w:lang w:val="fr-CA"/>
              </w:rPr>
              <w:t xml:space="preserve"> dilué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32,</w:t>
            </w:r>
            <w:r w:rsidR="00055FCC" w:rsidRPr="00623E67">
              <w:rPr>
                <w:lang w:val="fr-CA"/>
              </w:rPr>
              <w:t>9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33,</w:t>
            </w:r>
            <w:r w:rsidR="00055FCC" w:rsidRPr="00623E67">
              <w:rPr>
                <w:lang w:val="fr-CA"/>
              </w:rPr>
              <w:t>5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Bitume</w:t>
            </w:r>
            <w:r w:rsidR="00052B6B" w:rsidRPr="00623E67">
              <w:rPr>
                <w:lang w:val="fr-CA"/>
              </w:rPr>
              <w:t xml:space="preserve"> synthétique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52,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53,</w:t>
            </w:r>
            <w:r w:rsidR="00055FCC" w:rsidRPr="00623E67">
              <w:rPr>
                <w:lang w:val="fr-CA"/>
              </w:rPr>
              <w:t>4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5FCC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Condensat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29,</w:t>
            </w:r>
            <w:r w:rsidR="00055FCC" w:rsidRPr="00623E67">
              <w:rPr>
                <w:lang w:val="fr-CA"/>
              </w:rPr>
              <w:t>3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-11,</w:t>
            </w:r>
            <w:r w:rsidR="00055FCC" w:rsidRPr="00623E67">
              <w:rPr>
                <w:lang w:val="fr-CA"/>
              </w:rPr>
              <w:t>4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40,</w:t>
            </w:r>
            <w:r w:rsidR="00055FCC" w:rsidRPr="00623E67">
              <w:rPr>
                <w:lang w:val="fr-CA"/>
              </w:rPr>
              <w:t>7</w:t>
            </w:r>
          </w:p>
        </w:tc>
      </w:tr>
    </w:tbl>
    <w:p w:rsidR="00D728BE" w:rsidRPr="00623E67" w:rsidRDefault="00D728BE" w:rsidP="00D728BE">
      <w:pPr>
        <w:pStyle w:val="SingleTxtG"/>
        <w:jc w:val="left"/>
        <w:rPr>
          <w:lang w:val="fr-CA"/>
        </w:rPr>
      </w:pPr>
    </w:p>
    <w:p w:rsidR="00BD1540" w:rsidRPr="00623E67" w:rsidRDefault="0025236F" w:rsidP="00D95F21">
      <w:pPr>
        <w:pStyle w:val="SingleTxtG"/>
        <w:ind w:left="0" w:firstLine="567"/>
        <w:jc w:val="left"/>
        <w:rPr>
          <w:u w:val="single"/>
          <w:lang w:val="fr-CA"/>
        </w:rPr>
      </w:pPr>
      <w:r w:rsidRPr="00623E67">
        <w:rPr>
          <w:u w:val="single"/>
          <w:lang w:val="fr-CA"/>
        </w:rPr>
        <w:t>Sulfure d’hydrogène</w:t>
      </w:r>
      <w:r w:rsidR="00BD1540" w:rsidRPr="00623E67">
        <w:rPr>
          <w:u w:val="single"/>
          <w:lang w:val="fr-CA"/>
        </w:rPr>
        <w:t xml:space="preserve"> (H</w:t>
      </w:r>
      <w:r w:rsidR="00BD1540" w:rsidRPr="00623E67">
        <w:rPr>
          <w:u w:val="single"/>
          <w:vertAlign w:val="subscript"/>
          <w:lang w:val="fr-CA"/>
        </w:rPr>
        <w:t>2</w:t>
      </w:r>
      <w:r w:rsidR="00BD1540" w:rsidRPr="00623E67">
        <w:rPr>
          <w:u w:val="single"/>
          <w:lang w:val="fr-CA"/>
        </w:rPr>
        <w:t>S)</w:t>
      </w:r>
    </w:p>
    <w:p w:rsidR="00BD1540" w:rsidRPr="00D95F21" w:rsidRDefault="00D95F21" w:rsidP="00D95F21">
      <w:pPr>
        <w:pStyle w:val="SingleTxtG"/>
      </w:pPr>
      <w:r>
        <w:t>22.</w:t>
      </w:r>
      <w:r>
        <w:tab/>
      </w:r>
      <w:r w:rsidR="0025236F" w:rsidRPr="00D95F21">
        <w:t xml:space="preserve">Le sulfure d’hydrogène </w:t>
      </w:r>
      <w:r w:rsidR="00395E4C" w:rsidRPr="00D95F21">
        <w:t xml:space="preserve">est un gaz très toxique qui se retrouve normalement </w:t>
      </w:r>
      <w:r w:rsidR="00641150" w:rsidRPr="00D95F21">
        <w:t>en</w:t>
      </w:r>
      <w:r w:rsidR="00395E4C" w:rsidRPr="00D95F21">
        <w:t xml:space="preserve"> quantités </w:t>
      </w:r>
      <w:r w:rsidR="00641150" w:rsidRPr="00D95F21">
        <w:t xml:space="preserve">diverses </w:t>
      </w:r>
      <w:r w:rsidR="00395E4C" w:rsidRPr="00D95F21">
        <w:t>dans le pétrole brut</w:t>
      </w:r>
      <w:r w:rsidR="00BD1540" w:rsidRPr="00D95F21">
        <w:t xml:space="preserve">. </w:t>
      </w:r>
      <w:r w:rsidR="00395E4C" w:rsidRPr="00D95F21">
        <w:t>Au</w:t>
      </w:r>
      <w:r w:rsidR="00BD1540" w:rsidRPr="00D95F21">
        <w:t xml:space="preserve"> Canada, </w:t>
      </w:r>
      <w:r w:rsidR="00395E4C" w:rsidRPr="00D95F21">
        <w:t xml:space="preserve">Hygiène et sécurité du travail (HST) </w:t>
      </w:r>
      <w:r w:rsidR="006A6333" w:rsidRPr="00D95F21">
        <w:t>établit</w:t>
      </w:r>
      <w:r w:rsidR="00395E4C" w:rsidRPr="00D95F21">
        <w:t xml:space="preserve"> la limite d’exposition </w:t>
      </w:r>
      <w:r w:rsidR="00641150" w:rsidRPr="00D95F21">
        <w:t xml:space="preserve">au sulfure d’hydrogène </w:t>
      </w:r>
      <w:r w:rsidR="00395E4C" w:rsidRPr="00D95F21">
        <w:t>à</w:t>
      </w:r>
      <w:r w:rsidR="00BD1540" w:rsidRPr="00D95F21">
        <w:t xml:space="preserve"> 20 ppm. </w:t>
      </w:r>
      <w:r w:rsidR="001D5465" w:rsidRPr="00D95F21">
        <w:t>La limite de danger immédiat pour la vie et la santé (DIVS)</w:t>
      </w:r>
      <w:r w:rsidR="00BD1540" w:rsidRPr="00D95F21">
        <w:t xml:space="preserve"> </w:t>
      </w:r>
      <w:r w:rsidR="00641150" w:rsidRPr="00D95F21">
        <w:t xml:space="preserve">se situe </w:t>
      </w:r>
      <w:r w:rsidR="001D5465" w:rsidRPr="00D95F21">
        <w:t>à</w:t>
      </w:r>
      <w:r w:rsidR="00BD1540" w:rsidRPr="00D95F21">
        <w:t xml:space="preserve"> 100 ppm. </w:t>
      </w:r>
      <w:r w:rsidR="001D5465" w:rsidRPr="00D95F21">
        <w:t>Entre</w:t>
      </w:r>
      <w:r w:rsidR="00BD1540" w:rsidRPr="00D95F21">
        <w:t xml:space="preserve"> 500</w:t>
      </w:r>
      <w:r w:rsidR="001D5465" w:rsidRPr="00D95F21">
        <w:t xml:space="preserve"> et </w:t>
      </w:r>
      <w:r w:rsidR="00BD1540" w:rsidRPr="00D95F21">
        <w:t>1000</w:t>
      </w:r>
      <w:r w:rsidR="00014273" w:rsidRPr="00D95F21">
        <w:t xml:space="preserve"> </w:t>
      </w:r>
      <w:r w:rsidR="00BD1540" w:rsidRPr="00D95F21">
        <w:t xml:space="preserve">ppm, </w:t>
      </w:r>
      <w:r w:rsidR="001D5465" w:rsidRPr="00D95F21">
        <w:t>la mort est</w:t>
      </w:r>
      <w:r w:rsidR="00BD1540" w:rsidRPr="00D95F21">
        <w:t xml:space="preserve"> imminent</w:t>
      </w:r>
      <w:r w:rsidR="001D5465" w:rsidRPr="00D95F21">
        <w:t>e</w:t>
      </w:r>
      <w:r w:rsidR="00BD1540" w:rsidRPr="00D95F21">
        <w:t xml:space="preserve"> o</w:t>
      </w:r>
      <w:r w:rsidR="001D5465" w:rsidRPr="00D95F21">
        <w:t>u immé</w:t>
      </w:r>
      <w:r w:rsidR="00BD1540" w:rsidRPr="00D95F21">
        <w:t>diate.</w:t>
      </w:r>
    </w:p>
    <w:p w:rsidR="00BD1540" w:rsidRPr="00D95F21" w:rsidRDefault="00D95F21" w:rsidP="00D95F21">
      <w:pPr>
        <w:pStyle w:val="SingleTxtG"/>
      </w:pPr>
      <w:r>
        <w:t>23.</w:t>
      </w:r>
      <w:r>
        <w:tab/>
      </w:r>
      <w:r w:rsidR="001D5465" w:rsidRPr="00D95F21">
        <w:t>L</w:t>
      </w:r>
      <w:r w:rsidR="00AC1265" w:rsidRPr="00D95F21">
        <w:t>a présence de</w:t>
      </w:r>
      <w:r w:rsidR="001D5465" w:rsidRPr="00D95F21">
        <w:t xml:space="preserve"> </w:t>
      </w:r>
      <w:r w:rsidR="003D407D" w:rsidRPr="00D95F21">
        <w:t xml:space="preserve">H2S </w:t>
      </w:r>
      <w:r w:rsidR="00AC1265" w:rsidRPr="00D95F21">
        <w:t xml:space="preserve">dans le pétrole brut est un danger connu </w:t>
      </w:r>
      <w:r w:rsidR="00641150" w:rsidRPr="00D95F21">
        <w:t>inhérent à</w:t>
      </w:r>
      <w:r w:rsidR="00AC1265" w:rsidRPr="00D95F21">
        <w:t xml:space="preserve"> la manutention et </w:t>
      </w:r>
      <w:r w:rsidR="00641150" w:rsidRPr="00D95F21">
        <w:t>a</w:t>
      </w:r>
      <w:r w:rsidR="00AC1265" w:rsidRPr="00D95F21">
        <w:t>u transport du pétrole brut</w:t>
      </w:r>
      <w:r w:rsidR="003D407D" w:rsidRPr="00D95F21">
        <w:t xml:space="preserve">. </w:t>
      </w:r>
      <w:r w:rsidR="00AC1265" w:rsidRPr="00D95F21">
        <w:t>Même si le pétrole brut est couramment considéré comme un</w:t>
      </w:r>
      <w:r w:rsidR="003D407D" w:rsidRPr="00D95F21">
        <w:t xml:space="preserve"> liquid</w:t>
      </w:r>
      <w:r w:rsidR="00AC1265" w:rsidRPr="00D95F21">
        <w:t>e</w:t>
      </w:r>
      <w:r w:rsidR="003D407D" w:rsidRPr="00D95F21">
        <w:t xml:space="preserve">, </w:t>
      </w:r>
      <w:r w:rsidR="00AC1265" w:rsidRPr="00D95F21">
        <w:t xml:space="preserve">le danger </w:t>
      </w:r>
      <w:r w:rsidR="003B4DBC" w:rsidRPr="00D95F21">
        <w:t>que pose le</w:t>
      </w:r>
      <w:r w:rsidR="003D407D" w:rsidRPr="00D95F21">
        <w:t xml:space="preserve"> H2</w:t>
      </w:r>
      <w:r w:rsidR="003D407D" w:rsidRPr="00D95F21">
        <w:softHyphen/>
        <w:t xml:space="preserve">S </w:t>
      </w:r>
      <w:r w:rsidR="00AC1265" w:rsidRPr="00D95F21">
        <w:t>existe dans l’espace vapeur situé au-dessus du pétrole brut dans un contenant; il peut aussi être pré</w:t>
      </w:r>
      <w:r w:rsidR="003D407D" w:rsidRPr="00D95F21">
        <w:t xml:space="preserve">sent </w:t>
      </w:r>
      <w:r w:rsidR="00AC1265" w:rsidRPr="00D95F21">
        <w:t xml:space="preserve">dans une </w:t>
      </w:r>
      <w:r w:rsidR="003D407D" w:rsidRPr="00D95F21">
        <w:t xml:space="preserve">situation </w:t>
      </w:r>
      <w:r w:rsidR="00AC1265" w:rsidRPr="00D95F21">
        <w:t>d’urgence lorsque le pétrole brut est exposé à l’</w:t>
      </w:r>
      <w:r w:rsidR="003D407D" w:rsidRPr="00D95F21">
        <w:t>atmosph</w:t>
      </w:r>
      <w:r w:rsidR="00AC1265" w:rsidRPr="00D95F21">
        <w:t>è</w:t>
      </w:r>
      <w:r w:rsidR="003D407D" w:rsidRPr="00D95F21">
        <w:t xml:space="preserve">re </w:t>
      </w:r>
      <w:r w:rsidR="00AC1265" w:rsidRPr="00D95F21">
        <w:t>et que le</w:t>
      </w:r>
      <w:r w:rsidR="003D407D" w:rsidRPr="00D95F21">
        <w:t xml:space="preserve"> H2</w:t>
      </w:r>
      <w:r w:rsidR="00AC1265" w:rsidRPr="00D95F21">
        <w:softHyphen/>
        <w:t>S peut se séparer de la</w:t>
      </w:r>
      <w:r w:rsidR="003D407D" w:rsidRPr="00D95F21">
        <w:t xml:space="preserve"> solution.</w:t>
      </w:r>
    </w:p>
    <w:p w:rsidR="003D407D" w:rsidRPr="00D95F21" w:rsidRDefault="00D95F21" w:rsidP="00D95F21">
      <w:pPr>
        <w:pStyle w:val="SingleTxtG"/>
      </w:pPr>
      <w:r>
        <w:t>24.</w:t>
      </w:r>
      <w:r>
        <w:tab/>
      </w:r>
      <w:r w:rsidR="00AC1265" w:rsidRPr="00D95F21">
        <w:t>L</w:t>
      </w:r>
      <w:r w:rsidR="00AC735F" w:rsidRPr="00D95F21">
        <w:t>es concentrations</w:t>
      </w:r>
      <w:r w:rsidR="00AC1265" w:rsidRPr="00D95F21">
        <w:t xml:space="preserve"> d</w:t>
      </w:r>
      <w:r w:rsidR="00AC735F" w:rsidRPr="00D95F21">
        <w:t>e</w:t>
      </w:r>
      <w:r w:rsidR="003D407D" w:rsidRPr="00D95F21">
        <w:t xml:space="preserve"> H2S </w:t>
      </w:r>
      <w:r w:rsidR="00AC1265" w:rsidRPr="00D95F21">
        <w:t xml:space="preserve">dans la phase vapeur </w:t>
      </w:r>
      <w:r w:rsidR="00AC735F" w:rsidRPr="00D95F21">
        <w:t xml:space="preserve">pour les échantillons de pétrole brut canadien variaient entre 0 et </w:t>
      </w:r>
      <w:r w:rsidR="003D407D" w:rsidRPr="00D95F21">
        <w:t>65</w:t>
      </w:r>
      <w:r w:rsidR="00AC735F" w:rsidRPr="00D95F21">
        <w:t> 000 ppm;</w:t>
      </w:r>
      <w:r w:rsidR="003D407D" w:rsidRPr="00D95F21">
        <w:t xml:space="preserve"> 26 </w:t>
      </w:r>
      <w:r w:rsidR="00AC735F" w:rsidRPr="00D95F21">
        <w:t>des</w:t>
      </w:r>
      <w:r w:rsidR="003D407D" w:rsidRPr="00D95F21">
        <w:t xml:space="preserve"> 68 </w:t>
      </w:r>
      <w:r w:rsidR="00AC735F" w:rsidRPr="00D95F21">
        <w:t xml:space="preserve">échantillons de pétrole brut prélevés ont </w:t>
      </w:r>
      <w:r w:rsidR="003B4DBC" w:rsidRPr="00D95F21">
        <w:t>présenté</w:t>
      </w:r>
      <w:r w:rsidR="00AC735F" w:rsidRPr="00D95F21">
        <w:t xml:space="preserve"> des valeurs supérieures à 1</w:t>
      </w:r>
      <w:r w:rsidR="003D407D" w:rsidRPr="00D95F21">
        <w:t xml:space="preserve">000 ppm. </w:t>
      </w:r>
      <w:r w:rsidR="00AC735F" w:rsidRPr="00D95F21">
        <w:t xml:space="preserve">Les </w:t>
      </w:r>
      <w:r w:rsidR="00641150" w:rsidRPr="00D95F21">
        <w:t>concentrations</w:t>
      </w:r>
      <w:r w:rsidR="00AC735F" w:rsidRPr="00D95F21">
        <w:t xml:space="preserve"> de 20 de ces 26 échantillons se situaient entre 1000 et</w:t>
      </w:r>
      <w:r w:rsidR="003D407D" w:rsidRPr="00D95F21">
        <w:t xml:space="preserve"> 20 000 ppm</w:t>
      </w:r>
      <w:r w:rsidR="00AC735F" w:rsidRPr="00D95F21">
        <w:t xml:space="preserve"> et les 6 autres échantillons ont </w:t>
      </w:r>
      <w:r w:rsidR="003B4DBC" w:rsidRPr="00D95F21">
        <w:t>présenté</w:t>
      </w:r>
      <w:r w:rsidR="00AC735F" w:rsidRPr="00D95F21">
        <w:t xml:space="preserve"> des concentrations</w:t>
      </w:r>
      <w:r w:rsidR="00350232" w:rsidRPr="00D95F21">
        <w:t xml:space="preserve"> </w:t>
      </w:r>
      <w:r w:rsidR="00AC735F" w:rsidRPr="00D95F21">
        <w:t>variant entre</w:t>
      </w:r>
      <w:r w:rsidR="003D407D" w:rsidRPr="00D95F21">
        <w:t xml:space="preserve"> 24 000 </w:t>
      </w:r>
      <w:r w:rsidR="00AC735F" w:rsidRPr="00D95F21">
        <w:t>et</w:t>
      </w:r>
      <w:r w:rsidR="003D407D" w:rsidRPr="00D95F21">
        <w:t xml:space="preserve"> 65 000 ppm.</w:t>
      </w:r>
      <w:r w:rsidR="00014273" w:rsidRPr="00D95F21">
        <w:t xml:space="preserve"> I</w:t>
      </w:r>
      <w:r w:rsidR="00AC735F" w:rsidRPr="00D95F21">
        <w:t>l est important de préciser que l’analyse pour le</w:t>
      </w:r>
      <w:r w:rsidR="00014273" w:rsidRPr="00D95F21">
        <w:t xml:space="preserve"> H2S </w:t>
      </w:r>
      <w:r w:rsidR="00AC735F" w:rsidRPr="00D95F21">
        <w:t>est effectuée à</w:t>
      </w:r>
      <w:r w:rsidR="00014273" w:rsidRPr="00D95F21">
        <w:t xml:space="preserve"> 60 °C</w:t>
      </w:r>
      <w:r w:rsidR="00AC735F" w:rsidRPr="00D95F21">
        <w:t>, selon la méthode d’essai</w:t>
      </w:r>
      <w:r w:rsidR="00014273" w:rsidRPr="00D95F21">
        <w:t xml:space="preserve">; </w:t>
      </w:r>
      <w:r w:rsidR="00AC735F" w:rsidRPr="00D95F21">
        <w:t xml:space="preserve">pour les pétroles </w:t>
      </w:r>
      <w:r w:rsidR="00AC735F" w:rsidRPr="00D95F21">
        <w:lastRenderedPageBreak/>
        <w:t>bruts qui sont trop volatiles</w:t>
      </w:r>
      <w:r w:rsidR="002C50D4" w:rsidRPr="00D95F21">
        <w:t xml:space="preserve"> (</w:t>
      </w:r>
      <w:r w:rsidR="00AC735F" w:rsidRPr="00D95F21">
        <w:t>p. ex. le</w:t>
      </w:r>
      <w:r w:rsidR="002C50D4" w:rsidRPr="00D95F21">
        <w:t xml:space="preserve"> condensat), </w:t>
      </w:r>
      <w:r w:rsidR="00AC735F" w:rsidRPr="00D95F21">
        <w:t xml:space="preserve">les analyses ont été effectuées à la température ambiante pour éviter toute perte de </w:t>
      </w:r>
      <w:r w:rsidR="003B4DBC" w:rsidRPr="00D95F21">
        <w:t>matières</w:t>
      </w:r>
      <w:r w:rsidR="00014273" w:rsidRPr="00D95F21">
        <w:t>.</w:t>
      </w:r>
    </w:p>
    <w:p w:rsidR="003D407D" w:rsidRPr="00D95F21" w:rsidRDefault="00D95F21" w:rsidP="00D95F21">
      <w:pPr>
        <w:pStyle w:val="SingleTxtG"/>
      </w:pPr>
      <w:r>
        <w:t>25.</w:t>
      </w:r>
      <w:r>
        <w:tab/>
      </w:r>
      <w:r w:rsidR="00AC735F" w:rsidRPr="00D95F21">
        <w:t>Les concentrations de</w:t>
      </w:r>
      <w:r w:rsidR="003D407D" w:rsidRPr="00D95F21">
        <w:t xml:space="preserve"> H2S </w:t>
      </w:r>
      <w:r w:rsidR="0075504A" w:rsidRPr="00D95F21">
        <w:t>relevées</w:t>
      </w:r>
      <w:r w:rsidR="00AC735F" w:rsidRPr="00D95F21">
        <w:t xml:space="preserve"> dans certains échantillons de pétrole brut sont beaucoup plus élevées que la valeu</w:t>
      </w:r>
      <w:r w:rsidR="009A6C18" w:rsidRPr="00D95F21">
        <w:t>r limite (seuil) de la norme de H</w:t>
      </w:r>
      <w:r w:rsidR="00AC735F" w:rsidRPr="00D95F21">
        <w:t>ST</w:t>
      </w:r>
      <w:r w:rsidR="003D407D" w:rsidRPr="00D95F21">
        <w:t xml:space="preserve">. </w:t>
      </w:r>
      <w:r w:rsidR="00AC735F" w:rsidRPr="00D95F21">
        <w:t>Dans un scénario d’</w:t>
      </w:r>
      <w:r w:rsidR="003D407D" w:rsidRPr="00D95F21">
        <w:t xml:space="preserve">accident </w:t>
      </w:r>
      <w:r w:rsidR="00AC735F" w:rsidRPr="00D95F21">
        <w:t xml:space="preserve">ou </w:t>
      </w:r>
      <w:r w:rsidR="00E936C5" w:rsidRPr="00D95F21">
        <w:t xml:space="preserve">durant les opérations normales de </w:t>
      </w:r>
      <w:r w:rsidR="003D407D" w:rsidRPr="00D95F21">
        <w:t xml:space="preserve">transport </w:t>
      </w:r>
      <w:r w:rsidR="00E936C5" w:rsidRPr="00D95F21">
        <w:t>et de manutention</w:t>
      </w:r>
      <w:r w:rsidR="003D407D" w:rsidRPr="00D95F21">
        <w:t>/transfer</w:t>
      </w:r>
      <w:r w:rsidR="00E936C5" w:rsidRPr="00D95F21">
        <w:t>t</w:t>
      </w:r>
      <w:r w:rsidR="003D407D" w:rsidRPr="00D95F21">
        <w:t xml:space="preserve">, </w:t>
      </w:r>
      <w:r w:rsidR="00E936C5" w:rsidRPr="00D95F21">
        <w:t xml:space="preserve">ces pétroles bruts à concentration </w:t>
      </w:r>
      <w:r w:rsidR="00623E67" w:rsidRPr="00D95F21">
        <w:t xml:space="preserve">élevée </w:t>
      </w:r>
      <w:r w:rsidR="00E936C5" w:rsidRPr="00D95F21">
        <w:t>de</w:t>
      </w:r>
      <w:r w:rsidR="003D407D" w:rsidRPr="00D95F21">
        <w:t xml:space="preserve"> H2S </w:t>
      </w:r>
      <w:r w:rsidR="00E936C5" w:rsidRPr="00D95F21">
        <w:t>peuvent présenter un risque important pour les</w:t>
      </w:r>
      <w:r w:rsidR="003D407D" w:rsidRPr="00D95F21">
        <w:t xml:space="preserve"> person</w:t>
      </w:r>
      <w:r w:rsidR="00E936C5" w:rsidRPr="00D95F21">
        <w:t>ne</w:t>
      </w:r>
      <w:r w:rsidR="003D407D" w:rsidRPr="00D95F21">
        <w:t xml:space="preserve">s </w:t>
      </w:r>
      <w:r w:rsidR="00E936C5" w:rsidRPr="00D95F21">
        <w:t>qui traitent le pétrole brut</w:t>
      </w:r>
      <w:r w:rsidR="003D407D" w:rsidRPr="00D95F21">
        <w:t>.</w:t>
      </w:r>
    </w:p>
    <w:p w:rsidR="003D407D" w:rsidRPr="00D95F21" w:rsidRDefault="00D95F21" w:rsidP="00D95F21">
      <w:pPr>
        <w:pStyle w:val="SingleTxtG"/>
      </w:pPr>
      <w:r>
        <w:t>26.</w:t>
      </w:r>
      <w:r>
        <w:tab/>
      </w:r>
      <w:r w:rsidR="00E936C5" w:rsidRPr="00D95F21">
        <w:t xml:space="preserve">Il </w:t>
      </w:r>
      <w:r w:rsidR="00C54563" w:rsidRPr="00D95F21">
        <w:t>importe</w:t>
      </w:r>
      <w:r w:rsidR="00E936C5" w:rsidRPr="00D95F21">
        <w:t xml:space="preserve"> de préciser que </w:t>
      </w:r>
      <w:r w:rsidR="00641150" w:rsidRPr="00D95F21">
        <w:t xml:space="preserve">le taux de précision pour </w:t>
      </w:r>
      <w:r w:rsidR="00E936C5" w:rsidRPr="00D95F21">
        <w:t xml:space="preserve">ces résultats d’analyse </w:t>
      </w:r>
      <w:r w:rsidR="00641150" w:rsidRPr="00D95F21">
        <w:t>est</w:t>
      </w:r>
      <w:r w:rsidR="00C54563" w:rsidRPr="00D95F21">
        <w:t xml:space="preserve"> de</w:t>
      </w:r>
      <w:r w:rsidR="003D407D" w:rsidRPr="00D95F21">
        <w:t xml:space="preserve"> +/- 25</w:t>
      </w:r>
      <w:r w:rsidR="00E936C5" w:rsidRPr="00D95F21">
        <w:t> </w:t>
      </w:r>
      <w:r w:rsidR="003D407D" w:rsidRPr="00D95F21">
        <w:t>%</w:t>
      </w:r>
      <w:r w:rsidR="00641150" w:rsidRPr="00D95F21">
        <w:t xml:space="preserve"> et</w:t>
      </w:r>
      <w:r w:rsidR="003D407D" w:rsidRPr="00D95F21">
        <w:t xml:space="preserve"> </w:t>
      </w:r>
      <w:r w:rsidR="00641150" w:rsidRPr="00D95F21">
        <w:t xml:space="preserve">que </w:t>
      </w:r>
      <w:r w:rsidR="00E936C5" w:rsidRPr="00D95F21">
        <w:t xml:space="preserve">la marge d’erreur de la méthode d’analyse est appréciable, mais </w:t>
      </w:r>
      <w:r w:rsidR="00641150" w:rsidRPr="00D95F21">
        <w:t xml:space="preserve">que </w:t>
      </w:r>
      <w:r w:rsidR="00E936C5" w:rsidRPr="00D95F21">
        <w:t xml:space="preserve">ces résultats indiquent l’ampleur du risque approximatif posé par le </w:t>
      </w:r>
      <w:r w:rsidR="003D407D" w:rsidRPr="00D95F21">
        <w:t>H2</w:t>
      </w:r>
      <w:r w:rsidR="003D407D" w:rsidRPr="00D95F21">
        <w:softHyphen/>
        <w:t>S pr</w:t>
      </w:r>
      <w:r w:rsidR="00E936C5" w:rsidRPr="00D95F21">
        <w:t>é</w:t>
      </w:r>
      <w:r w:rsidR="003D407D" w:rsidRPr="00D95F21">
        <w:t xml:space="preserve">sent </w:t>
      </w:r>
      <w:r w:rsidR="00E936C5" w:rsidRPr="00D95F21">
        <w:t>dans le pétrole brut</w:t>
      </w:r>
      <w:r w:rsidR="003D407D" w:rsidRPr="00D95F21">
        <w:t>.</w:t>
      </w:r>
    </w:p>
    <w:p w:rsidR="00D728BE" w:rsidRPr="00623E67" w:rsidRDefault="00D95F21" w:rsidP="00F06BFB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4563">
        <w:rPr>
          <w:lang w:val="fr-CA"/>
        </w:rPr>
        <w:t>Facteurs à considérer</w:t>
      </w:r>
    </w:p>
    <w:p w:rsidR="00D728BE" w:rsidRPr="00F06BFB" w:rsidRDefault="00D95F21" w:rsidP="00D95F21">
      <w:pPr>
        <w:pStyle w:val="SingleTxtG"/>
        <w:rPr>
          <w:lang w:val="fr-CA"/>
        </w:rPr>
      </w:pPr>
      <w:r>
        <w:rPr>
          <w:lang w:val="fr-CA"/>
        </w:rPr>
        <w:t>27.</w:t>
      </w:r>
      <w:r>
        <w:rPr>
          <w:lang w:val="fr-CA"/>
        </w:rPr>
        <w:tab/>
      </w:r>
      <w:r w:rsidR="00E936C5" w:rsidRPr="00F06BFB">
        <w:rPr>
          <w:lang w:val="fr-CA"/>
        </w:rPr>
        <w:t>Les pressions de vapeur élevées du pétrole brut pourraient exiger une</w:t>
      </w:r>
      <w:r w:rsidR="00014273" w:rsidRPr="00F06BFB">
        <w:rPr>
          <w:lang w:val="fr-CA"/>
        </w:rPr>
        <w:t xml:space="preserve"> classification</w:t>
      </w:r>
      <w:r w:rsidR="00E936C5" w:rsidRPr="00F06BFB">
        <w:rPr>
          <w:lang w:val="fr-CA"/>
        </w:rPr>
        <w:t xml:space="preserve"> </w:t>
      </w:r>
      <w:r w:rsidR="009D12EF">
        <w:rPr>
          <w:lang w:val="fr-CA"/>
        </w:rPr>
        <w:t>de</w:t>
      </w:r>
      <w:r w:rsidR="00E936C5" w:rsidRPr="00F06BFB">
        <w:rPr>
          <w:lang w:val="fr-CA"/>
        </w:rPr>
        <w:t xml:space="preserve"> c</w:t>
      </w:r>
      <w:r w:rsidR="00014273" w:rsidRPr="00F06BFB">
        <w:rPr>
          <w:lang w:val="fr-CA"/>
        </w:rPr>
        <w:t>lass</w:t>
      </w:r>
      <w:r w:rsidR="00E936C5" w:rsidRPr="00F06BFB">
        <w:rPr>
          <w:lang w:val="fr-CA"/>
        </w:rPr>
        <w:t>e</w:t>
      </w:r>
      <w:r w:rsidR="00014273" w:rsidRPr="00F06BFB">
        <w:rPr>
          <w:lang w:val="fr-CA"/>
        </w:rPr>
        <w:t xml:space="preserve"> 2 – Ga</w:t>
      </w:r>
      <w:r w:rsidR="00E936C5" w:rsidRPr="00F06BFB">
        <w:rPr>
          <w:lang w:val="fr-CA"/>
        </w:rPr>
        <w:t>z, en plus d</w:t>
      </w:r>
      <w:r w:rsidR="00641150">
        <w:rPr>
          <w:lang w:val="fr-CA"/>
        </w:rPr>
        <w:t>’une</w:t>
      </w:r>
      <w:r w:rsidR="00E936C5" w:rsidRPr="00F06BFB">
        <w:rPr>
          <w:lang w:val="fr-CA"/>
        </w:rPr>
        <w:t xml:space="preserve"> révision de la sélection du contenant</w:t>
      </w:r>
      <w:r w:rsidR="00D728BE" w:rsidRPr="00F06BFB">
        <w:rPr>
          <w:lang w:val="fr-CA"/>
        </w:rPr>
        <w:t xml:space="preserve">. </w:t>
      </w:r>
      <w:r w:rsidR="00E936C5" w:rsidRPr="00F06BFB">
        <w:rPr>
          <w:lang w:val="fr-CA"/>
        </w:rPr>
        <w:t xml:space="preserve">Un pétrole brut qui satisfait </w:t>
      </w:r>
      <w:r w:rsidR="00641150">
        <w:rPr>
          <w:lang w:val="fr-CA"/>
        </w:rPr>
        <w:t xml:space="preserve">à </w:t>
      </w:r>
      <w:r w:rsidR="00E936C5" w:rsidRPr="00F06BFB">
        <w:rPr>
          <w:lang w:val="fr-CA"/>
        </w:rPr>
        <w:t>la dé</w:t>
      </w:r>
      <w:r w:rsidR="00D728BE" w:rsidRPr="00F06BFB">
        <w:rPr>
          <w:lang w:val="fr-CA"/>
        </w:rPr>
        <w:t xml:space="preserve">finition </w:t>
      </w:r>
      <w:r w:rsidR="00E936C5" w:rsidRPr="00F06BFB">
        <w:rPr>
          <w:lang w:val="fr-CA"/>
        </w:rPr>
        <w:t>de la désignation de c</w:t>
      </w:r>
      <w:r w:rsidR="00055FCC" w:rsidRPr="00F06BFB">
        <w:rPr>
          <w:lang w:val="fr-CA"/>
        </w:rPr>
        <w:t>lass</w:t>
      </w:r>
      <w:r w:rsidR="00E936C5" w:rsidRPr="00F06BFB">
        <w:rPr>
          <w:lang w:val="fr-CA"/>
        </w:rPr>
        <w:t>e</w:t>
      </w:r>
      <w:r w:rsidR="00D728BE" w:rsidRPr="00F06BFB">
        <w:rPr>
          <w:lang w:val="fr-CA"/>
        </w:rPr>
        <w:t xml:space="preserve"> 2.1 – </w:t>
      </w:r>
      <w:r w:rsidR="00E936C5" w:rsidRPr="00F06BFB">
        <w:rPr>
          <w:lang w:val="fr-CA"/>
        </w:rPr>
        <w:t>Gaz inflammable</w:t>
      </w:r>
      <w:r w:rsidR="00641150">
        <w:rPr>
          <w:lang w:val="fr-CA"/>
        </w:rPr>
        <w:t>,</w:t>
      </w:r>
      <w:r w:rsidR="00E936C5" w:rsidRPr="00F06BFB">
        <w:rPr>
          <w:lang w:val="fr-CA"/>
        </w:rPr>
        <w:t xml:space="preserve"> requiert l’utilisation d’un contenant plus robuste</w:t>
      </w:r>
      <w:r w:rsidR="009243A1" w:rsidRPr="00F06BFB">
        <w:rPr>
          <w:lang w:val="fr-CA"/>
        </w:rPr>
        <w:t xml:space="preserve"> pour </w:t>
      </w:r>
      <w:r w:rsidR="00641150">
        <w:rPr>
          <w:lang w:val="fr-CA"/>
        </w:rPr>
        <w:t>le</w:t>
      </w:r>
      <w:r w:rsidR="00D728BE" w:rsidRPr="00F06BFB">
        <w:rPr>
          <w:lang w:val="fr-CA"/>
        </w:rPr>
        <w:t xml:space="preserve"> transport (</w:t>
      </w:r>
      <w:r w:rsidR="009D12EF">
        <w:rPr>
          <w:lang w:val="fr-CA"/>
        </w:rPr>
        <w:t>wagons</w:t>
      </w:r>
      <w:r w:rsidR="009243A1" w:rsidRPr="00F06BFB">
        <w:rPr>
          <w:lang w:val="fr-CA"/>
        </w:rPr>
        <w:t>-citernes ou citernes routières</w:t>
      </w:r>
      <w:r w:rsidR="009D12EF" w:rsidRPr="009D12EF">
        <w:rPr>
          <w:lang w:val="fr-CA"/>
        </w:rPr>
        <w:t xml:space="preserve"> </w:t>
      </w:r>
      <w:r w:rsidR="009D12EF" w:rsidRPr="00F06BFB">
        <w:rPr>
          <w:lang w:val="fr-CA"/>
        </w:rPr>
        <w:t>pressurisées</w:t>
      </w:r>
      <w:r w:rsidR="009243A1" w:rsidRPr="00F06BFB">
        <w:rPr>
          <w:lang w:val="fr-CA"/>
        </w:rPr>
        <w:t>)</w:t>
      </w:r>
      <w:r w:rsidR="00D728BE" w:rsidRPr="00F06BFB">
        <w:rPr>
          <w:lang w:val="fr-CA"/>
        </w:rPr>
        <w:t>.</w:t>
      </w:r>
    </w:p>
    <w:p w:rsidR="00D728BE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28.</w:t>
      </w:r>
      <w:r>
        <w:rPr>
          <w:lang w:val="fr-CA"/>
        </w:rPr>
        <w:tab/>
      </w:r>
      <w:r w:rsidR="009243A1" w:rsidRPr="00623E67">
        <w:rPr>
          <w:lang w:val="fr-CA"/>
        </w:rPr>
        <w:t>L’utilisation d’échantillonnage</w:t>
      </w:r>
      <w:r w:rsidR="009D12EF">
        <w:rPr>
          <w:lang w:val="fr-CA"/>
        </w:rPr>
        <w:t>s</w:t>
      </w:r>
      <w:r w:rsidR="009243A1" w:rsidRPr="00623E67">
        <w:rPr>
          <w:lang w:val="fr-CA"/>
        </w:rPr>
        <w:t xml:space="preserve"> et d’analyse</w:t>
      </w:r>
      <w:r w:rsidR="009D12EF">
        <w:rPr>
          <w:lang w:val="fr-CA"/>
        </w:rPr>
        <w:t>s</w:t>
      </w:r>
      <w:r w:rsidR="009243A1" w:rsidRPr="00623E67">
        <w:rPr>
          <w:lang w:val="fr-CA"/>
        </w:rPr>
        <w:t xml:space="preserve"> sous pression pour le pétrole brut est un facteur</w:t>
      </w:r>
      <w:r w:rsidR="003D407D" w:rsidRPr="00623E67">
        <w:rPr>
          <w:lang w:val="fr-CA"/>
        </w:rPr>
        <w:t xml:space="preserve"> important. </w:t>
      </w:r>
      <w:r w:rsidR="003D3B75">
        <w:rPr>
          <w:lang w:val="fr-CA"/>
        </w:rPr>
        <w:t>Le risque posé par l</w:t>
      </w:r>
      <w:r w:rsidR="009243A1" w:rsidRPr="00623E67">
        <w:rPr>
          <w:lang w:val="fr-CA"/>
        </w:rPr>
        <w:t xml:space="preserve">es </w:t>
      </w:r>
      <w:r w:rsidR="003D3B75">
        <w:rPr>
          <w:lang w:val="fr-CA"/>
        </w:rPr>
        <w:t>fraction</w:t>
      </w:r>
      <w:r w:rsidR="009243A1" w:rsidRPr="00623E67">
        <w:rPr>
          <w:lang w:val="fr-CA"/>
        </w:rPr>
        <w:t xml:space="preserve">s légères dissoutes ne peut pas être précisément </w:t>
      </w:r>
      <w:r w:rsidR="003D3B75">
        <w:rPr>
          <w:lang w:val="fr-CA"/>
        </w:rPr>
        <w:t>saisi au moyen d’</w:t>
      </w:r>
      <w:r w:rsidR="009243A1" w:rsidRPr="00623E67">
        <w:rPr>
          <w:lang w:val="fr-CA"/>
        </w:rPr>
        <w:t>échantillonnages et d</w:t>
      </w:r>
      <w:r w:rsidR="003D3B75">
        <w:rPr>
          <w:lang w:val="fr-CA"/>
        </w:rPr>
        <w:t>’</w:t>
      </w:r>
      <w:r w:rsidR="009243A1" w:rsidRPr="00623E67">
        <w:rPr>
          <w:lang w:val="fr-CA"/>
        </w:rPr>
        <w:t>analyses atmosphériques qui pourraient mener à l’utilisation de données erronées aux fins de</w:t>
      </w:r>
      <w:r w:rsidR="003D407D" w:rsidRPr="00623E67">
        <w:rPr>
          <w:lang w:val="fr-CA"/>
        </w:rPr>
        <w:t xml:space="preserve"> classification.</w:t>
      </w:r>
    </w:p>
    <w:p w:rsidR="002C50D4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29.</w:t>
      </w:r>
      <w:r>
        <w:rPr>
          <w:lang w:val="fr-CA"/>
        </w:rPr>
        <w:tab/>
      </w:r>
      <w:r w:rsidR="009243A1" w:rsidRPr="00623E67">
        <w:rPr>
          <w:lang w:val="fr-CA"/>
        </w:rPr>
        <w:t>Les</w:t>
      </w:r>
      <w:r w:rsidR="00014273" w:rsidRPr="00623E67">
        <w:rPr>
          <w:lang w:val="fr-CA"/>
        </w:rPr>
        <w:t xml:space="preserve"> limitations </w:t>
      </w:r>
      <w:r w:rsidR="009243A1" w:rsidRPr="00623E67">
        <w:rPr>
          <w:lang w:val="fr-CA"/>
        </w:rPr>
        <w:t>de la méthode</w:t>
      </w:r>
      <w:r w:rsidR="00014273" w:rsidRPr="00623E67">
        <w:rPr>
          <w:lang w:val="fr-CA"/>
        </w:rPr>
        <w:t xml:space="preserve"> ASTM D5705 </w:t>
      </w:r>
      <w:r w:rsidR="009243A1" w:rsidRPr="00623E67">
        <w:rPr>
          <w:lang w:val="fr-CA"/>
        </w:rPr>
        <w:t>pour déterminer la concentration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641150">
        <w:rPr>
          <w:lang w:val="fr-CA"/>
        </w:rPr>
        <w:t>confirme le besoin d’é</w:t>
      </w:r>
      <w:r w:rsidR="009243A1" w:rsidRPr="00623E67">
        <w:rPr>
          <w:lang w:val="fr-CA"/>
        </w:rPr>
        <w:t>laborer une méthode de mesure de la valeur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9243A1" w:rsidRPr="00623E67">
        <w:rPr>
          <w:lang w:val="fr-CA"/>
        </w:rPr>
        <w:t xml:space="preserve">dans la phase vapeur qui répond au but visé et qui </w:t>
      </w:r>
      <w:r w:rsidR="009D12EF">
        <w:rPr>
          <w:lang w:val="fr-CA"/>
        </w:rPr>
        <w:t>permet un contrôle d</w:t>
      </w:r>
      <w:r w:rsidR="009243A1" w:rsidRPr="00623E67">
        <w:rPr>
          <w:lang w:val="fr-CA"/>
        </w:rPr>
        <w:t>es</w:t>
      </w:r>
      <w:r w:rsidR="00014273" w:rsidRPr="00623E67">
        <w:rPr>
          <w:lang w:val="fr-CA"/>
        </w:rPr>
        <w:t xml:space="preserve"> variables </w:t>
      </w:r>
      <w:r w:rsidR="009D12EF">
        <w:rPr>
          <w:lang w:val="fr-CA"/>
        </w:rPr>
        <w:t xml:space="preserve">ayant une incidence sur </w:t>
      </w:r>
      <w:r w:rsidR="009243A1" w:rsidRPr="00623E67">
        <w:rPr>
          <w:lang w:val="fr-CA"/>
        </w:rPr>
        <w:t>la libération du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>S (</w:t>
      </w:r>
      <w:r w:rsidR="009243A1" w:rsidRPr="00623E67">
        <w:rPr>
          <w:lang w:val="fr-CA"/>
        </w:rPr>
        <w:t>méthode d’échantillonnage</w:t>
      </w:r>
      <w:r w:rsidR="00014273" w:rsidRPr="00623E67">
        <w:rPr>
          <w:lang w:val="fr-CA"/>
        </w:rPr>
        <w:t>, temp</w:t>
      </w:r>
      <w:r w:rsidR="009243A1" w:rsidRPr="00623E67">
        <w:rPr>
          <w:lang w:val="fr-CA"/>
        </w:rPr>
        <w:t>é</w:t>
      </w:r>
      <w:r w:rsidR="00014273" w:rsidRPr="00623E67">
        <w:rPr>
          <w:lang w:val="fr-CA"/>
        </w:rPr>
        <w:t xml:space="preserve">rature, </w:t>
      </w:r>
      <w:r w:rsidR="009243A1" w:rsidRPr="00623E67">
        <w:rPr>
          <w:lang w:val="fr-CA"/>
        </w:rPr>
        <w:t xml:space="preserve">ratio </w:t>
      </w:r>
      <w:r w:rsidR="00014273" w:rsidRPr="00623E67">
        <w:rPr>
          <w:lang w:val="fr-CA"/>
        </w:rPr>
        <w:t xml:space="preserve">V/L </w:t>
      </w:r>
      <w:r w:rsidR="009243A1" w:rsidRPr="00623E67">
        <w:rPr>
          <w:lang w:val="fr-CA"/>
        </w:rPr>
        <w:t>et</w:t>
      </w:r>
      <w:r w:rsidR="00014273" w:rsidRPr="00623E67">
        <w:rPr>
          <w:lang w:val="fr-CA"/>
        </w:rPr>
        <w:t xml:space="preserve"> agitation). </w:t>
      </w:r>
      <w:r w:rsidR="009243A1" w:rsidRPr="00623E67">
        <w:rPr>
          <w:lang w:val="fr-CA"/>
        </w:rPr>
        <w:t xml:space="preserve">La mesure de la concentration de </w:t>
      </w:r>
      <w:r w:rsidR="00014273" w:rsidRPr="00623E67">
        <w:rPr>
          <w:lang w:val="fr-CA"/>
        </w:rPr>
        <w:t>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9243A1" w:rsidRPr="00623E67">
        <w:rPr>
          <w:lang w:val="fr-CA"/>
        </w:rPr>
        <w:t xml:space="preserve">dans la phase vapeur à l’aide de techniques d’échantillonnage appropriées et de conditions </w:t>
      </w:r>
      <w:r w:rsidR="006D151E" w:rsidRPr="00623E67">
        <w:rPr>
          <w:lang w:val="fr-CA"/>
        </w:rPr>
        <w:t>de tempé</w:t>
      </w:r>
      <w:r w:rsidR="00014273" w:rsidRPr="00623E67">
        <w:rPr>
          <w:lang w:val="fr-CA"/>
        </w:rPr>
        <w:t xml:space="preserve">rature </w:t>
      </w:r>
      <w:r w:rsidR="006D151E" w:rsidRPr="00623E67">
        <w:rPr>
          <w:lang w:val="fr-CA"/>
        </w:rPr>
        <w:t>et d’espace de tête qui se situent dans la gamme normalement rencontrée durant les opé</w:t>
      </w:r>
      <w:r w:rsidR="00014273" w:rsidRPr="00623E67">
        <w:rPr>
          <w:lang w:val="fr-CA"/>
        </w:rPr>
        <w:t>rations o</w:t>
      </w:r>
      <w:r w:rsidR="006D151E" w:rsidRPr="00623E67">
        <w:rPr>
          <w:lang w:val="fr-CA"/>
        </w:rPr>
        <w:t>u le</w:t>
      </w:r>
      <w:r w:rsidR="00014273" w:rsidRPr="00623E67">
        <w:rPr>
          <w:lang w:val="fr-CA"/>
        </w:rPr>
        <w:t xml:space="preserve"> transport </w:t>
      </w:r>
      <w:r w:rsidR="006D151E" w:rsidRPr="00623E67">
        <w:rPr>
          <w:lang w:val="fr-CA"/>
        </w:rPr>
        <w:t>produirait une meilleure évaluation du risque</w:t>
      </w:r>
      <w:r w:rsidR="002B7765" w:rsidRPr="00623E67">
        <w:rPr>
          <w:lang w:val="fr-CA"/>
        </w:rPr>
        <w:t xml:space="preserve">. </w:t>
      </w:r>
      <w:r w:rsidR="006D151E" w:rsidRPr="00623E67">
        <w:rPr>
          <w:lang w:val="fr-CA"/>
        </w:rPr>
        <w:t>À cet égard, le</w:t>
      </w:r>
      <w:r w:rsidR="002C50D4" w:rsidRPr="00623E67">
        <w:rPr>
          <w:lang w:val="fr-CA"/>
        </w:rPr>
        <w:t xml:space="preserve"> Canada </w:t>
      </w:r>
      <w:r w:rsidR="006D151E" w:rsidRPr="00623E67">
        <w:rPr>
          <w:lang w:val="fr-CA"/>
        </w:rPr>
        <w:t>participe à un projet de recherche et développement de l’</w:t>
      </w:r>
      <w:r w:rsidR="002C50D4" w:rsidRPr="00623E67">
        <w:rPr>
          <w:lang w:val="fr-CA"/>
        </w:rPr>
        <w:t>industr</w:t>
      </w:r>
      <w:r w:rsidR="008002D9">
        <w:rPr>
          <w:lang w:val="fr-CA"/>
        </w:rPr>
        <w:t>ie qui est axé sur l’é</w:t>
      </w:r>
      <w:r w:rsidR="006D151E" w:rsidRPr="00623E67">
        <w:rPr>
          <w:lang w:val="fr-CA"/>
        </w:rPr>
        <w:t>laboration de normes d’essai pour l’analyse de la concentration de</w:t>
      </w:r>
      <w:r w:rsidR="002C50D4" w:rsidRPr="00623E67">
        <w:rPr>
          <w:lang w:val="fr-CA"/>
        </w:rPr>
        <w:t xml:space="preserve"> H</w:t>
      </w:r>
      <w:r w:rsidR="002C50D4" w:rsidRPr="00623E67">
        <w:rPr>
          <w:vertAlign w:val="subscript"/>
          <w:lang w:val="fr-CA"/>
        </w:rPr>
        <w:t>2</w:t>
      </w:r>
      <w:r w:rsidR="002C50D4" w:rsidRPr="00623E67">
        <w:rPr>
          <w:lang w:val="fr-CA"/>
        </w:rPr>
        <w:t>S.</w:t>
      </w:r>
    </w:p>
    <w:p w:rsidR="00014273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30.</w:t>
      </w:r>
      <w:r>
        <w:rPr>
          <w:lang w:val="fr-CA"/>
        </w:rPr>
        <w:tab/>
      </w:r>
      <w:r w:rsidR="006D151E" w:rsidRPr="00623E67">
        <w:rPr>
          <w:lang w:val="fr-CA"/>
        </w:rPr>
        <w:t>L’élaboration d’une méthode et la connaissance des concentrations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>S</w:t>
      </w:r>
      <w:r w:rsidR="006D151E" w:rsidRPr="00623E67">
        <w:rPr>
          <w:lang w:val="fr-CA"/>
        </w:rPr>
        <w:t xml:space="preserve"> dans la phase vapeur contribueraient à éclairer les responsables de la réglementation et à</w:t>
      </w:r>
      <w:r w:rsidR="008002D9">
        <w:rPr>
          <w:lang w:val="fr-CA"/>
        </w:rPr>
        <w:t xml:space="preserve"> fournir une orientation </w:t>
      </w:r>
      <w:r w:rsidR="009D12EF">
        <w:rPr>
          <w:lang w:val="fr-CA"/>
        </w:rPr>
        <w:t>sur</w:t>
      </w:r>
      <w:r w:rsidR="008002D9">
        <w:rPr>
          <w:lang w:val="fr-CA"/>
        </w:rPr>
        <w:t xml:space="preserve"> l’é</w:t>
      </w:r>
      <w:r w:rsidR="006D151E" w:rsidRPr="00623E67">
        <w:rPr>
          <w:lang w:val="fr-CA"/>
        </w:rPr>
        <w:t>tablissement de seuils pour le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2B7765" w:rsidRPr="00623E67">
        <w:rPr>
          <w:lang w:val="fr-CA"/>
        </w:rPr>
        <w:t xml:space="preserve">S. </w:t>
      </w:r>
      <w:r w:rsidR="006D151E" w:rsidRPr="00623E67">
        <w:rPr>
          <w:lang w:val="fr-CA"/>
        </w:rPr>
        <w:t>Les conditions d’analyse pourraient ensuite être précisées dans un règlement</w:t>
      </w:r>
      <w:r w:rsidR="00014273" w:rsidRPr="00623E67">
        <w:rPr>
          <w:lang w:val="fr-CA"/>
        </w:rPr>
        <w:t>.</w:t>
      </w:r>
      <w:r w:rsidR="00B610E5" w:rsidRPr="00623E67">
        <w:rPr>
          <w:lang w:val="fr-CA"/>
        </w:rPr>
        <w:t xml:space="preserve"> </w:t>
      </w:r>
      <w:r w:rsidR="006D151E" w:rsidRPr="00623E67">
        <w:rPr>
          <w:lang w:val="fr-CA"/>
        </w:rPr>
        <w:t xml:space="preserve">Le </w:t>
      </w:r>
      <w:r w:rsidR="00B610E5" w:rsidRPr="00623E67">
        <w:rPr>
          <w:lang w:val="fr-CA"/>
        </w:rPr>
        <w:t xml:space="preserve">Canada </w:t>
      </w:r>
      <w:r w:rsidR="006D151E" w:rsidRPr="00623E67">
        <w:rPr>
          <w:lang w:val="fr-CA"/>
        </w:rPr>
        <w:t xml:space="preserve">fait actuellement progresser la recherche dans ce domaine et accueille favorablement toute donnée ou observation des parties intéressées du </w:t>
      </w:r>
      <w:r w:rsidR="00663125">
        <w:rPr>
          <w:lang w:val="fr-CA"/>
        </w:rPr>
        <w:t>SCETMD-ONU</w:t>
      </w:r>
      <w:r w:rsidR="00B610E5" w:rsidRPr="00623E67">
        <w:rPr>
          <w:lang w:val="fr-CA"/>
        </w:rPr>
        <w:t>.</w:t>
      </w:r>
    </w:p>
    <w:p w:rsidR="00D626F7" w:rsidRPr="00623E67" w:rsidRDefault="00D95F21" w:rsidP="00F06BFB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D407D" w:rsidRPr="00623E67">
        <w:rPr>
          <w:lang w:val="fr-CA"/>
        </w:rPr>
        <w:t>Conclusion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31.</w:t>
      </w:r>
      <w:r>
        <w:rPr>
          <w:lang w:val="fr-CA"/>
        </w:rPr>
        <w:tab/>
      </w:r>
      <w:r w:rsidR="006D151E" w:rsidRPr="00623E67">
        <w:rPr>
          <w:lang w:val="fr-CA"/>
        </w:rPr>
        <w:t xml:space="preserve">Le </w:t>
      </w:r>
      <w:r w:rsidR="003D407D" w:rsidRPr="00623E67">
        <w:rPr>
          <w:lang w:val="fr-CA"/>
        </w:rPr>
        <w:t xml:space="preserve">Canada </w:t>
      </w:r>
      <w:r w:rsidR="006D151E" w:rsidRPr="00623E67">
        <w:rPr>
          <w:lang w:val="fr-CA"/>
        </w:rPr>
        <w:t>souhaite partager les données susmentionnées avec le</w:t>
      </w:r>
      <w:r w:rsidR="00663125">
        <w:rPr>
          <w:lang w:val="fr-CA"/>
        </w:rPr>
        <w:t xml:space="preserve"> SCETMD-ONU et le SCESGH-ONU</w:t>
      </w:r>
      <w:r w:rsidR="003D407D" w:rsidRPr="00623E67">
        <w:rPr>
          <w:lang w:val="fr-CA"/>
        </w:rPr>
        <w:t xml:space="preserve"> </w:t>
      </w:r>
      <w:r w:rsidR="006D151E" w:rsidRPr="00623E67">
        <w:rPr>
          <w:lang w:val="fr-CA"/>
        </w:rPr>
        <w:t>pour</w:t>
      </w:r>
      <w:r w:rsidR="003D407D" w:rsidRPr="00623E67">
        <w:rPr>
          <w:lang w:val="fr-CA"/>
        </w:rPr>
        <w:t xml:space="preserve"> consid</w:t>
      </w:r>
      <w:r w:rsidR="006D151E" w:rsidRPr="00623E67">
        <w:rPr>
          <w:lang w:val="fr-CA"/>
        </w:rPr>
        <w:t>é</w:t>
      </w:r>
      <w:r w:rsidR="003D407D" w:rsidRPr="00623E67">
        <w:rPr>
          <w:lang w:val="fr-CA"/>
        </w:rPr>
        <w:t xml:space="preserve">ration. </w:t>
      </w:r>
      <w:r w:rsidR="006D151E" w:rsidRPr="00623E67">
        <w:rPr>
          <w:lang w:val="fr-CA"/>
        </w:rPr>
        <w:t xml:space="preserve">Les événements survenus </w:t>
      </w:r>
      <w:r w:rsidR="00623E67" w:rsidRPr="00623E67">
        <w:rPr>
          <w:lang w:val="fr-CA"/>
        </w:rPr>
        <w:t xml:space="preserve">en Amérique du Nord </w:t>
      </w:r>
      <w:r w:rsidR="006D151E" w:rsidRPr="00623E67">
        <w:rPr>
          <w:lang w:val="fr-CA"/>
        </w:rPr>
        <w:t>au</w:t>
      </w:r>
      <w:r w:rsidR="00623E67" w:rsidRPr="00623E67">
        <w:rPr>
          <w:lang w:val="fr-CA"/>
        </w:rPr>
        <w:t xml:space="preserve"> cours des dernières années ont forcé le</w:t>
      </w:r>
      <w:r w:rsidR="00E41F5B" w:rsidRPr="00623E67">
        <w:rPr>
          <w:lang w:val="fr-CA"/>
        </w:rPr>
        <w:t xml:space="preserve"> Canada </w:t>
      </w:r>
      <w:r w:rsidR="00350232" w:rsidRPr="00623E67">
        <w:rPr>
          <w:lang w:val="fr-CA"/>
        </w:rPr>
        <w:t>à</w:t>
      </w:r>
      <w:r w:rsidR="00623E67" w:rsidRPr="00623E67">
        <w:rPr>
          <w:lang w:val="fr-CA"/>
        </w:rPr>
        <w:t xml:space="preserve"> </w:t>
      </w:r>
      <w:r w:rsidR="008002D9">
        <w:rPr>
          <w:lang w:val="fr-CA"/>
        </w:rPr>
        <w:t>concentrer</w:t>
      </w:r>
      <w:r w:rsidR="00623E67" w:rsidRPr="00623E67">
        <w:rPr>
          <w:lang w:val="fr-CA"/>
        </w:rPr>
        <w:t xml:space="preserve"> ses efforts de recherche sur la</w:t>
      </w:r>
      <w:r w:rsidR="003D407D" w:rsidRPr="00623E67">
        <w:rPr>
          <w:lang w:val="fr-CA"/>
        </w:rPr>
        <w:t xml:space="preserve"> classification </w:t>
      </w:r>
      <w:r w:rsidR="00623E67" w:rsidRPr="00623E67">
        <w:rPr>
          <w:lang w:val="fr-CA"/>
        </w:rPr>
        <w:t>du pétrole brut</w:t>
      </w:r>
      <w:r w:rsidR="003D407D" w:rsidRPr="00623E67">
        <w:rPr>
          <w:lang w:val="fr-CA"/>
        </w:rPr>
        <w:t xml:space="preserve">. </w:t>
      </w:r>
      <w:r w:rsidR="00623E67" w:rsidRPr="00623E67">
        <w:rPr>
          <w:lang w:val="fr-CA"/>
        </w:rPr>
        <w:t xml:space="preserve">Les résultats obtenus dans cette première phase d’analyse sont pertinents pour tous les membres </w:t>
      </w:r>
      <w:r w:rsidR="00663125">
        <w:rPr>
          <w:lang w:val="fr-CA"/>
        </w:rPr>
        <w:t>du</w:t>
      </w:r>
      <w:r w:rsidR="005E23D6" w:rsidRPr="00623E67">
        <w:rPr>
          <w:lang w:val="fr-CA"/>
        </w:rPr>
        <w:t xml:space="preserve"> </w:t>
      </w:r>
      <w:r w:rsidR="00663125">
        <w:rPr>
          <w:lang w:val="fr-CA"/>
        </w:rPr>
        <w:t>SCETMD-ONU</w:t>
      </w:r>
      <w:r w:rsidR="005E23D6" w:rsidRPr="00623E67">
        <w:rPr>
          <w:lang w:val="fr-CA"/>
        </w:rPr>
        <w:t xml:space="preserve"> </w:t>
      </w:r>
      <w:r w:rsidR="00623E67" w:rsidRPr="00623E67">
        <w:rPr>
          <w:lang w:val="fr-CA"/>
        </w:rPr>
        <w:t>et</w:t>
      </w:r>
      <w:r w:rsidR="005E23D6" w:rsidRPr="00623E67">
        <w:rPr>
          <w:lang w:val="fr-CA"/>
        </w:rPr>
        <w:t xml:space="preserve"> </w:t>
      </w:r>
      <w:r w:rsidR="00663125">
        <w:rPr>
          <w:lang w:val="fr-CA"/>
        </w:rPr>
        <w:t>du SCESGH-ONU</w:t>
      </w:r>
      <w:r w:rsidR="00623E67" w:rsidRPr="00623E67">
        <w:rPr>
          <w:lang w:val="fr-CA"/>
        </w:rPr>
        <w:t xml:space="preserve"> lorsque le pétrole brut est extrait,</w:t>
      </w:r>
      <w:r w:rsidR="005E23D6" w:rsidRPr="00623E67">
        <w:rPr>
          <w:lang w:val="fr-CA"/>
        </w:rPr>
        <w:t xml:space="preserve"> transport</w:t>
      </w:r>
      <w:r w:rsidR="00623E67" w:rsidRPr="00623E67">
        <w:rPr>
          <w:lang w:val="fr-CA"/>
        </w:rPr>
        <w:t>é ou manipulé</w:t>
      </w:r>
      <w:r w:rsidR="005E23D6" w:rsidRPr="00623E67">
        <w:rPr>
          <w:lang w:val="fr-CA"/>
        </w:rPr>
        <w:t>.</w:t>
      </w:r>
    </w:p>
    <w:p w:rsidR="005E23D6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lastRenderedPageBreak/>
        <w:t>32.</w:t>
      </w:r>
      <w:r>
        <w:rPr>
          <w:lang w:val="fr-CA"/>
        </w:rPr>
        <w:tab/>
      </w:r>
      <w:r w:rsidR="00623E67" w:rsidRPr="00623E67">
        <w:rPr>
          <w:lang w:val="fr-CA"/>
        </w:rPr>
        <w:t xml:space="preserve">Le </w:t>
      </w:r>
      <w:r w:rsidR="005E23D6" w:rsidRPr="00D95F21">
        <w:t>Canada</w:t>
      </w:r>
      <w:r w:rsidR="005E23D6" w:rsidRPr="00623E67">
        <w:rPr>
          <w:lang w:val="fr-CA"/>
        </w:rPr>
        <w:t xml:space="preserve"> continue</w:t>
      </w:r>
      <w:r w:rsidR="00623E67" w:rsidRPr="00623E67">
        <w:rPr>
          <w:lang w:val="fr-CA"/>
        </w:rPr>
        <w:t>ra de partager ses résultats de recherche</w:t>
      </w:r>
      <w:r w:rsidR="005E23D6" w:rsidRPr="00623E67">
        <w:rPr>
          <w:lang w:val="fr-CA"/>
        </w:rPr>
        <w:t xml:space="preserve"> </w:t>
      </w:r>
      <w:r w:rsidR="00623E67" w:rsidRPr="00623E67">
        <w:rPr>
          <w:lang w:val="fr-CA"/>
        </w:rPr>
        <w:t xml:space="preserve">dès qu’ils seront disponibles avec </w:t>
      </w:r>
      <w:r w:rsidR="00663125" w:rsidRPr="00623E67">
        <w:rPr>
          <w:lang w:val="fr-CA"/>
        </w:rPr>
        <w:t>le</w:t>
      </w:r>
      <w:r w:rsidR="00663125">
        <w:rPr>
          <w:lang w:val="fr-CA"/>
        </w:rPr>
        <w:t xml:space="preserve"> SCETMD-ONU et le SCESGH-ONU</w:t>
      </w:r>
      <w:r w:rsidR="005E23D6" w:rsidRPr="00623E67">
        <w:rPr>
          <w:lang w:val="fr-CA"/>
        </w:rPr>
        <w:t xml:space="preserve">. </w:t>
      </w:r>
      <w:r w:rsidR="00623E67" w:rsidRPr="00623E67">
        <w:rPr>
          <w:lang w:val="fr-CA"/>
        </w:rPr>
        <w:t>Un exemplaire des résultats de recherche est présenté à l’a</w:t>
      </w:r>
      <w:r w:rsidR="005E23D6" w:rsidRPr="00623E67">
        <w:rPr>
          <w:lang w:val="fr-CA"/>
        </w:rPr>
        <w:t>nnex</w:t>
      </w:r>
      <w:r w:rsidR="00623E67" w:rsidRPr="00623E67">
        <w:rPr>
          <w:lang w:val="fr-CA"/>
        </w:rPr>
        <w:t>e</w:t>
      </w:r>
      <w:r w:rsidR="005E23D6" w:rsidRPr="00623E67">
        <w:rPr>
          <w:lang w:val="fr-CA"/>
        </w:rPr>
        <w:t xml:space="preserve"> B.</w:t>
      </w:r>
    </w:p>
    <w:p w:rsidR="00D626F7" w:rsidRPr="00F06BFB" w:rsidRDefault="00BB700C" w:rsidP="00F06BFB">
      <w:pPr>
        <w:pStyle w:val="SingleTxtG"/>
        <w:ind w:left="0"/>
        <w:jc w:val="center"/>
        <w:rPr>
          <w:lang w:val="fr-C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8580120</wp:posOffset>
                </wp:positionH>
                <wp:positionV relativeFrom="paragraph">
                  <wp:posOffset>-83820</wp:posOffset>
                </wp:positionV>
                <wp:extent cx="440055" cy="570738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1E" w:rsidRPr="00693C13" w:rsidRDefault="006D151E" w:rsidP="00D626F7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3C13">
                              <w:rPr>
                                <w:b/>
                                <w:sz w:val="18"/>
                                <w:szCs w:val="18"/>
                              </w:rPr>
                              <w:t>UN/SCETDG/46/INF.47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6pt;margin-top:-6.6pt;width:34.65pt;height:449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" strokecolor="white">
                <v:textbox style="layout-flow:vertical;mso-fit-shape-to-text:t">
                  <w:txbxContent>
                    <w:p w:rsidR="006D151E" w:rsidRPr="00693C13" w:rsidRDefault="006D151E" w:rsidP="00D626F7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93C13">
                        <w:rPr>
                          <w:b/>
                          <w:sz w:val="18"/>
                          <w:szCs w:val="18"/>
                        </w:rPr>
                        <w:t>UN/SCETDG/46/INF.47</w:t>
                      </w:r>
                    </w:p>
                  </w:txbxContent>
                </v:textbox>
              </v:shape>
            </w:pict>
          </mc:Fallback>
        </mc:AlternateContent>
      </w:r>
    </w:p>
    <w:p w:rsidR="00D626F7" w:rsidRPr="00623E67" w:rsidRDefault="00D626F7" w:rsidP="00D626F7">
      <w:pPr>
        <w:pStyle w:val="SingleTxtG"/>
        <w:spacing w:before="240" w:after="0"/>
        <w:jc w:val="left"/>
        <w:rPr>
          <w:u w:val="single"/>
          <w:lang w:val="fr-CA"/>
        </w:rPr>
        <w:sectPr w:rsidR="00D626F7" w:rsidRPr="00623E67" w:rsidSect="00510E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C61702" w:rsidRPr="00623E67" w:rsidRDefault="00AA4AE9" w:rsidP="00D66157">
      <w:pPr>
        <w:spacing w:before="120" w:after="240" w:line="240" w:lineRule="auto"/>
        <w:jc w:val="center"/>
        <w:rPr>
          <w:b/>
          <w:sz w:val="24"/>
          <w:u w:val="single"/>
          <w:lang w:val="fr-CA"/>
        </w:rPr>
      </w:pPr>
      <w:r w:rsidRPr="00623E67">
        <w:rPr>
          <w:b/>
          <w:sz w:val="24"/>
          <w:u w:val="single"/>
          <w:lang w:val="fr-CA"/>
        </w:rPr>
        <w:lastRenderedPageBreak/>
        <w:t>Annex</w:t>
      </w:r>
      <w:r w:rsidR="0033091A" w:rsidRPr="00623E67">
        <w:rPr>
          <w:b/>
          <w:sz w:val="24"/>
          <w:u w:val="single"/>
          <w:lang w:val="fr-CA"/>
        </w:rPr>
        <w:t>e</w:t>
      </w:r>
      <w:r w:rsidRPr="00623E67">
        <w:rPr>
          <w:b/>
          <w:sz w:val="24"/>
          <w:u w:val="single"/>
          <w:lang w:val="fr-CA"/>
        </w:rPr>
        <w:t xml:space="preserve"> A – </w:t>
      </w:r>
      <w:r w:rsidR="0033091A" w:rsidRPr="00623E67">
        <w:rPr>
          <w:b/>
          <w:sz w:val="24"/>
          <w:u w:val="single"/>
          <w:lang w:val="fr-CA"/>
        </w:rPr>
        <w:t>Méthodes d’</w:t>
      </w:r>
      <w:r w:rsidR="00E60395">
        <w:rPr>
          <w:b/>
          <w:sz w:val="24"/>
          <w:u w:val="single"/>
          <w:lang w:val="fr-CA"/>
        </w:rPr>
        <w:t>analyse</w:t>
      </w:r>
      <w:r w:rsidR="0033091A" w:rsidRPr="00623E67">
        <w:rPr>
          <w:b/>
          <w:sz w:val="24"/>
          <w:u w:val="single"/>
          <w:lang w:val="fr-CA"/>
        </w:rPr>
        <w:t xml:space="preserve"> utilisées</w:t>
      </w:r>
    </w:p>
    <w:tbl>
      <w:tblPr>
        <w:tblStyle w:val="GridTable1Light1"/>
        <w:tblW w:w="0" w:type="auto"/>
        <w:tblInd w:w="914" w:type="dxa"/>
        <w:tblLook w:val="04A0" w:firstRow="1" w:lastRow="0" w:firstColumn="1" w:lastColumn="0" w:noHBand="0" w:noVBand="1"/>
      </w:tblPr>
      <w:tblGrid>
        <w:gridCol w:w="2058"/>
        <w:gridCol w:w="6100"/>
      </w:tblGrid>
      <w:tr w:rsidR="00AA4AE9" w:rsidRPr="00623E67" w:rsidTr="0051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E60395">
            <w:pPr>
              <w:ind w:left="137" w:right="-708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M</w:t>
            </w:r>
            <w:r w:rsidR="0033091A" w:rsidRPr="00623E67">
              <w:rPr>
                <w:lang w:val="fr-CA"/>
              </w:rPr>
              <w:t>é</w:t>
            </w:r>
            <w:r w:rsidRPr="00623E67">
              <w:rPr>
                <w:lang w:val="fr-CA"/>
              </w:rPr>
              <w:t>thod</w:t>
            </w:r>
            <w:r w:rsidR="0033091A" w:rsidRPr="00623E67">
              <w:rPr>
                <w:lang w:val="fr-CA"/>
              </w:rPr>
              <w:t>e d’</w:t>
            </w:r>
            <w:r w:rsidR="00E60395">
              <w:rPr>
                <w:lang w:val="fr-CA"/>
              </w:rPr>
              <w:t>analyse</w:t>
            </w:r>
          </w:p>
        </w:tc>
        <w:tc>
          <w:tcPr>
            <w:tcW w:w="6100" w:type="dxa"/>
          </w:tcPr>
          <w:p w:rsidR="00AA4AE9" w:rsidRPr="00623E67" w:rsidRDefault="00AA4AE9" w:rsidP="00E60395">
            <w:pPr>
              <w:ind w:left="1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Tit</w:t>
            </w:r>
            <w:r w:rsidR="0033091A" w:rsidRPr="00623E67">
              <w:rPr>
                <w:lang w:val="fr-CA"/>
              </w:rPr>
              <w:t>r</w:t>
            </w:r>
            <w:r w:rsidRPr="00623E67">
              <w:rPr>
                <w:lang w:val="fr-CA"/>
              </w:rPr>
              <w:t>e</w:t>
            </w: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APHA</w:t>
            </w:r>
            <w:r w:rsidR="00623E67" w:rsidRPr="00623E67">
              <w:rPr>
                <w:lang w:val="fr-CA"/>
              </w:rPr>
              <w:t xml:space="preserve"> </w:t>
            </w:r>
            <w:r w:rsidRPr="00623E67">
              <w:rPr>
                <w:lang w:val="fr-CA"/>
              </w:rPr>
              <w:t>4500 S2-E</w:t>
            </w:r>
          </w:p>
        </w:tc>
        <w:tc>
          <w:tcPr>
            <w:tcW w:w="6100" w:type="dxa"/>
          </w:tcPr>
          <w:p w:rsidR="00623E67" w:rsidRDefault="00623E67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Sulphur in Water, Extractable (Methylene Blue Auto-Colourimetry)</w:t>
            </w:r>
          </w:p>
          <w:p w:rsidR="00AA4AE9" w:rsidRPr="00F06BFB" w:rsidRDefault="00AA4AE9" w:rsidP="00510EAC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Pr="00623E67" w:rsidRDefault="00395E4C" w:rsidP="00510EAC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Produit :</w:t>
            </w:r>
            <w:r w:rsidR="00AA4AE9" w:rsidRPr="00623E67">
              <w:rPr>
                <w:lang w:val="fr-CA"/>
              </w:rPr>
              <w:t xml:space="preserve"> concentration </w:t>
            </w:r>
            <w:r w:rsidR="00623E67">
              <w:rPr>
                <w:lang w:val="fr-CA"/>
              </w:rPr>
              <w:t>de</w:t>
            </w:r>
            <w:r w:rsidR="00AA4AE9" w:rsidRPr="00623E67">
              <w:rPr>
                <w:lang w:val="fr-CA"/>
              </w:rPr>
              <w:t xml:space="preserve"> </w:t>
            </w:r>
            <w:r w:rsidR="00AF713B" w:rsidRPr="00623E67">
              <w:rPr>
                <w:lang w:val="fr-CA"/>
              </w:rPr>
              <w:t>H</w:t>
            </w:r>
            <w:r w:rsidR="00AF713B" w:rsidRPr="00623E67">
              <w:rPr>
                <w:vertAlign w:val="subscript"/>
                <w:lang w:val="fr-CA"/>
              </w:rPr>
              <w:t>2</w:t>
            </w:r>
            <w:r w:rsidR="00AF713B" w:rsidRPr="00623E67">
              <w:rPr>
                <w:lang w:val="fr-CA"/>
              </w:rPr>
              <w:t>S</w:t>
            </w:r>
            <w:r w:rsidR="00AA4AE9" w:rsidRPr="00623E67">
              <w:rPr>
                <w:lang w:val="fr-CA"/>
              </w:rPr>
              <w:t xml:space="preserve"> </w:t>
            </w:r>
            <w:r w:rsidR="00623E67">
              <w:rPr>
                <w:lang w:val="fr-CA"/>
              </w:rPr>
              <w:t>dans la</w:t>
            </w:r>
            <w:r w:rsidR="00AA4AE9" w:rsidRPr="00623E67">
              <w:rPr>
                <w:lang w:val="fr-CA"/>
              </w:rPr>
              <w:t xml:space="preserve"> solution, </w:t>
            </w:r>
            <w:r w:rsidR="00623E67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mg/L</w:t>
            </w:r>
          </w:p>
          <w:p w:rsidR="00AA4AE9" w:rsidRDefault="00623E67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Limite de dé</w:t>
            </w:r>
            <w:r w:rsidR="00AA4AE9" w:rsidRPr="00623E67">
              <w:rPr>
                <w:lang w:val="fr-CA"/>
              </w:rPr>
              <w:t>tection :</w:t>
            </w:r>
            <w:r w:rsidR="00395E4C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0</w:t>
            </w:r>
            <w:r>
              <w:rPr>
                <w:lang w:val="fr-CA"/>
              </w:rPr>
              <w:t>,</w:t>
            </w:r>
            <w:r w:rsidR="00AA4AE9" w:rsidRPr="00623E67">
              <w:rPr>
                <w:lang w:val="fr-CA"/>
              </w:rPr>
              <w:t>002</w:t>
            </w:r>
            <w:r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mg/L</w:t>
            </w:r>
          </w:p>
          <w:p w:rsidR="00350232" w:rsidRPr="00623E67" w:rsidRDefault="00350232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D56</w:t>
            </w:r>
          </w:p>
        </w:tc>
        <w:tc>
          <w:tcPr>
            <w:tcW w:w="6100" w:type="dxa"/>
          </w:tcPr>
          <w:p w:rsidR="00623E67" w:rsidRDefault="00623E67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Test Method for Flash Point by Tag Closed Cup Tester</w:t>
            </w:r>
          </w:p>
          <w:p w:rsidR="00AA4AE9" w:rsidRPr="00F06BFB" w:rsidRDefault="00623E67" w:rsidP="00623E67">
            <w:pPr>
              <w:tabs>
                <w:tab w:val="left" w:pos="1307"/>
              </w:tabs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06BFB">
              <w:rPr>
                <w:lang w:val="en-CA"/>
              </w:rPr>
              <w:tab/>
            </w:r>
          </w:p>
          <w:p w:rsidR="00AA4AE9" w:rsidRDefault="00395E4C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AA4AE9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AA4AE9" w:rsidRPr="00623E67">
              <w:rPr>
                <w:lang w:val="fr-CA"/>
              </w:rPr>
              <w:t xml:space="preserve"> °C</w:t>
            </w:r>
          </w:p>
          <w:p w:rsidR="00350232" w:rsidRPr="00623E67" w:rsidRDefault="00350232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D86</w:t>
            </w:r>
          </w:p>
        </w:tc>
        <w:tc>
          <w:tcPr>
            <w:tcW w:w="6100" w:type="dxa"/>
          </w:tcPr>
          <w:p w:rsidR="00623E67" w:rsidRPr="00623E67" w:rsidRDefault="00AA4AE9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 xml:space="preserve">Standard Test Method for Distillation of Petroleum Products at Atmospheric Pressure, </w:t>
            </w:r>
            <w:r w:rsidR="00623E67" w:rsidRPr="00623E67">
              <w:rPr>
                <w:lang w:val="en-CA"/>
              </w:rPr>
              <w:t>Initial Boiling Point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B22C86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Produit :</w:t>
            </w:r>
            <w:r w:rsidR="00AA4AE9" w:rsidRPr="00623E67">
              <w:rPr>
                <w:lang w:val="fr-CA"/>
              </w:rPr>
              <w:t xml:space="preserve"> </w:t>
            </w:r>
            <w:r w:rsidR="00B935F4" w:rsidRPr="00623E67">
              <w:rPr>
                <w:lang w:val="fr-CA"/>
              </w:rPr>
              <w:t>point initial d</w:t>
            </w:r>
            <w:r w:rsidR="00B22C86" w:rsidRPr="00623E67">
              <w:rPr>
                <w:lang w:val="fr-CA"/>
              </w:rPr>
              <w:t>’ébullition (PIE)</w:t>
            </w:r>
            <w:r w:rsidR="00AA4AE9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B22C86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D93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Standard Test Methods for Flash Point by Pensky-Martens Closed Cup Tester</w:t>
            </w:r>
          </w:p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0866A5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623E67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623E67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0866A5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D323M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Standard Test Method for Vapor Pressure of Petroleum Products (Reid Method), Modified.</w:t>
            </w:r>
            <w:r w:rsidR="00395E4C" w:rsidRPr="00623E67">
              <w:rPr>
                <w:lang w:val="en-CA"/>
              </w:rPr>
              <w:t xml:space="preserve"> 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pression de vapeur à un ratio</w:t>
            </w:r>
            <w:r w:rsidR="00AA4AE9" w:rsidRPr="00623E67">
              <w:rPr>
                <w:lang w:val="fr-CA"/>
              </w:rPr>
              <w:t xml:space="preserve"> V/L </w:t>
            </w:r>
            <w:r w:rsidR="00623E67">
              <w:rPr>
                <w:lang w:val="fr-CA"/>
              </w:rPr>
              <w:t xml:space="preserve">de </w:t>
            </w:r>
            <w:r w:rsidR="00AA4AE9" w:rsidRPr="00623E67">
              <w:rPr>
                <w:lang w:val="fr-CA"/>
              </w:rPr>
              <w:t xml:space="preserve">4:1 </w:t>
            </w:r>
            <w:r w:rsidR="00623E67">
              <w:rPr>
                <w:lang w:val="fr-CA"/>
              </w:rPr>
              <w:t xml:space="preserve">et à </w:t>
            </w:r>
            <w:r w:rsidR="00AA4AE9" w:rsidRPr="00623E67">
              <w:rPr>
                <w:lang w:val="fr-CA"/>
              </w:rPr>
              <w:t>50°C,</w:t>
            </w:r>
            <w:r w:rsidR="00623E67">
              <w:rPr>
                <w:lang w:val="fr-CA"/>
              </w:rPr>
              <w:t xml:space="preserve"> en</w:t>
            </w:r>
            <w:r w:rsidR="00AA4AE9" w:rsidRPr="00623E67">
              <w:rPr>
                <w:lang w:val="fr-CA"/>
              </w:rPr>
              <w:t xml:space="preserve"> °C</w:t>
            </w:r>
          </w:p>
          <w:p w:rsidR="00350232" w:rsidRPr="00623E67" w:rsidRDefault="00350232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D3828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Standard Test Methods for Flash Point by Small Scale Closed Cup Tester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623E67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623E67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D4007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Water and Sediment in Crude Oil by the Centrifuge Method (Laboratory Procedure)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contenu d’eau</w:t>
            </w:r>
            <w:r w:rsidR="00AA4AE9" w:rsidRPr="00623E67">
              <w:rPr>
                <w:lang w:val="fr-CA"/>
              </w:rPr>
              <w:t xml:space="preserve">, </w:t>
            </w:r>
            <w:r w:rsidR="00AF713B">
              <w:rPr>
                <w:lang w:val="fr-CA"/>
              </w:rPr>
              <w:t>pourcentage en</w:t>
            </w:r>
            <w:r w:rsid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volume</w:t>
            </w:r>
          </w:p>
          <w:p w:rsidR="00350232" w:rsidRPr="00623E67" w:rsidRDefault="00350232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D5002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Density and Relative Density of Crude Oils by Digital Density Analyzer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>densit</w:t>
            </w:r>
            <w:r w:rsidR="001C1159">
              <w:rPr>
                <w:lang w:val="fr-CA"/>
              </w:rPr>
              <w:t>é, en</w:t>
            </w:r>
            <w:r w:rsidR="00AA4AE9" w:rsidRPr="00623E67">
              <w:rPr>
                <w:lang w:val="fr-CA"/>
              </w:rPr>
              <w:t xml:space="preserve"> kg/m</w:t>
            </w:r>
            <w:r w:rsidR="00AA4AE9" w:rsidRPr="00AF713B">
              <w:rPr>
                <w:vertAlign w:val="superscript"/>
                <w:lang w:val="fr-CA"/>
              </w:rPr>
              <w:t>3</w:t>
            </w:r>
          </w:p>
          <w:p w:rsidR="00350232" w:rsidRPr="00623E67" w:rsidRDefault="00350232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D5705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 xml:space="preserve">Measurement of </w:t>
            </w:r>
            <w:r w:rsidR="001C1159">
              <w:t xml:space="preserve">Hydrogen Sulphide </w:t>
            </w:r>
            <w:r w:rsidRPr="001C1159">
              <w:rPr>
                <w:lang w:val="en-CA"/>
              </w:rPr>
              <w:t>in the Vapor Phase Above Residual Oils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 xml:space="preserve">concentration </w:t>
            </w:r>
            <w:r w:rsidR="001C1159">
              <w:rPr>
                <w:lang w:val="fr-CA"/>
              </w:rPr>
              <w:t>de</w:t>
            </w:r>
            <w:r w:rsidR="00AA4AE9" w:rsidRPr="00623E67">
              <w:rPr>
                <w:lang w:val="fr-CA"/>
              </w:rPr>
              <w:t xml:space="preserve"> </w:t>
            </w:r>
            <w:r w:rsidR="00AF713B" w:rsidRPr="00623E67">
              <w:rPr>
                <w:lang w:val="fr-CA"/>
              </w:rPr>
              <w:t>H</w:t>
            </w:r>
            <w:r w:rsidR="00AF713B" w:rsidRPr="00623E67">
              <w:rPr>
                <w:vertAlign w:val="subscript"/>
                <w:lang w:val="fr-CA"/>
              </w:rPr>
              <w:t>2</w:t>
            </w:r>
            <w:r w:rsidR="00AF713B" w:rsidRPr="00623E67">
              <w:rPr>
                <w:lang w:val="fr-CA"/>
              </w:rPr>
              <w:t>S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>dans la phase vapeur, en</w:t>
            </w:r>
            <w:r w:rsidR="00AA4AE9" w:rsidRPr="00623E67">
              <w:rPr>
                <w:lang w:val="fr-CA"/>
              </w:rPr>
              <w:t xml:space="preserve"> ppm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D6377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Determination of Vapor Pressure of Crude Oil: VPCRx (Expansion Method)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Pr="00623E67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pression de vapeur à un ratio</w:t>
            </w:r>
            <w:r w:rsidR="001C1159" w:rsidRPr="00623E67">
              <w:rPr>
                <w:lang w:val="fr-CA"/>
              </w:rPr>
              <w:t xml:space="preserve"> V/L </w:t>
            </w:r>
            <w:r w:rsidR="001C1159">
              <w:rPr>
                <w:lang w:val="fr-CA"/>
              </w:rPr>
              <w:t>de</w:t>
            </w:r>
            <w:r w:rsidR="001C1159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0</w:t>
            </w:r>
            <w:r w:rsidR="001C1159">
              <w:rPr>
                <w:lang w:val="fr-CA"/>
              </w:rPr>
              <w:t>,</w:t>
            </w:r>
            <w:r w:rsidR="00AA4AE9" w:rsidRPr="00623E67">
              <w:rPr>
                <w:lang w:val="fr-CA"/>
              </w:rPr>
              <w:t xml:space="preserve">2:1 </w:t>
            </w:r>
            <w:r w:rsidR="001C1159">
              <w:rPr>
                <w:lang w:val="fr-CA"/>
              </w:rPr>
              <w:t>et à</w:t>
            </w:r>
            <w:r w:rsidR="00AA4AE9" w:rsidRPr="00623E67">
              <w:rPr>
                <w:lang w:val="fr-CA"/>
              </w:rPr>
              <w:t xml:space="preserve"> 50°C, </w:t>
            </w:r>
            <w:r w:rsidR="001C1159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kPa</w:t>
            </w: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lastRenderedPageBreak/>
              <w:t>ASTM D7169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Boiling Point Distribution of Samples with Residues Such as Crude Oils and Atmospheric and Vacuum Residues by High Temperature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>distribution</w:t>
            </w:r>
            <w:r w:rsidR="001C1159">
              <w:rPr>
                <w:lang w:val="fr-CA"/>
              </w:rPr>
              <w:t xml:space="preserve"> du point d’ébullition</w:t>
            </w:r>
            <w:r w:rsidR="00AA4AE9" w:rsidRPr="00623E67">
              <w:rPr>
                <w:lang w:val="fr-CA"/>
              </w:rPr>
              <w:t xml:space="preserve">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D7678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Total Petroleum Hydrocarbons (TPH) in Water and Wastewater Solvent Extraction using Mid-IR Laser Spectroscopy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 xml:space="preserve">concentration </w:t>
            </w:r>
            <w:r w:rsidR="001C1159" w:rsidRPr="001C1159">
              <w:rPr>
                <w:lang w:val="fr-CA"/>
              </w:rPr>
              <w:t>d’</w:t>
            </w:r>
            <w:r w:rsidR="001C1159" w:rsidRPr="001C1159">
              <w:rPr>
                <w:rStyle w:val="sel"/>
                <w:lang w:val="fr-CA"/>
              </w:rPr>
              <w:t>hydrocarbures pétroliers totaux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>(</w:t>
            </w:r>
            <w:r w:rsidR="00AA4AE9" w:rsidRPr="00623E67">
              <w:rPr>
                <w:lang w:val="fr-CA"/>
              </w:rPr>
              <w:t>TPH</w:t>
            </w:r>
            <w:r w:rsidR="001C1159">
              <w:rPr>
                <w:lang w:val="fr-CA"/>
              </w:rPr>
              <w:t>) dans l’eau, en</w:t>
            </w:r>
            <w:r w:rsidR="00AA4AE9" w:rsidRPr="00623E67">
              <w:rPr>
                <w:lang w:val="fr-CA"/>
              </w:rPr>
              <w:t xml:space="preserve"> mg/L (ppm)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D7900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Determination of Light Hydrocarbons in Stabilized Crude Oils by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composition d</w:t>
            </w:r>
            <w:r w:rsidR="008002D9">
              <w:rPr>
                <w:lang w:val="fr-CA"/>
              </w:rPr>
              <w:t xml:space="preserve">es </w:t>
            </w:r>
            <w:r w:rsidR="003D3B75">
              <w:rPr>
                <w:lang w:val="fr-CA"/>
              </w:rPr>
              <w:t>fraction</w:t>
            </w:r>
            <w:r w:rsidR="001C1159">
              <w:rPr>
                <w:lang w:val="fr-CA"/>
              </w:rPr>
              <w:t xml:space="preserve">s légères,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GOR/GC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Atmospheric Flash of Hydrocarbon Samples for Gas-Oil Ratio Determination (GOR) Determination and Gas Composition by GC</w:t>
            </w:r>
          </w:p>
          <w:p w:rsidR="00AA4AE9" w:rsidRPr="00F06BFB" w:rsidRDefault="00AA4AE9" w:rsidP="001C1159">
            <w:pPr>
              <w:ind w:left="34" w:right="38"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8002D9">
              <w:rPr>
                <w:lang w:val="fr-CA"/>
              </w:rPr>
              <w:t>d</w:t>
            </w:r>
            <w:r w:rsidR="001C1159">
              <w:rPr>
                <w:lang w:val="fr-CA"/>
              </w:rPr>
              <w:t>étermination du ratio gaz/pétrole (</w:t>
            </w:r>
            <w:r w:rsidR="00AA4AE9" w:rsidRPr="00623E67">
              <w:rPr>
                <w:lang w:val="fr-CA"/>
              </w:rPr>
              <w:t>GOR</w:t>
            </w:r>
            <w:r w:rsidR="001C1159">
              <w:rPr>
                <w:lang w:val="fr-CA"/>
              </w:rPr>
              <w:t>)</w:t>
            </w:r>
            <w:r w:rsidR="00AA4AE9" w:rsidRPr="00623E67">
              <w:rPr>
                <w:lang w:val="fr-CA"/>
              </w:rPr>
              <w:t xml:space="preserve">, </w:t>
            </w:r>
            <w:r w:rsidR="001C1159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m</w:t>
            </w:r>
            <w:r w:rsidR="00AA4AE9" w:rsidRPr="001C1159">
              <w:rPr>
                <w:vertAlign w:val="superscript"/>
                <w:lang w:val="fr-CA"/>
              </w:rPr>
              <w:t>3</w:t>
            </w:r>
            <w:r w:rsidR="00AA4AE9" w:rsidRPr="00623E67">
              <w:rPr>
                <w:lang w:val="fr-CA"/>
              </w:rPr>
              <w:t>/m</w:t>
            </w:r>
            <w:r w:rsidR="00AA4AE9" w:rsidRPr="001C1159">
              <w:rPr>
                <w:vertAlign w:val="superscript"/>
                <w:lang w:val="fr-CA"/>
              </w:rPr>
              <w:t>3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 xml:space="preserve">et composition de la vapeur instantanée,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0866A5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D8003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</w:t>
            </w:r>
            <w:r w:rsidR="00395E4C" w:rsidRPr="001C1159">
              <w:rPr>
                <w:lang w:val="en-CA"/>
              </w:rPr>
              <w:t xml:space="preserve"> </w:t>
            </w:r>
            <w:r w:rsidRPr="001C1159">
              <w:rPr>
                <w:lang w:val="en-CA"/>
              </w:rPr>
              <w:t>Determination of Light Hydrocarbons and Hydrocarbon Boiling Point Distribution and Cut Point Intervals in Live Crude Oils and Condensates via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composition d</w:t>
            </w:r>
            <w:r w:rsidR="008002D9">
              <w:rPr>
                <w:lang w:val="fr-CA"/>
              </w:rPr>
              <w:t xml:space="preserve">es </w:t>
            </w:r>
            <w:r w:rsidR="003D3B75">
              <w:rPr>
                <w:lang w:val="fr-CA"/>
              </w:rPr>
              <w:t>fraction</w:t>
            </w:r>
            <w:r w:rsidR="001C1159">
              <w:rPr>
                <w:lang w:val="fr-CA"/>
              </w:rPr>
              <w:t xml:space="preserve">s légères,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0866A5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ISO 10156</w:t>
            </w:r>
          </w:p>
        </w:tc>
        <w:tc>
          <w:tcPr>
            <w:tcW w:w="6100" w:type="dxa"/>
          </w:tcPr>
          <w:p w:rsidR="00AA4AE9" w:rsidRPr="00421064" w:rsidRDefault="00421064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421064">
              <w:rPr>
                <w:lang w:val="fr-CA"/>
              </w:rPr>
              <w:t>Gaz et mélanges de gaz</w:t>
            </w:r>
            <w:r>
              <w:rPr>
                <w:lang w:val="fr-CA"/>
              </w:rPr>
              <w:t xml:space="preserve"> – </w:t>
            </w:r>
            <w:r w:rsidRPr="00421064">
              <w:rPr>
                <w:lang w:val="fr-CA"/>
              </w:rPr>
              <w:t>Détermination du potentiel d'inflammabilité et d'oxydation pour le choix des raccords de sortie de robinets</w:t>
            </w:r>
          </w:p>
          <w:p w:rsidR="00AA4AE9" w:rsidRPr="00421064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AA4AE9" w:rsidRDefault="00395E4C" w:rsidP="00350232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350232">
              <w:rPr>
                <w:lang w:val="fr-CA"/>
              </w:rPr>
              <w:t>zone d’in</w:t>
            </w:r>
            <w:r w:rsidR="00AA4AE9" w:rsidRPr="00623E67">
              <w:rPr>
                <w:lang w:val="fr-CA"/>
              </w:rPr>
              <w:t>flammabilit</w:t>
            </w:r>
            <w:r w:rsidR="00350232">
              <w:rPr>
                <w:lang w:val="fr-CA"/>
              </w:rPr>
              <w:t xml:space="preserve">é avec l’air, </w:t>
            </w:r>
            <w:r w:rsidR="00AF713B">
              <w:rPr>
                <w:lang w:val="fr-CA"/>
              </w:rPr>
              <w:t>pourcentage</w:t>
            </w:r>
            <w:r w:rsidR="00350232">
              <w:rPr>
                <w:lang w:val="fr-CA"/>
              </w:rPr>
              <w:t xml:space="preserve"> de gaz dans l’air</w:t>
            </w:r>
          </w:p>
          <w:p w:rsidR="00350232" w:rsidRPr="00623E67" w:rsidRDefault="00350232" w:rsidP="00350232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:rsidR="006644A1" w:rsidRPr="00623E67" w:rsidRDefault="006644A1" w:rsidP="00AA4AE9">
      <w:pPr>
        <w:spacing w:before="120" w:after="240" w:line="240" w:lineRule="auto"/>
        <w:jc w:val="left"/>
        <w:rPr>
          <w:b/>
          <w:u w:val="single"/>
          <w:lang w:val="fr-CA"/>
        </w:rPr>
        <w:sectPr w:rsidR="006644A1" w:rsidRPr="00623E67" w:rsidSect="004977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:rsidR="00AA4AE9" w:rsidRPr="00623E67" w:rsidRDefault="006644A1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  <w:r w:rsidRPr="00623E67">
        <w:rPr>
          <w:b/>
          <w:u w:val="single"/>
          <w:lang w:val="fr-CA"/>
        </w:rPr>
        <w:lastRenderedPageBreak/>
        <w:t>ANNEX</w:t>
      </w:r>
      <w:r w:rsidR="0033091A" w:rsidRPr="00623E67">
        <w:rPr>
          <w:b/>
          <w:u w:val="single"/>
          <w:lang w:val="fr-CA"/>
        </w:rPr>
        <w:t>E</w:t>
      </w:r>
      <w:r w:rsidRPr="00623E67">
        <w:rPr>
          <w:b/>
          <w:u w:val="single"/>
          <w:lang w:val="fr-CA"/>
        </w:rPr>
        <w:t xml:space="preserve"> B – </w:t>
      </w:r>
      <w:r w:rsidR="0033091A" w:rsidRPr="00623E67">
        <w:rPr>
          <w:b/>
          <w:u w:val="single"/>
          <w:lang w:val="fr-CA"/>
        </w:rPr>
        <w:t>Rapport d’</w:t>
      </w:r>
      <w:r w:rsidRPr="00623E67">
        <w:rPr>
          <w:b/>
          <w:u w:val="single"/>
          <w:lang w:val="fr-CA"/>
        </w:rPr>
        <w:t>AITF</w:t>
      </w:r>
    </w:p>
    <w:p w:rsidR="0024571F" w:rsidRPr="00623E67" w:rsidRDefault="0024571F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</w:p>
    <w:p w:rsidR="0024571F" w:rsidRPr="00623E67" w:rsidRDefault="005C6CCD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t>Voie INF.62/Add.1</w:t>
      </w:r>
    </w:p>
    <w:sectPr w:rsidR="0024571F" w:rsidRPr="00623E67" w:rsidSect="00497711">
      <w:headerReference w:type="first" r:id="rId21"/>
      <w:footerReference w:type="first" r:id="rId2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F" w:rsidRDefault="00BE49AF"/>
  </w:endnote>
  <w:endnote w:type="continuationSeparator" w:id="0">
    <w:p w:rsidR="00BE49AF" w:rsidRDefault="00BE49AF"/>
  </w:endnote>
  <w:endnote w:type="continuationNotice" w:id="1">
    <w:p w:rsidR="00BE49AF" w:rsidRDefault="00BE4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7232245"/>
      <w:docPartObj>
        <w:docPartGallery w:val="Page Numbers (Bottom of Page)"/>
        <w:docPartUnique/>
      </w:docPartObj>
    </w:sdtPr>
    <w:sdtEndPr/>
    <w:sdtContent>
      <w:p w:rsidR="006D151E" w:rsidRPr="00FE33FE" w:rsidRDefault="00F90AA5" w:rsidP="00FE33FE">
        <w:pPr>
          <w:pStyle w:val="Footer"/>
          <w:jc w:val="lef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D3A39">
          <w:rPr>
            <w:b/>
            <w:noProof/>
          </w:rPr>
          <w:t>6</w:t>
        </w:r>
        <w:r w:rsidRPr="00FE33FE">
          <w:rPr>
            <w:b/>
            <w:noProof/>
          </w:rPr>
          <w:fldChar w:fldCharType="end"/>
        </w:r>
      </w:p>
    </w:sdtContent>
  </w:sdt>
  <w:p w:rsidR="006D151E" w:rsidRDefault="006D1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7232247"/>
      <w:docPartObj>
        <w:docPartGallery w:val="Page Numbers (Bottom of Page)"/>
        <w:docPartUnique/>
      </w:docPartObj>
    </w:sdtPr>
    <w:sdtEndPr/>
    <w:sdtContent>
      <w:p w:rsidR="006D151E" w:rsidRPr="00FE33FE" w:rsidRDefault="00F90AA5" w:rsidP="00510EAC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D3A39">
          <w:rPr>
            <w:b/>
            <w:noProof/>
          </w:rPr>
          <w:t>5</w:t>
        </w:r>
        <w:r w:rsidRPr="00FE33FE">
          <w:rPr>
            <w:b/>
            <w:noProof/>
          </w:rPr>
          <w:fldChar w:fldCharType="end"/>
        </w:r>
      </w:p>
    </w:sdtContent>
  </w:sdt>
  <w:p w:rsidR="006D151E" w:rsidRDefault="006D151E" w:rsidP="00510EA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60" w:rsidRDefault="00B41B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0216CC" w:rsidRDefault="00A42A18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="006D151E"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3A39">
      <w:rPr>
        <w:b/>
        <w:noProof/>
        <w:sz w:val="18"/>
      </w:rPr>
      <w:t>8</w:t>
    </w:r>
    <w:r w:rsidRPr="000216CC">
      <w:rPr>
        <w:b/>
        <w:sz w:val="18"/>
      </w:rPr>
      <w:fldChar w:fldCharType="end"/>
    </w:r>
    <w:r w:rsidR="006D151E">
      <w:rPr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0216CC" w:rsidRDefault="006D151E" w:rsidP="000216CC">
    <w:pPr>
      <w:pStyle w:val="Footer"/>
      <w:tabs>
        <w:tab w:val="right" w:pos="9638"/>
      </w:tabs>
      <w:rPr>
        <w:b/>
        <w:sz w:val="18"/>
      </w:rPr>
    </w:pPr>
    <w:r>
      <w:tab/>
    </w:r>
    <w:r w:rsidR="00A42A18"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="00A42A18" w:rsidRPr="000216CC">
      <w:rPr>
        <w:b/>
        <w:sz w:val="18"/>
      </w:rPr>
      <w:fldChar w:fldCharType="separate"/>
    </w:r>
    <w:r w:rsidR="00D95F21">
      <w:rPr>
        <w:b/>
        <w:noProof/>
        <w:sz w:val="18"/>
      </w:rPr>
      <w:t>7</w:t>
    </w:r>
    <w:r w:rsidR="00A42A18" w:rsidRPr="000216CC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84563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3FE" w:rsidRPr="00FE33FE" w:rsidRDefault="00FE33FE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D3A39">
          <w:rPr>
            <w:b/>
            <w:noProof/>
          </w:rPr>
          <w:t>7</w:t>
        </w:r>
        <w:r w:rsidRPr="00FE33FE">
          <w:rPr>
            <w:b/>
            <w:noProof/>
          </w:rPr>
          <w:fldChar w:fldCharType="end"/>
        </w:r>
      </w:p>
    </w:sdtContent>
  </w:sdt>
  <w:p w:rsidR="006D151E" w:rsidRPr="000216CC" w:rsidRDefault="006D151E">
    <w:pPr>
      <w:pStyle w:val="Footer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202523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3FE" w:rsidRPr="00FE33FE" w:rsidRDefault="00FE33FE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D3A39">
          <w:rPr>
            <w:b/>
            <w:noProof/>
          </w:rPr>
          <w:t>9</w:t>
        </w:r>
        <w:r w:rsidRPr="00FE33FE">
          <w:rPr>
            <w:b/>
            <w:noProof/>
          </w:rPr>
          <w:fldChar w:fldCharType="end"/>
        </w:r>
      </w:p>
    </w:sdtContent>
  </w:sdt>
  <w:p w:rsidR="006D151E" w:rsidRPr="006644A1" w:rsidRDefault="006D151E" w:rsidP="0066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F" w:rsidRPr="000B175B" w:rsidRDefault="00BE49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49AF" w:rsidRPr="00FC68B7" w:rsidRDefault="00BE49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49AF" w:rsidRDefault="00BE49AF"/>
  </w:footnote>
  <w:footnote w:id="2">
    <w:p w:rsidR="006D151E" w:rsidRPr="0025236F" w:rsidRDefault="006D151E" w:rsidP="001D2518">
      <w:pPr>
        <w:pStyle w:val="FootnoteText"/>
        <w:tabs>
          <w:tab w:val="clear" w:pos="1021"/>
          <w:tab w:val="right" w:pos="851"/>
        </w:tabs>
        <w:ind w:left="0" w:firstLine="0"/>
        <w:rPr>
          <w:sz w:val="16"/>
          <w:lang w:val="fr-CA"/>
        </w:rPr>
      </w:pPr>
      <w:r w:rsidRPr="001D2518">
        <w:rPr>
          <w:rStyle w:val="FootnoteReference"/>
          <w:sz w:val="16"/>
        </w:rPr>
        <w:footnoteRef/>
      </w:r>
      <w:r w:rsidRPr="00F06BFB">
        <w:rPr>
          <w:sz w:val="16"/>
          <w:lang w:val="fr-CA"/>
        </w:rPr>
        <w:t xml:space="preserve"> </w:t>
      </w:r>
      <w:r w:rsidRPr="0025236F">
        <w:rPr>
          <w:sz w:val="16"/>
          <w:lang w:val="fr-CA"/>
        </w:rPr>
        <w:t>Pression de va</w:t>
      </w:r>
      <w:r w:rsidR="00A97D90">
        <w:rPr>
          <w:sz w:val="16"/>
          <w:lang w:val="fr-CA"/>
        </w:rPr>
        <w:t>peur</w:t>
      </w:r>
      <w:r w:rsidRPr="0025236F">
        <w:rPr>
          <w:sz w:val="16"/>
          <w:lang w:val="fr-CA"/>
        </w:rPr>
        <w:t xml:space="preserve"> réelle : </w:t>
      </w:r>
      <w:r>
        <w:rPr>
          <w:sz w:val="16"/>
          <w:lang w:val="fr-CA"/>
        </w:rPr>
        <w:t xml:space="preserve">expression utilisée pour décrire la pression exercée par un liquide à un ratio vapeur/liquide (V/L) très bas et à une température </w:t>
      </w:r>
      <w:r w:rsidR="000E345C">
        <w:rPr>
          <w:sz w:val="16"/>
          <w:lang w:val="fr-CA"/>
        </w:rPr>
        <w:t>donnée</w:t>
      </w:r>
      <w:r w:rsidRPr="0025236F">
        <w:rPr>
          <w:sz w:val="16"/>
          <w:lang w:val="fr-CA"/>
        </w:rPr>
        <w:t xml:space="preserve">; </w:t>
      </w:r>
      <w:r>
        <w:rPr>
          <w:sz w:val="16"/>
          <w:lang w:val="fr-CA"/>
        </w:rPr>
        <w:t>sur le plan empirique, un résultat pour représenter le point de bulle</w:t>
      </w:r>
      <w:r w:rsidRPr="0025236F">
        <w:rPr>
          <w:sz w:val="16"/>
          <w:lang w:val="fr-CA"/>
        </w:rPr>
        <w:t xml:space="preserve">, </w:t>
      </w:r>
      <w:r>
        <w:rPr>
          <w:sz w:val="16"/>
          <w:lang w:val="fr-CA"/>
        </w:rPr>
        <w:t>défini comme un ratio</w:t>
      </w:r>
      <w:r w:rsidRPr="0025236F">
        <w:rPr>
          <w:sz w:val="16"/>
          <w:lang w:val="fr-CA"/>
        </w:rPr>
        <w:t xml:space="preserve"> V/L </w:t>
      </w:r>
      <w:r>
        <w:rPr>
          <w:sz w:val="16"/>
          <w:lang w:val="fr-CA"/>
        </w:rPr>
        <w:t xml:space="preserve">de zéro jusqu’à </w:t>
      </w:r>
      <w:r w:rsidR="000E345C">
        <w:rPr>
          <w:sz w:val="16"/>
          <w:lang w:val="fr-CA"/>
        </w:rPr>
        <w:t>disons</w:t>
      </w:r>
      <w:r>
        <w:rPr>
          <w:sz w:val="16"/>
          <w:lang w:val="fr-CA"/>
        </w:rPr>
        <w:t xml:space="preserve"> </w:t>
      </w:r>
      <w:r w:rsidRPr="0025236F">
        <w:rPr>
          <w:sz w:val="16"/>
          <w:lang w:val="fr-CA"/>
        </w:rPr>
        <w:t>0</w:t>
      </w:r>
      <w:r w:rsidR="000E345C">
        <w:rPr>
          <w:sz w:val="16"/>
          <w:lang w:val="fr-CA"/>
        </w:rPr>
        <w:t>,</w:t>
      </w:r>
      <w:r w:rsidRPr="0025236F">
        <w:rPr>
          <w:sz w:val="16"/>
          <w:lang w:val="fr-CA"/>
        </w:rPr>
        <w:t>02 (limit</w:t>
      </w:r>
      <w:r>
        <w:rPr>
          <w:sz w:val="16"/>
          <w:lang w:val="fr-CA"/>
        </w:rPr>
        <w:t>e inférieure de méthodes d’analyse comme</w:t>
      </w:r>
      <w:r w:rsidRPr="0025236F">
        <w:rPr>
          <w:sz w:val="16"/>
          <w:lang w:val="fr-CA"/>
        </w:rPr>
        <w:t xml:space="preserve"> ASTM D6377). Source</w:t>
      </w:r>
      <w:r>
        <w:rPr>
          <w:sz w:val="16"/>
          <w:lang w:val="fr-CA"/>
        </w:rPr>
        <w:t> </w:t>
      </w:r>
      <w:r w:rsidRPr="0025236F">
        <w:rPr>
          <w:sz w:val="16"/>
          <w:lang w:val="fr-CA"/>
        </w:rPr>
        <w:t xml:space="preserve">: </w:t>
      </w:r>
      <w:hyperlink r:id="rId1" w:history="1">
        <w:r w:rsidRPr="00074C64">
          <w:rPr>
            <w:rStyle w:val="Hyperlink"/>
            <w:sz w:val="16"/>
            <w:lang w:val="fr-CA"/>
          </w:rPr>
          <w:t>http://goo.gl/0cDck</w:t>
        </w:r>
      </w:hyperlink>
      <w:r w:rsidRPr="0025236F">
        <w:rPr>
          <w:sz w:val="16"/>
          <w:lang w:val="fr-CA"/>
        </w:rPr>
        <w:t>5</w:t>
      </w:r>
    </w:p>
  </w:footnote>
  <w:footnote w:id="3">
    <w:p w:rsidR="006D151E" w:rsidRPr="00F06BFB" w:rsidRDefault="006D151E" w:rsidP="001D2518">
      <w:pPr>
        <w:pStyle w:val="FootnoteText"/>
        <w:tabs>
          <w:tab w:val="clear" w:pos="1021"/>
          <w:tab w:val="right" w:pos="851"/>
        </w:tabs>
        <w:ind w:left="0" w:firstLine="0"/>
        <w:jc w:val="left"/>
        <w:rPr>
          <w:sz w:val="16"/>
          <w:szCs w:val="16"/>
          <w:lang w:val="fr-CA"/>
        </w:rPr>
      </w:pPr>
      <w:r w:rsidRPr="0025236F">
        <w:rPr>
          <w:rStyle w:val="FootnoteReference"/>
          <w:sz w:val="16"/>
          <w:szCs w:val="16"/>
          <w:lang w:val="fr-CA"/>
        </w:rPr>
        <w:footnoteRef/>
      </w:r>
      <w:r w:rsidRPr="0025236F">
        <w:rPr>
          <w:sz w:val="16"/>
          <w:szCs w:val="16"/>
          <w:lang w:val="fr-CA"/>
        </w:rPr>
        <w:t xml:space="preserve"> Pression de vapeur Reid (PVR) : </w:t>
      </w:r>
      <w:r>
        <w:rPr>
          <w:sz w:val="16"/>
          <w:szCs w:val="16"/>
          <w:lang w:val="fr-CA"/>
        </w:rPr>
        <w:t>expression couramment définie par la méthode de détermination de la PVR</w:t>
      </w:r>
      <w:r w:rsidRPr="0025236F">
        <w:rPr>
          <w:sz w:val="16"/>
          <w:szCs w:val="16"/>
          <w:lang w:val="fr-CA"/>
        </w:rPr>
        <w:t xml:space="preserve"> ASTM D323 </w:t>
      </w:r>
      <w:r>
        <w:rPr>
          <w:sz w:val="16"/>
          <w:szCs w:val="16"/>
          <w:lang w:val="fr-CA"/>
        </w:rPr>
        <w:t>–</w:t>
      </w:r>
      <w:r w:rsidRPr="0025236F">
        <w:rPr>
          <w:sz w:val="16"/>
          <w:szCs w:val="16"/>
          <w:lang w:val="fr-CA"/>
        </w:rPr>
        <w:t xml:space="preserve"> u</w:t>
      </w:r>
      <w:r>
        <w:rPr>
          <w:sz w:val="16"/>
          <w:szCs w:val="16"/>
          <w:lang w:val="fr-CA"/>
        </w:rPr>
        <w:t xml:space="preserve">tilisée pour décrire la pression exercée par un liquide saturé en air à un </w:t>
      </w:r>
      <w:r>
        <w:rPr>
          <w:sz w:val="16"/>
          <w:lang w:val="fr-CA"/>
        </w:rPr>
        <w:t>ratio V/L de</w:t>
      </w:r>
      <w:r w:rsidRPr="0025236F">
        <w:rPr>
          <w:sz w:val="16"/>
          <w:szCs w:val="16"/>
          <w:lang w:val="fr-CA"/>
        </w:rPr>
        <w:t xml:space="preserve"> 4:1 </w:t>
      </w:r>
      <w:r>
        <w:rPr>
          <w:sz w:val="16"/>
          <w:szCs w:val="16"/>
          <w:lang w:val="fr-CA"/>
        </w:rPr>
        <w:t>à</w:t>
      </w:r>
      <w:r w:rsidRPr="0025236F">
        <w:rPr>
          <w:sz w:val="16"/>
          <w:szCs w:val="16"/>
          <w:lang w:val="fr-CA"/>
        </w:rPr>
        <w:t xml:space="preserve"> 37</w:t>
      </w:r>
      <w:r>
        <w:rPr>
          <w:sz w:val="16"/>
          <w:szCs w:val="16"/>
          <w:lang w:val="fr-CA"/>
        </w:rPr>
        <w:t>,</w:t>
      </w:r>
      <w:r w:rsidRPr="0025236F">
        <w:rPr>
          <w:sz w:val="16"/>
          <w:szCs w:val="16"/>
          <w:lang w:val="fr-CA"/>
        </w:rPr>
        <w:t>8°C. Source</w:t>
      </w:r>
      <w:r>
        <w:rPr>
          <w:sz w:val="16"/>
          <w:szCs w:val="16"/>
          <w:lang w:val="fr-CA"/>
        </w:rPr>
        <w:t> </w:t>
      </w:r>
      <w:r w:rsidRPr="0025236F">
        <w:rPr>
          <w:sz w:val="16"/>
          <w:szCs w:val="16"/>
          <w:lang w:val="fr-CA"/>
        </w:rPr>
        <w:t>: http://goo.gl/0cDck5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Pr="00D95F21" w:rsidRDefault="00B41B60">
    <w:pPr>
      <w:pStyle w:val="Header"/>
      <w:rPr>
        <w:lang w:val="fr-CH"/>
      </w:rPr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Default="00B41B60" w:rsidP="00D95F21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Default="006D151E" w:rsidP="00510EAC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92708C" w:rsidRDefault="00B41B60">
    <w:pPr>
      <w:pStyle w:val="Header"/>
      <w:rPr>
        <w:lang w:val="nl-NL"/>
      </w:rPr>
    </w:pPr>
    <w:r>
      <w:rPr>
        <w:lang w:val="nl-NL"/>
      </w:rPr>
      <w:t>UN/SCETDG/48</w:t>
    </w:r>
    <w:r w:rsidR="006D151E" w:rsidRPr="0092708C">
      <w:rPr>
        <w:lang w:val="nl-NL"/>
      </w:rPr>
      <w:t>/INF.</w:t>
    </w:r>
    <w:r>
      <w:rPr>
        <w:lang w:val="nl-NL"/>
      </w:rPr>
      <w:t>62</w:t>
    </w:r>
  </w:p>
  <w:p w:rsidR="006D151E" w:rsidRPr="00B5392B" w:rsidRDefault="00B41B60">
    <w:pPr>
      <w:pStyle w:val="Header"/>
      <w:rPr>
        <w:lang w:val="nl-NL"/>
      </w:rPr>
    </w:pPr>
    <w:r>
      <w:rPr>
        <w:lang w:val="nl-NL"/>
      </w:rPr>
      <w:t>UN/SCEGHS/30</w:t>
    </w:r>
    <w:r w:rsidR="006D151E" w:rsidRPr="0092708C">
      <w:rPr>
        <w:lang w:val="nl-NL"/>
      </w:rPr>
      <w:t>/INF.</w:t>
    </w:r>
    <w:r>
      <w:rPr>
        <w:lang w:val="nl-NL"/>
      </w:rPr>
      <w:t>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CD314C" w:rsidRDefault="006D151E" w:rsidP="000216CC">
    <w:pPr>
      <w:pStyle w:val="Header"/>
      <w:jc w:val="right"/>
      <w:rPr>
        <w:lang w:val="fr-FR"/>
      </w:rPr>
    </w:pPr>
    <w:r>
      <w:rPr>
        <w:lang w:val="fr-FR"/>
      </w:rPr>
      <w:t>UN/SCETDG/47/INF.X</w:t>
    </w:r>
    <w:r>
      <w:rPr>
        <w:lang w:val="fr-FR"/>
      </w:rPr>
      <w:br/>
      <w:t>UN/SCEGHS/29/INF.X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6644A1" w:rsidRDefault="00B41B60" w:rsidP="00FE33FE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Pr="006644A1" w:rsidRDefault="00B41B60" w:rsidP="00FE33FE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2C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1071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230AF7"/>
    <w:multiLevelType w:val="hybridMultilevel"/>
    <w:tmpl w:val="ABFA2E5A"/>
    <w:lvl w:ilvl="0" w:tplc="2EAE3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9C3C29"/>
    <w:multiLevelType w:val="multilevel"/>
    <w:tmpl w:val="F3CEC19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7E53649"/>
    <w:multiLevelType w:val="hybridMultilevel"/>
    <w:tmpl w:val="3BBCE6D6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B97A4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25A5D"/>
    <w:multiLevelType w:val="hybridMultilevel"/>
    <w:tmpl w:val="F74CB442"/>
    <w:lvl w:ilvl="0" w:tplc="DACE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C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A3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2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C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8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E7A50"/>
    <w:multiLevelType w:val="hybridMultilevel"/>
    <w:tmpl w:val="4F92F05E"/>
    <w:lvl w:ilvl="0" w:tplc="C494F334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89C7A8C"/>
    <w:multiLevelType w:val="hybridMultilevel"/>
    <w:tmpl w:val="0FD83C54"/>
    <w:lvl w:ilvl="0" w:tplc="97D67EE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3E1153B8"/>
    <w:multiLevelType w:val="hybridMultilevel"/>
    <w:tmpl w:val="33F00A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03B"/>
    <w:multiLevelType w:val="hybridMultilevel"/>
    <w:tmpl w:val="1BD86C80"/>
    <w:lvl w:ilvl="0" w:tplc="5A1A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0373"/>
    <w:multiLevelType w:val="hybridMultilevel"/>
    <w:tmpl w:val="FA869D1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4972687A"/>
    <w:multiLevelType w:val="multilevel"/>
    <w:tmpl w:val="BD644B4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>
    <w:nsid w:val="4A5A1D2A"/>
    <w:multiLevelType w:val="hybridMultilevel"/>
    <w:tmpl w:val="FEDCF398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7">
    <w:nsid w:val="540B7ADB"/>
    <w:multiLevelType w:val="hybridMultilevel"/>
    <w:tmpl w:val="62F4AEE6"/>
    <w:lvl w:ilvl="0" w:tplc="5FD0082A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9F9775E"/>
    <w:multiLevelType w:val="multilevel"/>
    <w:tmpl w:val="BD644B4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1D61E64"/>
    <w:multiLevelType w:val="hybridMultilevel"/>
    <w:tmpl w:val="CC100146"/>
    <w:lvl w:ilvl="0" w:tplc="3F5629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731FC"/>
    <w:multiLevelType w:val="hybridMultilevel"/>
    <w:tmpl w:val="8688A22E"/>
    <w:lvl w:ilvl="0" w:tplc="6CE29124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9"/>
  </w:num>
  <w:num w:numId="12">
    <w:abstractNumId w:val="14"/>
  </w:num>
  <w:num w:numId="13">
    <w:abstractNumId w:val="13"/>
  </w:num>
  <w:num w:numId="14">
    <w:abstractNumId w:val="31"/>
  </w:num>
  <w:num w:numId="15">
    <w:abstractNumId w:val="32"/>
  </w:num>
  <w:num w:numId="16">
    <w:abstractNumId w:val="26"/>
  </w:num>
  <w:num w:numId="17">
    <w:abstractNumId w:val="33"/>
  </w:num>
  <w:num w:numId="18">
    <w:abstractNumId w:val="24"/>
  </w:num>
  <w:num w:numId="19">
    <w:abstractNumId w:val="0"/>
  </w:num>
  <w:num w:numId="20">
    <w:abstractNumId w:val="16"/>
  </w:num>
  <w:num w:numId="21">
    <w:abstractNumId w:val="20"/>
  </w:num>
  <w:num w:numId="22">
    <w:abstractNumId w:val="11"/>
  </w:num>
  <w:num w:numId="23">
    <w:abstractNumId w:val="30"/>
  </w:num>
  <w:num w:numId="24">
    <w:abstractNumId w:val="27"/>
  </w:num>
  <w:num w:numId="25">
    <w:abstractNumId w:val="21"/>
  </w:num>
  <w:num w:numId="26">
    <w:abstractNumId w:val="23"/>
  </w:num>
  <w:num w:numId="27">
    <w:abstractNumId w:val="28"/>
  </w:num>
  <w:num w:numId="28">
    <w:abstractNumId w:val="17"/>
  </w:num>
  <w:num w:numId="29">
    <w:abstractNumId w:val="12"/>
  </w:num>
  <w:num w:numId="30">
    <w:abstractNumId w:val="25"/>
  </w:num>
  <w:num w:numId="31">
    <w:abstractNumId w:val="15"/>
  </w:num>
  <w:num w:numId="32">
    <w:abstractNumId w:val="19"/>
  </w:num>
  <w:num w:numId="33">
    <w:abstractNumId w:val="18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6FAE"/>
    <w:rsid w:val="000133C5"/>
    <w:rsid w:val="00014273"/>
    <w:rsid w:val="00017D24"/>
    <w:rsid w:val="000216CC"/>
    <w:rsid w:val="00036672"/>
    <w:rsid w:val="00042A6B"/>
    <w:rsid w:val="00043180"/>
    <w:rsid w:val="00044C90"/>
    <w:rsid w:val="00045D66"/>
    <w:rsid w:val="000500B7"/>
    <w:rsid w:val="000504CE"/>
    <w:rsid w:val="00050922"/>
    <w:rsid w:val="00050F6B"/>
    <w:rsid w:val="00052B6B"/>
    <w:rsid w:val="00053492"/>
    <w:rsid w:val="00055FCC"/>
    <w:rsid w:val="000563E0"/>
    <w:rsid w:val="0005710C"/>
    <w:rsid w:val="00064402"/>
    <w:rsid w:val="00067E6D"/>
    <w:rsid w:val="00072C8C"/>
    <w:rsid w:val="00073129"/>
    <w:rsid w:val="00075F99"/>
    <w:rsid w:val="00076A0A"/>
    <w:rsid w:val="0008018E"/>
    <w:rsid w:val="00082CE1"/>
    <w:rsid w:val="00083598"/>
    <w:rsid w:val="00084632"/>
    <w:rsid w:val="000866A5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3B3A"/>
    <w:rsid w:val="000B4919"/>
    <w:rsid w:val="000B7AF2"/>
    <w:rsid w:val="000C1ED8"/>
    <w:rsid w:val="000C3C99"/>
    <w:rsid w:val="000C5D4B"/>
    <w:rsid w:val="000C717F"/>
    <w:rsid w:val="000D0B8F"/>
    <w:rsid w:val="000D481F"/>
    <w:rsid w:val="000D498E"/>
    <w:rsid w:val="000D4FF5"/>
    <w:rsid w:val="000D6D97"/>
    <w:rsid w:val="000D7830"/>
    <w:rsid w:val="000E0415"/>
    <w:rsid w:val="000E345C"/>
    <w:rsid w:val="000F52D6"/>
    <w:rsid w:val="000F6A20"/>
    <w:rsid w:val="00100915"/>
    <w:rsid w:val="0010461A"/>
    <w:rsid w:val="00110889"/>
    <w:rsid w:val="00115303"/>
    <w:rsid w:val="00117787"/>
    <w:rsid w:val="00117D0D"/>
    <w:rsid w:val="00121EB7"/>
    <w:rsid w:val="001254CA"/>
    <w:rsid w:val="00131B10"/>
    <w:rsid w:val="00131D42"/>
    <w:rsid w:val="00133C50"/>
    <w:rsid w:val="001362A5"/>
    <w:rsid w:val="001406F4"/>
    <w:rsid w:val="00143CBB"/>
    <w:rsid w:val="00147DCC"/>
    <w:rsid w:val="00157489"/>
    <w:rsid w:val="0016069E"/>
    <w:rsid w:val="001633FB"/>
    <w:rsid w:val="00163A1B"/>
    <w:rsid w:val="001643FA"/>
    <w:rsid w:val="00165735"/>
    <w:rsid w:val="00167786"/>
    <w:rsid w:val="00181019"/>
    <w:rsid w:val="001835BF"/>
    <w:rsid w:val="00184B86"/>
    <w:rsid w:val="001A2005"/>
    <w:rsid w:val="001B35EE"/>
    <w:rsid w:val="001B4B04"/>
    <w:rsid w:val="001B6B72"/>
    <w:rsid w:val="001C1159"/>
    <w:rsid w:val="001C429D"/>
    <w:rsid w:val="001C6663"/>
    <w:rsid w:val="001C7895"/>
    <w:rsid w:val="001D1D05"/>
    <w:rsid w:val="001D2518"/>
    <w:rsid w:val="001D26DF"/>
    <w:rsid w:val="001D2FDC"/>
    <w:rsid w:val="001D3123"/>
    <w:rsid w:val="001D3A88"/>
    <w:rsid w:val="001D4B2D"/>
    <w:rsid w:val="001D4E70"/>
    <w:rsid w:val="001D5465"/>
    <w:rsid w:val="001E797C"/>
    <w:rsid w:val="001F7C45"/>
    <w:rsid w:val="00202EB7"/>
    <w:rsid w:val="00211B12"/>
    <w:rsid w:val="00211E0B"/>
    <w:rsid w:val="002130A3"/>
    <w:rsid w:val="0021481D"/>
    <w:rsid w:val="0021764D"/>
    <w:rsid w:val="00221589"/>
    <w:rsid w:val="00221AC2"/>
    <w:rsid w:val="00224C0D"/>
    <w:rsid w:val="00224CD9"/>
    <w:rsid w:val="002309A7"/>
    <w:rsid w:val="00235381"/>
    <w:rsid w:val="00237785"/>
    <w:rsid w:val="00241178"/>
    <w:rsid w:val="00241466"/>
    <w:rsid w:val="002440E7"/>
    <w:rsid w:val="0024477E"/>
    <w:rsid w:val="0024571F"/>
    <w:rsid w:val="00247570"/>
    <w:rsid w:val="0025236F"/>
    <w:rsid w:val="00253AB8"/>
    <w:rsid w:val="00257C1E"/>
    <w:rsid w:val="00261B71"/>
    <w:rsid w:val="002621F5"/>
    <w:rsid w:val="002708B5"/>
    <w:rsid w:val="002725CA"/>
    <w:rsid w:val="00273A92"/>
    <w:rsid w:val="00277896"/>
    <w:rsid w:val="00280EB7"/>
    <w:rsid w:val="00284D4F"/>
    <w:rsid w:val="002912A1"/>
    <w:rsid w:val="00294360"/>
    <w:rsid w:val="002943FC"/>
    <w:rsid w:val="002976CF"/>
    <w:rsid w:val="002A0BD2"/>
    <w:rsid w:val="002A5B17"/>
    <w:rsid w:val="002B067A"/>
    <w:rsid w:val="002B1514"/>
    <w:rsid w:val="002B1CDA"/>
    <w:rsid w:val="002B63F3"/>
    <w:rsid w:val="002B7765"/>
    <w:rsid w:val="002C3DE3"/>
    <w:rsid w:val="002C50D4"/>
    <w:rsid w:val="002C5E7B"/>
    <w:rsid w:val="002C7F25"/>
    <w:rsid w:val="002D5A85"/>
    <w:rsid w:val="002D5C7D"/>
    <w:rsid w:val="002D765D"/>
    <w:rsid w:val="002E35BB"/>
    <w:rsid w:val="002F4589"/>
    <w:rsid w:val="002F68FD"/>
    <w:rsid w:val="00300711"/>
    <w:rsid w:val="00305C6D"/>
    <w:rsid w:val="003107FA"/>
    <w:rsid w:val="003129A5"/>
    <w:rsid w:val="00315D73"/>
    <w:rsid w:val="00316FF9"/>
    <w:rsid w:val="00321716"/>
    <w:rsid w:val="003229D8"/>
    <w:rsid w:val="00327D0A"/>
    <w:rsid w:val="00327E5D"/>
    <w:rsid w:val="0033091A"/>
    <w:rsid w:val="00335F23"/>
    <w:rsid w:val="00344505"/>
    <w:rsid w:val="003459E8"/>
    <w:rsid w:val="003464B9"/>
    <w:rsid w:val="00350232"/>
    <w:rsid w:val="003517C3"/>
    <w:rsid w:val="00355502"/>
    <w:rsid w:val="00356BC7"/>
    <w:rsid w:val="00357A20"/>
    <w:rsid w:val="00372F06"/>
    <w:rsid w:val="00391647"/>
    <w:rsid w:val="0039277A"/>
    <w:rsid w:val="00395E4C"/>
    <w:rsid w:val="00396F6A"/>
    <w:rsid w:val="003972E0"/>
    <w:rsid w:val="003A1EC2"/>
    <w:rsid w:val="003A4158"/>
    <w:rsid w:val="003A52D7"/>
    <w:rsid w:val="003A5A16"/>
    <w:rsid w:val="003B4DBC"/>
    <w:rsid w:val="003C0657"/>
    <w:rsid w:val="003C18C9"/>
    <w:rsid w:val="003C2CC4"/>
    <w:rsid w:val="003C655D"/>
    <w:rsid w:val="003D034F"/>
    <w:rsid w:val="003D3B75"/>
    <w:rsid w:val="003D407D"/>
    <w:rsid w:val="003D4B23"/>
    <w:rsid w:val="003F23A4"/>
    <w:rsid w:val="003F3E85"/>
    <w:rsid w:val="003F5B52"/>
    <w:rsid w:val="004035E4"/>
    <w:rsid w:val="00403EC6"/>
    <w:rsid w:val="00404E6B"/>
    <w:rsid w:val="00406CD4"/>
    <w:rsid w:val="00421064"/>
    <w:rsid w:val="004213FA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70348"/>
    <w:rsid w:val="00471766"/>
    <w:rsid w:val="0048304D"/>
    <w:rsid w:val="00484A9B"/>
    <w:rsid w:val="004870D2"/>
    <w:rsid w:val="00492AF9"/>
    <w:rsid w:val="00494BF8"/>
    <w:rsid w:val="00494C77"/>
    <w:rsid w:val="00497711"/>
    <w:rsid w:val="004A7BCC"/>
    <w:rsid w:val="004B006F"/>
    <w:rsid w:val="004B2C9D"/>
    <w:rsid w:val="004B5939"/>
    <w:rsid w:val="004B73D6"/>
    <w:rsid w:val="004C352F"/>
    <w:rsid w:val="004C39D0"/>
    <w:rsid w:val="004C4F1A"/>
    <w:rsid w:val="004C6D6D"/>
    <w:rsid w:val="004D1712"/>
    <w:rsid w:val="004D69D5"/>
    <w:rsid w:val="004E0C5D"/>
    <w:rsid w:val="004E625F"/>
    <w:rsid w:val="004E783D"/>
    <w:rsid w:val="004F4240"/>
    <w:rsid w:val="004F509F"/>
    <w:rsid w:val="004F77CD"/>
    <w:rsid w:val="005026C2"/>
    <w:rsid w:val="005072EE"/>
    <w:rsid w:val="00507CF1"/>
    <w:rsid w:val="00510EAC"/>
    <w:rsid w:val="005124BA"/>
    <w:rsid w:val="00522177"/>
    <w:rsid w:val="00527910"/>
    <w:rsid w:val="005420F2"/>
    <w:rsid w:val="00542505"/>
    <w:rsid w:val="005475D4"/>
    <w:rsid w:val="00555CDB"/>
    <w:rsid w:val="00561B6D"/>
    <w:rsid w:val="00562D45"/>
    <w:rsid w:val="005638C6"/>
    <w:rsid w:val="0056615B"/>
    <w:rsid w:val="00567DFB"/>
    <w:rsid w:val="00571DAA"/>
    <w:rsid w:val="0057529F"/>
    <w:rsid w:val="0058129D"/>
    <w:rsid w:val="00584A5C"/>
    <w:rsid w:val="00590144"/>
    <w:rsid w:val="0059682C"/>
    <w:rsid w:val="005A1E4B"/>
    <w:rsid w:val="005A64DD"/>
    <w:rsid w:val="005B09F0"/>
    <w:rsid w:val="005B0CED"/>
    <w:rsid w:val="005B3DB3"/>
    <w:rsid w:val="005B528A"/>
    <w:rsid w:val="005C4CB5"/>
    <w:rsid w:val="005C6CCD"/>
    <w:rsid w:val="005D0C6C"/>
    <w:rsid w:val="005D3A39"/>
    <w:rsid w:val="005E23D6"/>
    <w:rsid w:val="005E2A3F"/>
    <w:rsid w:val="005E5946"/>
    <w:rsid w:val="005F3A39"/>
    <w:rsid w:val="005F5C2F"/>
    <w:rsid w:val="005F7BB1"/>
    <w:rsid w:val="00602490"/>
    <w:rsid w:val="00603A2B"/>
    <w:rsid w:val="00603E3C"/>
    <w:rsid w:val="00611FC4"/>
    <w:rsid w:val="006176FB"/>
    <w:rsid w:val="00621857"/>
    <w:rsid w:val="00623CFF"/>
    <w:rsid w:val="00623E67"/>
    <w:rsid w:val="00626B06"/>
    <w:rsid w:val="00627614"/>
    <w:rsid w:val="006279AC"/>
    <w:rsid w:val="0063419C"/>
    <w:rsid w:val="00635381"/>
    <w:rsid w:val="00635CD7"/>
    <w:rsid w:val="00636986"/>
    <w:rsid w:val="00637542"/>
    <w:rsid w:val="00640B26"/>
    <w:rsid w:val="00641150"/>
    <w:rsid w:val="00641194"/>
    <w:rsid w:val="0064295F"/>
    <w:rsid w:val="00644F4A"/>
    <w:rsid w:val="00645A0B"/>
    <w:rsid w:val="00646B21"/>
    <w:rsid w:val="006500BA"/>
    <w:rsid w:val="006506DB"/>
    <w:rsid w:val="00662121"/>
    <w:rsid w:val="00662E09"/>
    <w:rsid w:val="00663125"/>
    <w:rsid w:val="006644A1"/>
    <w:rsid w:val="00670CF0"/>
    <w:rsid w:val="0067381A"/>
    <w:rsid w:val="00675F87"/>
    <w:rsid w:val="00685CB8"/>
    <w:rsid w:val="00690CD6"/>
    <w:rsid w:val="006A20E5"/>
    <w:rsid w:val="006A3932"/>
    <w:rsid w:val="006A6333"/>
    <w:rsid w:val="006A63E3"/>
    <w:rsid w:val="006A7392"/>
    <w:rsid w:val="006B1C55"/>
    <w:rsid w:val="006C0D34"/>
    <w:rsid w:val="006C251B"/>
    <w:rsid w:val="006C2F7E"/>
    <w:rsid w:val="006D151E"/>
    <w:rsid w:val="006D3560"/>
    <w:rsid w:val="006E3B65"/>
    <w:rsid w:val="006E564B"/>
    <w:rsid w:val="00700D5D"/>
    <w:rsid w:val="007025C0"/>
    <w:rsid w:val="00707F04"/>
    <w:rsid w:val="00711637"/>
    <w:rsid w:val="00714F4F"/>
    <w:rsid w:val="00723A99"/>
    <w:rsid w:val="0072632A"/>
    <w:rsid w:val="00732A95"/>
    <w:rsid w:val="00736E6A"/>
    <w:rsid w:val="00741F59"/>
    <w:rsid w:val="0074697D"/>
    <w:rsid w:val="0075504A"/>
    <w:rsid w:val="00755EBE"/>
    <w:rsid w:val="00761619"/>
    <w:rsid w:val="0076177C"/>
    <w:rsid w:val="00761CFF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2D92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1CE0"/>
    <w:rsid w:val="007F2A54"/>
    <w:rsid w:val="007F4CD3"/>
    <w:rsid w:val="007F5104"/>
    <w:rsid w:val="007F6611"/>
    <w:rsid w:val="00800024"/>
    <w:rsid w:val="008002D9"/>
    <w:rsid w:val="008037A2"/>
    <w:rsid w:val="00816582"/>
    <w:rsid w:val="008175E9"/>
    <w:rsid w:val="00820A2D"/>
    <w:rsid w:val="00821F97"/>
    <w:rsid w:val="008242D7"/>
    <w:rsid w:val="00826C09"/>
    <w:rsid w:val="008272AB"/>
    <w:rsid w:val="0083043E"/>
    <w:rsid w:val="0083069A"/>
    <w:rsid w:val="00831BB9"/>
    <w:rsid w:val="00832A1D"/>
    <w:rsid w:val="00833FF0"/>
    <w:rsid w:val="00834479"/>
    <w:rsid w:val="00835AA0"/>
    <w:rsid w:val="00846809"/>
    <w:rsid w:val="00851388"/>
    <w:rsid w:val="0086107D"/>
    <w:rsid w:val="00864251"/>
    <w:rsid w:val="00871FD5"/>
    <w:rsid w:val="00881213"/>
    <w:rsid w:val="00884692"/>
    <w:rsid w:val="008979B1"/>
    <w:rsid w:val="008A0AA2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4D4"/>
    <w:rsid w:val="008C7BF7"/>
    <w:rsid w:val="008D134F"/>
    <w:rsid w:val="008D3C75"/>
    <w:rsid w:val="008D6942"/>
    <w:rsid w:val="008E0E46"/>
    <w:rsid w:val="008E1DAE"/>
    <w:rsid w:val="008E26D7"/>
    <w:rsid w:val="008E295A"/>
    <w:rsid w:val="008E7A4F"/>
    <w:rsid w:val="008F0AEF"/>
    <w:rsid w:val="008F2D9A"/>
    <w:rsid w:val="008F44B8"/>
    <w:rsid w:val="008F504A"/>
    <w:rsid w:val="00923019"/>
    <w:rsid w:val="009243A1"/>
    <w:rsid w:val="00924B63"/>
    <w:rsid w:val="0092708C"/>
    <w:rsid w:val="0092730B"/>
    <w:rsid w:val="009363B6"/>
    <w:rsid w:val="00940F46"/>
    <w:rsid w:val="00941ECC"/>
    <w:rsid w:val="00945A5D"/>
    <w:rsid w:val="00946A0D"/>
    <w:rsid w:val="00947CAC"/>
    <w:rsid w:val="00955109"/>
    <w:rsid w:val="00962D85"/>
    <w:rsid w:val="00963B67"/>
    <w:rsid w:val="00963CBA"/>
    <w:rsid w:val="009701ED"/>
    <w:rsid w:val="009725D5"/>
    <w:rsid w:val="00984471"/>
    <w:rsid w:val="00985F37"/>
    <w:rsid w:val="009879EA"/>
    <w:rsid w:val="009908A5"/>
    <w:rsid w:val="0099124E"/>
    <w:rsid w:val="00991261"/>
    <w:rsid w:val="009953D5"/>
    <w:rsid w:val="009A1D29"/>
    <w:rsid w:val="009A6C18"/>
    <w:rsid w:val="009A7577"/>
    <w:rsid w:val="009B19F1"/>
    <w:rsid w:val="009C6394"/>
    <w:rsid w:val="009D0E2A"/>
    <w:rsid w:val="009D0F0E"/>
    <w:rsid w:val="009D12EF"/>
    <w:rsid w:val="009D1AAE"/>
    <w:rsid w:val="009D634E"/>
    <w:rsid w:val="009E1560"/>
    <w:rsid w:val="009F0F06"/>
    <w:rsid w:val="009F4FC5"/>
    <w:rsid w:val="00A074A5"/>
    <w:rsid w:val="00A104DD"/>
    <w:rsid w:val="00A1427D"/>
    <w:rsid w:val="00A235F1"/>
    <w:rsid w:val="00A249F7"/>
    <w:rsid w:val="00A34B00"/>
    <w:rsid w:val="00A3777A"/>
    <w:rsid w:val="00A428B8"/>
    <w:rsid w:val="00A42A18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97D90"/>
    <w:rsid w:val="00AA1BED"/>
    <w:rsid w:val="00AA1D9A"/>
    <w:rsid w:val="00AA32EB"/>
    <w:rsid w:val="00AA4AE9"/>
    <w:rsid w:val="00AB382F"/>
    <w:rsid w:val="00AB4CF1"/>
    <w:rsid w:val="00AC1265"/>
    <w:rsid w:val="00AC260A"/>
    <w:rsid w:val="00AC735F"/>
    <w:rsid w:val="00AD53B0"/>
    <w:rsid w:val="00AD7C88"/>
    <w:rsid w:val="00AE45DE"/>
    <w:rsid w:val="00AF0878"/>
    <w:rsid w:val="00AF2F9D"/>
    <w:rsid w:val="00AF535C"/>
    <w:rsid w:val="00AF6710"/>
    <w:rsid w:val="00AF713B"/>
    <w:rsid w:val="00B013E6"/>
    <w:rsid w:val="00B04D66"/>
    <w:rsid w:val="00B10C19"/>
    <w:rsid w:val="00B1157C"/>
    <w:rsid w:val="00B1501F"/>
    <w:rsid w:val="00B22C86"/>
    <w:rsid w:val="00B26710"/>
    <w:rsid w:val="00B26B3C"/>
    <w:rsid w:val="00B30179"/>
    <w:rsid w:val="00B30C55"/>
    <w:rsid w:val="00B315F8"/>
    <w:rsid w:val="00B3317B"/>
    <w:rsid w:val="00B41384"/>
    <w:rsid w:val="00B41B60"/>
    <w:rsid w:val="00B41DF6"/>
    <w:rsid w:val="00B4398E"/>
    <w:rsid w:val="00B4412A"/>
    <w:rsid w:val="00B50DA3"/>
    <w:rsid w:val="00B5392B"/>
    <w:rsid w:val="00B610E5"/>
    <w:rsid w:val="00B656BF"/>
    <w:rsid w:val="00B67CF5"/>
    <w:rsid w:val="00B71E2B"/>
    <w:rsid w:val="00B723B4"/>
    <w:rsid w:val="00B73DA8"/>
    <w:rsid w:val="00B74F7C"/>
    <w:rsid w:val="00B75E05"/>
    <w:rsid w:val="00B81E12"/>
    <w:rsid w:val="00B84AAC"/>
    <w:rsid w:val="00B90F54"/>
    <w:rsid w:val="00B91CC3"/>
    <w:rsid w:val="00B91DA4"/>
    <w:rsid w:val="00B92A0C"/>
    <w:rsid w:val="00B93068"/>
    <w:rsid w:val="00B935F4"/>
    <w:rsid w:val="00BB176D"/>
    <w:rsid w:val="00BB3B28"/>
    <w:rsid w:val="00BB700C"/>
    <w:rsid w:val="00BC41F5"/>
    <w:rsid w:val="00BC74E9"/>
    <w:rsid w:val="00BD1540"/>
    <w:rsid w:val="00BE05CF"/>
    <w:rsid w:val="00BE1FF8"/>
    <w:rsid w:val="00BE3E33"/>
    <w:rsid w:val="00BE49AF"/>
    <w:rsid w:val="00BE50CA"/>
    <w:rsid w:val="00BE618E"/>
    <w:rsid w:val="00BF53E5"/>
    <w:rsid w:val="00C0263F"/>
    <w:rsid w:val="00C03B44"/>
    <w:rsid w:val="00C06E4E"/>
    <w:rsid w:val="00C07E4C"/>
    <w:rsid w:val="00C13A85"/>
    <w:rsid w:val="00C15B9D"/>
    <w:rsid w:val="00C21532"/>
    <w:rsid w:val="00C218A4"/>
    <w:rsid w:val="00C23758"/>
    <w:rsid w:val="00C348AE"/>
    <w:rsid w:val="00C36159"/>
    <w:rsid w:val="00C36D37"/>
    <w:rsid w:val="00C463DD"/>
    <w:rsid w:val="00C46D5B"/>
    <w:rsid w:val="00C509A4"/>
    <w:rsid w:val="00C537D5"/>
    <w:rsid w:val="00C54563"/>
    <w:rsid w:val="00C61702"/>
    <w:rsid w:val="00C62F76"/>
    <w:rsid w:val="00C66C09"/>
    <w:rsid w:val="00C66D78"/>
    <w:rsid w:val="00C745C3"/>
    <w:rsid w:val="00C80292"/>
    <w:rsid w:val="00C81212"/>
    <w:rsid w:val="00C832F5"/>
    <w:rsid w:val="00C84FF1"/>
    <w:rsid w:val="00C91180"/>
    <w:rsid w:val="00C916AA"/>
    <w:rsid w:val="00C93C11"/>
    <w:rsid w:val="00C971F6"/>
    <w:rsid w:val="00CA049C"/>
    <w:rsid w:val="00CA381C"/>
    <w:rsid w:val="00CA4CB6"/>
    <w:rsid w:val="00CA74D3"/>
    <w:rsid w:val="00CB2158"/>
    <w:rsid w:val="00CB6380"/>
    <w:rsid w:val="00CB6446"/>
    <w:rsid w:val="00CC1DA0"/>
    <w:rsid w:val="00CC4CA6"/>
    <w:rsid w:val="00CC5306"/>
    <w:rsid w:val="00CD0009"/>
    <w:rsid w:val="00CD30EE"/>
    <w:rsid w:val="00CD314C"/>
    <w:rsid w:val="00CD3225"/>
    <w:rsid w:val="00CE3F2B"/>
    <w:rsid w:val="00CE4083"/>
    <w:rsid w:val="00CE46BA"/>
    <w:rsid w:val="00CE4A8F"/>
    <w:rsid w:val="00CE525F"/>
    <w:rsid w:val="00CF6F32"/>
    <w:rsid w:val="00CF778D"/>
    <w:rsid w:val="00D0631B"/>
    <w:rsid w:val="00D06C3A"/>
    <w:rsid w:val="00D12C7C"/>
    <w:rsid w:val="00D164BA"/>
    <w:rsid w:val="00D2031B"/>
    <w:rsid w:val="00D2262E"/>
    <w:rsid w:val="00D25E8C"/>
    <w:rsid w:val="00D25FE2"/>
    <w:rsid w:val="00D27E89"/>
    <w:rsid w:val="00D37E80"/>
    <w:rsid w:val="00D43252"/>
    <w:rsid w:val="00D46231"/>
    <w:rsid w:val="00D4758F"/>
    <w:rsid w:val="00D5409C"/>
    <w:rsid w:val="00D57C13"/>
    <w:rsid w:val="00D57FD9"/>
    <w:rsid w:val="00D610C1"/>
    <w:rsid w:val="00D62640"/>
    <w:rsid w:val="00D626F7"/>
    <w:rsid w:val="00D658FA"/>
    <w:rsid w:val="00D66157"/>
    <w:rsid w:val="00D728BE"/>
    <w:rsid w:val="00D730E3"/>
    <w:rsid w:val="00D753D8"/>
    <w:rsid w:val="00D75917"/>
    <w:rsid w:val="00D95F21"/>
    <w:rsid w:val="00D96248"/>
    <w:rsid w:val="00D96CC5"/>
    <w:rsid w:val="00D978C6"/>
    <w:rsid w:val="00D97B77"/>
    <w:rsid w:val="00DA277B"/>
    <w:rsid w:val="00DA6620"/>
    <w:rsid w:val="00DA67AD"/>
    <w:rsid w:val="00DB6B88"/>
    <w:rsid w:val="00DC2FFF"/>
    <w:rsid w:val="00DC6B13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25730"/>
    <w:rsid w:val="00E34E58"/>
    <w:rsid w:val="00E36838"/>
    <w:rsid w:val="00E36C10"/>
    <w:rsid w:val="00E40B76"/>
    <w:rsid w:val="00E41F5B"/>
    <w:rsid w:val="00E42461"/>
    <w:rsid w:val="00E4443D"/>
    <w:rsid w:val="00E5227F"/>
    <w:rsid w:val="00E52EB0"/>
    <w:rsid w:val="00E54352"/>
    <w:rsid w:val="00E5644E"/>
    <w:rsid w:val="00E5691C"/>
    <w:rsid w:val="00E60395"/>
    <w:rsid w:val="00E631BA"/>
    <w:rsid w:val="00E6613A"/>
    <w:rsid w:val="00E7260F"/>
    <w:rsid w:val="00E730D8"/>
    <w:rsid w:val="00E81230"/>
    <w:rsid w:val="00E8535A"/>
    <w:rsid w:val="00E864BE"/>
    <w:rsid w:val="00E90647"/>
    <w:rsid w:val="00E91A39"/>
    <w:rsid w:val="00E936C5"/>
    <w:rsid w:val="00E96630"/>
    <w:rsid w:val="00EA0364"/>
    <w:rsid w:val="00EA48C4"/>
    <w:rsid w:val="00EA772F"/>
    <w:rsid w:val="00EB1B51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01B"/>
    <w:rsid w:val="00EC755A"/>
    <w:rsid w:val="00ED3508"/>
    <w:rsid w:val="00ED3F6F"/>
    <w:rsid w:val="00ED7A2A"/>
    <w:rsid w:val="00EE2A87"/>
    <w:rsid w:val="00EE4D59"/>
    <w:rsid w:val="00EE73C3"/>
    <w:rsid w:val="00EF1D7F"/>
    <w:rsid w:val="00EF4AAC"/>
    <w:rsid w:val="00EF660F"/>
    <w:rsid w:val="00F01C57"/>
    <w:rsid w:val="00F03FA2"/>
    <w:rsid w:val="00F05283"/>
    <w:rsid w:val="00F06BFB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1392"/>
    <w:rsid w:val="00F444E3"/>
    <w:rsid w:val="00F453C5"/>
    <w:rsid w:val="00F5087E"/>
    <w:rsid w:val="00F51BAB"/>
    <w:rsid w:val="00F535BE"/>
    <w:rsid w:val="00F54674"/>
    <w:rsid w:val="00F75E96"/>
    <w:rsid w:val="00F81A70"/>
    <w:rsid w:val="00F90AA5"/>
    <w:rsid w:val="00FA00A0"/>
    <w:rsid w:val="00FA3FB7"/>
    <w:rsid w:val="00FB580E"/>
    <w:rsid w:val="00FB5A37"/>
    <w:rsid w:val="00FB7793"/>
    <w:rsid w:val="00FC18AA"/>
    <w:rsid w:val="00FC215C"/>
    <w:rsid w:val="00FC5A68"/>
    <w:rsid w:val="00FC68B7"/>
    <w:rsid w:val="00FD2744"/>
    <w:rsid w:val="00FD3C5D"/>
    <w:rsid w:val="00FD3E70"/>
    <w:rsid w:val="00FD6B2B"/>
    <w:rsid w:val="00FE33FE"/>
    <w:rsid w:val="00FE3D3E"/>
    <w:rsid w:val="00FE3EEA"/>
    <w:rsid w:val="00FF03BB"/>
    <w:rsid w:val="00FF071A"/>
    <w:rsid w:val="00FF2843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pacing w:after="120" w:line="240" w:lineRule="atLeast"/>
        <w:ind w:left="1134" w:right="113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1CE0"/>
    <w:rPr>
      <w:rFonts w:cs="Courier New"/>
    </w:rPr>
  </w:style>
  <w:style w:type="paragraph" w:styleId="BodyText">
    <w:name w:val="Body Text"/>
    <w:basedOn w:val="Normal"/>
    <w:next w:val="Normal"/>
    <w:semiHidden/>
    <w:rsid w:val="007F1CE0"/>
  </w:style>
  <w:style w:type="paragraph" w:styleId="BodyTextIndent">
    <w:name w:val="Body Text Indent"/>
    <w:basedOn w:val="Normal"/>
    <w:semiHidden/>
    <w:rsid w:val="007F1CE0"/>
    <w:pPr>
      <w:ind w:left="283"/>
    </w:pPr>
  </w:style>
  <w:style w:type="paragraph" w:styleId="BlockText">
    <w:name w:val="Block Text"/>
    <w:basedOn w:val="Normal"/>
    <w:semiHidden/>
    <w:rsid w:val="007F1CE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sid w:val="007F1CE0"/>
    <w:rPr>
      <w:sz w:val="6"/>
    </w:rPr>
  </w:style>
  <w:style w:type="paragraph" w:styleId="CommentText">
    <w:name w:val="annotation text"/>
    <w:basedOn w:val="Normal"/>
    <w:link w:val="CommentTextChar"/>
    <w:rsid w:val="007F1CE0"/>
  </w:style>
  <w:style w:type="character" w:styleId="LineNumber">
    <w:name w:val="line number"/>
    <w:semiHidden/>
    <w:rsid w:val="007F1CE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line="480" w:lineRule="auto"/>
    </w:pPr>
  </w:style>
  <w:style w:type="paragraph" w:styleId="BodyText3">
    <w:name w:val="Body Text 3"/>
    <w:basedOn w:val="Normal"/>
    <w:semiHidden/>
    <w:rsid w:val="008A6C4F"/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ind w:left="283"/>
    </w:pPr>
  </w:style>
  <w:style w:type="paragraph" w:styleId="ListContinue2">
    <w:name w:val="List Continue 2"/>
    <w:basedOn w:val="Normal"/>
    <w:semiHidden/>
    <w:rsid w:val="008A6C4F"/>
    <w:pPr>
      <w:ind w:left="566"/>
    </w:pPr>
  </w:style>
  <w:style w:type="paragraph" w:styleId="ListContinue3">
    <w:name w:val="List Continue 3"/>
    <w:basedOn w:val="Normal"/>
    <w:semiHidden/>
    <w:rsid w:val="008A6C4F"/>
    <w:pPr>
      <w:ind w:left="849"/>
    </w:pPr>
  </w:style>
  <w:style w:type="paragraph" w:styleId="ListContinue4">
    <w:name w:val="List Continue 4"/>
    <w:basedOn w:val="Normal"/>
    <w:semiHidden/>
    <w:rsid w:val="008A6C4F"/>
    <w:pPr>
      <w:ind w:left="1132"/>
    </w:pPr>
  </w:style>
  <w:style w:type="paragraph" w:styleId="ListContinue5">
    <w:name w:val="List Continue 5"/>
    <w:basedOn w:val="Normal"/>
    <w:semiHidden/>
    <w:rsid w:val="008A6C4F"/>
    <w:pPr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pacing w:line="240" w:lineRule="auto"/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line="240" w:lineRule="auto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pacing w:line="240" w:lineRule="auto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pacing w:line="240" w:lineRule="auto"/>
    </w:pPr>
    <w:rPr>
      <w:sz w:val="22"/>
      <w:szCs w:val="24"/>
    </w:rPr>
  </w:style>
  <w:style w:type="character" w:customStyle="1" w:styleId="FooterChar">
    <w:name w:val="Footer Char"/>
    <w:aliases w:val="3_G Char"/>
    <w:link w:val="Footer"/>
    <w:uiPriority w:val="99"/>
    <w:rsid w:val="00D626F7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26F7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626F7"/>
    <w:rPr>
      <w:b/>
      <w:sz w:val="18"/>
      <w:lang w:eastAsia="en-US"/>
    </w:rPr>
  </w:style>
  <w:style w:type="table" w:customStyle="1" w:styleId="GridTable1Light1">
    <w:name w:val="Grid Table 1 Light1"/>
    <w:basedOn w:val="TableNormal"/>
    <w:uiPriority w:val="46"/>
    <w:rsid w:val="00050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nhideWhenUsed/>
    <w:qFormat/>
    <w:rsid w:val="00AA4AE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sel">
    <w:name w:val="sel"/>
    <w:basedOn w:val="DefaultParagraphFont"/>
    <w:rsid w:val="001C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pacing w:after="120" w:line="240" w:lineRule="atLeast"/>
        <w:ind w:left="1134" w:right="113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1CE0"/>
    <w:rPr>
      <w:rFonts w:cs="Courier New"/>
    </w:rPr>
  </w:style>
  <w:style w:type="paragraph" w:styleId="BodyText">
    <w:name w:val="Body Text"/>
    <w:basedOn w:val="Normal"/>
    <w:next w:val="Normal"/>
    <w:semiHidden/>
    <w:rsid w:val="007F1CE0"/>
  </w:style>
  <w:style w:type="paragraph" w:styleId="BodyTextIndent">
    <w:name w:val="Body Text Indent"/>
    <w:basedOn w:val="Normal"/>
    <w:semiHidden/>
    <w:rsid w:val="007F1CE0"/>
    <w:pPr>
      <w:ind w:left="283"/>
    </w:pPr>
  </w:style>
  <w:style w:type="paragraph" w:styleId="BlockText">
    <w:name w:val="Block Text"/>
    <w:basedOn w:val="Normal"/>
    <w:semiHidden/>
    <w:rsid w:val="007F1CE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sid w:val="007F1CE0"/>
    <w:rPr>
      <w:sz w:val="6"/>
    </w:rPr>
  </w:style>
  <w:style w:type="paragraph" w:styleId="CommentText">
    <w:name w:val="annotation text"/>
    <w:basedOn w:val="Normal"/>
    <w:link w:val="CommentTextChar"/>
    <w:rsid w:val="007F1CE0"/>
  </w:style>
  <w:style w:type="character" w:styleId="LineNumber">
    <w:name w:val="line number"/>
    <w:semiHidden/>
    <w:rsid w:val="007F1CE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line="480" w:lineRule="auto"/>
    </w:pPr>
  </w:style>
  <w:style w:type="paragraph" w:styleId="BodyText3">
    <w:name w:val="Body Text 3"/>
    <w:basedOn w:val="Normal"/>
    <w:semiHidden/>
    <w:rsid w:val="008A6C4F"/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ind w:left="283"/>
    </w:pPr>
  </w:style>
  <w:style w:type="paragraph" w:styleId="ListContinue2">
    <w:name w:val="List Continue 2"/>
    <w:basedOn w:val="Normal"/>
    <w:semiHidden/>
    <w:rsid w:val="008A6C4F"/>
    <w:pPr>
      <w:ind w:left="566"/>
    </w:pPr>
  </w:style>
  <w:style w:type="paragraph" w:styleId="ListContinue3">
    <w:name w:val="List Continue 3"/>
    <w:basedOn w:val="Normal"/>
    <w:semiHidden/>
    <w:rsid w:val="008A6C4F"/>
    <w:pPr>
      <w:ind w:left="849"/>
    </w:pPr>
  </w:style>
  <w:style w:type="paragraph" w:styleId="ListContinue4">
    <w:name w:val="List Continue 4"/>
    <w:basedOn w:val="Normal"/>
    <w:semiHidden/>
    <w:rsid w:val="008A6C4F"/>
    <w:pPr>
      <w:ind w:left="1132"/>
    </w:pPr>
  </w:style>
  <w:style w:type="paragraph" w:styleId="ListContinue5">
    <w:name w:val="List Continue 5"/>
    <w:basedOn w:val="Normal"/>
    <w:semiHidden/>
    <w:rsid w:val="008A6C4F"/>
    <w:pPr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pacing w:line="240" w:lineRule="auto"/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line="240" w:lineRule="auto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pacing w:line="240" w:lineRule="auto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pacing w:line="240" w:lineRule="auto"/>
    </w:pPr>
    <w:rPr>
      <w:sz w:val="22"/>
      <w:szCs w:val="24"/>
    </w:rPr>
  </w:style>
  <w:style w:type="character" w:customStyle="1" w:styleId="FooterChar">
    <w:name w:val="Footer Char"/>
    <w:aliases w:val="3_G Char"/>
    <w:link w:val="Footer"/>
    <w:uiPriority w:val="99"/>
    <w:rsid w:val="00D626F7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26F7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626F7"/>
    <w:rPr>
      <w:b/>
      <w:sz w:val="18"/>
      <w:lang w:eastAsia="en-US"/>
    </w:rPr>
  </w:style>
  <w:style w:type="table" w:customStyle="1" w:styleId="GridTable1Light1">
    <w:name w:val="Grid Table 1 Light1"/>
    <w:basedOn w:val="TableNormal"/>
    <w:uiPriority w:val="46"/>
    <w:rsid w:val="00050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nhideWhenUsed/>
    <w:qFormat/>
    <w:rsid w:val="00AA4AE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sel">
    <w:name w:val="sel"/>
    <w:basedOn w:val="DefaultParagraphFont"/>
    <w:rsid w:val="001C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9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0cD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Bla14</b:Tag>
    <b:SourceType>Report</b:SourceType>
    <b:Guid>{91829156-F952-45CB-AD7D-5244145DC1BB}</b:Guid>
    <b:Author>
      <b:Author>
        <b:NameList>
          <b:Person>
            <b:Last>Blackmore</b:Last>
            <b:First>T.</b:First>
            <b:Middle>Murray, D. Lemieux, A.</b:Middle>
          </b:Person>
        </b:NameList>
      </b:Author>
    </b:Author>
    <b:Title>Light Ends Composition in Dilbit and Conventional Crudes</b:Title>
    <b:Year>2014</b:Year>
    <b:Publisher>Omnicon Consultants Inc.</b:Publisher>
    <b:City>Edmonton</b:City>
    <b:RefOrder>1</b:RefOrder>
  </b:Source>
  <b:Source>
    <b:Tag>CAP14</b:Tag>
    <b:SourceType>Report</b:SourceType>
    <b:Guid>{A79A003F-43A6-4545-B733-DA70246BF4FF}</b:Guid>
    <b:Title>Crude Oil Forecast, Markets &amp; Transportation</b:Title>
    <b:Year>2014</b:Year>
    <b:City>Calgary</b:City>
    <b:Publisher>CAPP</b:Publisher>
    <b:Author>
      <b:Author>
        <b:Corporate>CAPP</b:Corporate>
      </b:Author>
    </b:Author>
    <b:RefOrder>2</b:RefOrder>
  </b:Source>
  <b:Source>
    <b:Tag>Ric13</b:Tag>
    <b:SourceType>InternetSite</b:SourceType>
    <b:Guid>{0AD65920-29B0-4816-8012-E24AE35C66EF}</b:Guid>
    <b:Title>Railcars and trucks make a comeback as mthods for shipping oil</b:Title>
    <b:Year>2013</b:Year>
    <b:Author>
      <b:Author>
        <b:NameList>
          <b:Person>
            <b:Last>Ricciotti</b:Last>
            <b:First>Lisa</b:First>
          </b:Person>
        </b:NameList>
      </b:Author>
    </b:Author>
    <b:Month>February</b:Month>
    <b:Day>18</b:Day>
    <b:InternetSiteTitle>Alberta Oil Magazine</b:InternetSiteTitle>
    <b:YearAccessed>2015</b:YearAccessed>
    <b:MonthAccessed>April</b:MonthAccessed>
    <b:DayAccessed>20</b:DayAccessed>
    <b:URL>http://www.albertaoilmagazine.com/2013/02/railcars-trucks-make-oil-comeback/</b:URL>
    <b:RefOrder>3</b:RefOrder>
  </b:Source>
  <b:Source>
    <b:Tag>Can13</b:Tag>
    <b:SourceType>DocumentFromInternetSite</b:SourceType>
    <b:Guid>{91806739-D737-498D-8EA2-BB0662D7C120}</b:Guid>
    <b:Title>CTA Issues White Paper on Transportation of Dangerous Gooods by Truck</b:Title>
    <b:Year>2013</b:Year>
    <b:Author>
      <b:Author>
        <b:Corporate>Canadian Trucking Alliance</b:Corporate>
      </b:Author>
    </b:Author>
    <b:CountryRegion>Canada</b:CountryRegion>
    <b:Month>November</b:Month>
    <b:Day>26</b:Day>
    <b:InternetSiteTitle>Canadian Trucking Alliance</b:InternetSiteTitle>
    <b:YearAccessed>2015</b:YearAccessed>
    <b:MonthAccessed>May</b:MonthAccessed>
    <b:DayAccessed>27</b:DayAccessed>
    <b:URL>http://member.cantruck.ca/imispublic/Home2/AM/ContentManagerNet/ContentDisplay.aspx?Section=Home2&amp;ContentID=13211</b:URL>
    <b:RefOrder>4</b:RefOrder>
  </b:Source>
  <b:Source>
    <b:Tag>WGB12</b:Tag>
    <b:SourceType>Report</b:SourceType>
    <b:Guid>{196FD816-3C22-448E-BBEC-2BB1E367D0F2}</b:Guid>
    <b:Title>H2S in Crude Measurement Report</b:Title>
    <b:Year>2012</b:Year>
    <b:Author>
      <b:Author>
        <b:NameList>
          <b:Person>
            <b:Last>Lywood</b:Last>
            <b:First>W.G.</b:First>
            <b:Middle>(Bill)</b:Middle>
          </b:Person>
          <b:Person>
            <b:Last>Murray</b:Last>
            <b:First>Dave</b:First>
          </b:Person>
        </b:NameList>
      </b:Author>
    </b:Author>
    <b:Publisher>Canadian Crude Quality Technical Association</b:Publisher>
    <b:City>Edmonton</b:City>
    <b:RefOrder>5</b:RefOrder>
  </b:Source>
  <b:Source>
    <b:Tag>Cru03</b:Tag>
    <b:SourceType>Report</b:SourceType>
    <b:Guid>{E5E74E3A-3984-4979-826C-BA2826B6A88D}</b:Guid>
    <b:Title>Water Measurement Subcommittee Final Discussion Paper</b:Title>
    <b:Year>2003</b:Year>
    <b:Author>
      <b:Author>
        <b:Corporate>Crude Oil Quality Association</b:Corporate>
      </b:Author>
    </b:Author>
    <b:Publisher>COQA</b:Publisher>
    <b:RefOrder>6</b:RefOrder>
  </b:Source>
  <b:Source>
    <b:Tag>CCQ14</b:Tag>
    <b:SourceType>DocumentFromInternetSite</b:SourceType>
    <b:Guid>{A5AC46D2-B64C-436D-9D2D-07B7D88546A8}</b:Guid>
    <b:Title>Analytical Methods</b:Title>
    <b:Year>2014</b:Year>
    <b:Author>
      <b:Author>
        <b:Corporate>CCQTA</b:Corporate>
      </b:Author>
    </b:Author>
    <b:InternetSiteTitle>The Canadian Crude Technical Association</b:InternetSiteTitle>
    <b:Month>05</b:Month>
    <b:Day>23</b:Day>
    <b:YearAccessed>2015</b:YearAccessed>
    <b:MonthAccessed>04</b:MonthAccessed>
    <b:DayAccessed>21</b:DayAccessed>
    <b:URL>http://www.ccqta.com/methods.php?analytical_id=19</b:URL>
    <b:RefOrder>7</b:RefOrder>
  </b:Source>
  <b:Source>
    <b:Tag>CAP142</b:Tag>
    <b:SourceType>Report</b:SourceType>
    <b:Guid>{B3F5B083-7EB7-4DDD-87A3-E7140D4D4B07}</b:Guid>
    <b:Author>
      <b:Author>
        <b:Corporate>CAPP</b:Corporate>
      </b:Author>
    </b:Author>
    <b:Title>Transporting Crude by Rail in Canada</b:Title>
    <b:Year>2014</b:Year>
    <b:Publisher>Canadian Association of Petroleum Producers</b:Publisher>
    <b:City>Calgary</b:City>
    <b:RefOrder>8</b:RefOrder>
  </b:Source>
  <b:Source>
    <b:Tag>ISO10</b:Tag>
    <b:SourceType>Report</b:SourceType>
    <b:Guid>{D95540F3-F63B-4187-AD0F-21A2DCDDF18F}</b:Guid>
    <b:Author>
      <b:Author>
        <b:Corporate>ISO</b:Corporate>
      </b:Author>
    </b:Author>
    <b:Title>ISO 10156:2010 Gases and gas mixtures - Determination of fire potential and oxidizing ability for the selection of cylinder valve outlets</b:Title>
    <b:Year>2010</b:Year>
    <b:Publisher>International Organization for Standardization</b:Publisher>
    <b:City>Switzerland</b:City>
    <b:RefOrder>9</b:RefOrder>
  </b:Source>
  <b:Source>
    <b:Tag>Whi131</b:Tag>
    <b:SourceType>Book</b:SourceType>
    <b:Guid>{4C5653A5-B331-43F5-8873-C7E6A7250819}</b:Guid>
    <b:Author>
      <b:Author>
        <b:NameList>
          <b:Person>
            <b:Last>White</b:Last>
            <b:First>E.W.</b:First>
          </b:Person>
          <b:Person>
            <b:Last>Montemayor</b:Last>
            <b:Middle>G</b:Middle>
            <b:First>R</b:First>
          </b:Person>
        </b:NameList>
      </b:Author>
    </b:Author>
    <b:Title>The Practice of Flash Point Determination:  A Laboratory Resource</b:Title>
    <b:Year>2013</b:Year>
    <b:City>West Conshohocken</b:City>
    <b:Publisher>ASTM International</b:Publisher>
    <b:RefOrder>10</b:RefOrder>
  </b:Source>
  <b:Source>
    <b:Tag>Ped89</b:Tag>
    <b:SourceType>JournalArticle</b:SourceType>
    <b:Guid>{9359CC40-863E-4AF8-9623-76B0CA7169B0}</b:Guid>
    <b:Title>Characterization of gas condensate mixtures</b:Title>
    <b:Year>1989</b:Year>
    <b:Author>
      <b:Author>
        <b:NameList>
          <b:Person>
            <b:Last>Pedersen</b:Last>
            <b:First>K.S.</b:First>
          </b:Person>
          <b:Person>
            <b:Last>Thomassen</b:Last>
            <b:First>P.</b:First>
          </b:Person>
          <b:Person>
            <b:Last>Fredenslund</b:Last>
            <b:First>A.</b:First>
          </b:Person>
        </b:NameList>
      </b:Author>
    </b:Author>
    <b:JournalName>Advances in Thermodynamics</b:JournalName>
    <b:Pages>137-152</b:Pages>
    <b:RefOrder>11</b:RefOrder>
  </b:Source>
  <b:Source>
    <b:Tag>CAP141</b:Tag>
    <b:SourceType>Report</b:SourceType>
    <b:Guid>{D323ED11-0627-46A7-A256-61341576E013}</b:Guid>
    <b:Author>
      <b:Author>
        <b:Corporate>CAPP</b:Corporate>
      </b:Author>
    </b:Author>
    <b:Title>Canadian Crude Oil Production by Major Fields</b:Title>
    <b:Year>2014</b:Year>
    <b:Publisher>Canadian Association of Petroleum Producers</b:Publisher>
    <b:City>Calgary</b:City>
    <b:RefOrder>12</b:RefOrder>
  </b:Source>
  <b:Source>
    <b:Tag>API14</b:Tag>
    <b:SourceType>Report</b:SourceType>
    <b:Guid>{F58AB11F-44F5-4086-BCF8-C104EBB3976B}</b:Guid>
    <b:Title>API RP 3000:  Classifying and Loading of Crude Oil into Rail Tank Cars</b:Title>
    <b:Year>2014</b:Year>
    <b:Author>
      <b:Author>
        <b:Corporate>API</b:Corporate>
      </b:Author>
    </b:Author>
    <b:Publisher>American Petroleum Institute</b:Publisher>
    <b:City>Washington DC</b:City>
    <b:RefOrder>13</b:RefOrder>
  </b:Source>
</b:Sources>
</file>

<file path=customXml/itemProps1.xml><?xml version="1.0" encoding="utf-8"?>
<ds:datastoreItem xmlns:ds="http://schemas.openxmlformats.org/officeDocument/2006/customXml" ds:itemID="{326D2586-4ED3-4F62-860E-88F7DCD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0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2015-12-04T07:37:00Z</cp:lastPrinted>
  <dcterms:created xsi:type="dcterms:W3CDTF">2015-12-04T12:08:00Z</dcterms:created>
  <dcterms:modified xsi:type="dcterms:W3CDTF">2015-12-04T12:08:00Z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