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99001C" w:rsidRPr="0099001C" w:rsidTr="00691F20">
        <w:trPr>
          <w:cantSplit/>
          <w:trHeight w:hRule="exact" w:val="851"/>
        </w:trPr>
        <w:tc>
          <w:tcPr>
            <w:tcW w:w="9639" w:type="dxa"/>
            <w:tcBorders>
              <w:bottom w:val="single" w:sz="4" w:space="0" w:color="auto"/>
            </w:tcBorders>
            <w:vAlign w:val="bottom"/>
          </w:tcPr>
          <w:p w:rsidR="0099001C" w:rsidRPr="0099001C" w:rsidRDefault="0099001C" w:rsidP="001B174A">
            <w:pPr>
              <w:jc w:val="right"/>
              <w:rPr>
                <w:b/>
                <w:sz w:val="40"/>
                <w:szCs w:val="40"/>
              </w:rPr>
            </w:pPr>
            <w:r w:rsidRPr="0099001C">
              <w:rPr>
                <w:b/>
                <w:sz w:val="40"/>
                <w:szCs w:val="40"/>
              </w:rPr>
              <w:t>UN/SCEGHS/</w:t>
            </w:r>
            <w:r w:rsidR="00D76708">
              <w:rPr>
                <w:b/>
                <w:sz w:val="40"/>
                <w:szCs w:val="40"/>
              </w:rPr>
              <w:t>2</w:t>
            </w:r>
            <w:r w:rsidR="00234897">
              <w:rPr>
                <w:b/>
                <w:sz w:val="40"/>
                <w:szCs w:val="40"/>
              </w:rPr>
              <w:t>9</w:t>
            </w:r>
            <w:r w:rsidRPr="0099001C">
              <w:rPr>
                <w:b/>
                <w:sz w:val="40"/>
                <w:szCs w:val="40"/>
              </w:rPr>
              <w:t>/INF.</w:t>
            </w:r>
            <w:r w:rsidR="001B174A">
              <w:rPr>
                <w:b/>
                <w:sz w:val="40"/>
                <w:szCs w:val="40"/>
              </w:rPr>
              <w:t>11</w:t>
            </w:r>
          </w:p>
        </w:tc>
      </w:tr>
      <w:tr w:rsidR="0099001C" w:rsidTr="008B6E26">
        <w:trPr>
          <w:cantSplit/>
          <w:trHeight w:hRule="exact" w:val="3114"/>
        </w:trPr>
        <w:tc>
          <w:tcPr>
            <w:tcW w:w="9639" w:type="dxa"/>
            <w:tcBorders>
              <w:top w:val="single" w:sz="4" w:space="0" w:color="auto"/>
            </w:tcBorders>
          </w:tcPr>
          <w:p w:rsidR="00A805EB" w:rsidRPr="00691F20" w:rsidRDefault="00A805EB" w:rsidP="00A805EB">
            <w:pPr>
              <w:spacing w:before="120"/>
              <w:rPr>
                <w:b/>
                <w:sz w:val="24"/>
                <w:szCs w:val="24"/>
                <w:lang w:val="en-US"/>
              </w:rPr>
            </w:pPr>
            <w:r w:rsidRPr="00691F20">
              <w:rPr>
                <w:b/>
                <w:sz w:val="24"/>
                <w:szCs w:val="24"/>
                <w:lang w:val="en-US"/>
              </w:rPr>
              <w:t>Committee of Experts on the Transport of Dangerous Goods</w:t>
            </w:r>
            <w:r w:rsidRPr="00691F20">
              <w:rPr>
                <w:b/>
                <w:sz w:val="24"/>
                <w:szCs w:val="24"/>
                <w:lang w:val="en-US"/>
              </w:rPr>
              <w:br/>
              <w:t>and on the Globally Harmonized System of Classification</w:t>
            </w:r>
            <w:r w:rsidRPr="00691F20">
              <w:rPr>
                <w:b/>
                <w:sz w:val="24"/>
                <w:szCs w:val="24"/>
                <w:lang w:val="en-US"/>
              </w:rPr>
              <w:br/>
              <w:t>and Labelling of Chemicals</w:t>
            </w:r>
          </w:p>
          <w:p w:rsidR="00FD4F7E" w:rsidRPr="009F0F06" w:rsidRDefault="00A805EB" w:rsidP="00FD4F7E">
            <w:pPr>
              <w:tabs>
                <w:tab w:val="right" w:pos="9300"/>
              </w:tabs>
              <w:spacing w:before="120"/>
              <w:rPr>
                <w:rFonts w:ascii="Helv" w:hAnsi="Helv" w:cs="Helv"/>
                <w:b/>
                <w:color w:val="000000"/>
                <w:lang w:val="en-US"/>
              </w:rPr>
            </w:pPr>
            <w:r w:rsidRPr="00691F20">
              <w:rPr>
                <w:b/>
                <w:lang w:val="en-US"/>
              </w:rPr>
              <w:t>Sub-Committee of Experts on the Globally Harmonized</w:t>
            </w:r>
            <w:r w:rsidRPr="00691F20">
              <w:rPr>
                <w:b/>
                <w:lang w:val="en-US"/>
              </w:rPr>
              <w:br/>
              <w:t>System of Classification and Labelling of Chemicals</w:t>
            </w:r>
            <w:r w:rsidR="00FD4F7E">
              <w:rPr>
                <w:b/>
                <w:lang w:val="en-US"/>
              </w:rPr>
              <w:tab/>
            </w:r>
            <w:r w:rsidR="001B174A">
              <w:rPr>
                <w:b/>
                <w:lang w:val="en-US"/>
              </w:rPr>
              <w:t xml:space="preserve">22 </w:t>
            </w:r>
            <w:r w:rsidR="00234897">
              <w:rPr>
                <w:b/>
                <w:lang w:val="en-US"/>
              </w:rPr>
              <w:t>June 2015</w:t>
            </w:r>
          </w:p>
          <w:p w:rsidR="006A7757" w:rsidRPr="006E39A4" w:rsidRDefault="006A7757" w:rsidP="006A7757">
            <w:pPr>
              <w:spacing w:before="120"/>
              <w:rPr>
                <w:b/>
              </w:rPr>
            </w:pPr>
            <w:r w:rsidRPr="006E39A4">
              <w:rPr>
                <w:b/>
              </w:rPr>
              <w:t>Twent</w:t>
            </w:r>
            <w:r>
              <w:rPr>
                <w:b/>
              </w:rPr>
              <w:t>y–</w:t>
            </w:r>
            <w:r w:rsidR="008457C4">
              <w:rPr>
                <w:b/>
              </w:rPr>
              <w:t>nin</w:t>
            </w:r>
            <w:r w:rsidR="00CA71BE">
              <w:rPr>
                <w:b/>
              </w:rPr>
              <w:t>th</w:t>
            </w:r>
            <w:r w:rsidRPr="006E39A4">
              <w:rPr>
                <w:b/>
              </w:rPr>
              <w:t xml:space="preserve"> session</w:t>
            </w:r>
          </w:p>
          <w:p w:rsidR="006A7757" w:rsidRDefault="006A7757" w:rsidP="006A7757">
            <w:r w:rsidRPr="006E39A4">
              <w:t xml:space="preserve">Geneva, </w:t>
            </w:r>
            <w:r w:rsidR="008457C4">
              <w:t>29 June – 1</w:t>
            </w:r>
            <w:r w:rsidR="00C95C8C">
              <w:t xml:space="preserve"> </w:t>
            </w:r>
            <w:r w:rsidR="008457C4">
              <w:t>July</w:t>
            </w:r>
            <w:r w:rsidR="00E70DF5" w:rsidRPr="000B4919">
              <w:t xml:space="preserve"> 201</w:t>
            </w:r>
            <w:r w:rsidR="008457C4">
              <w:t>5</w:t>
            </w:r>
          </w:p>
          <w:p w:rsidR="00D27F1E" w:rsidRPr="006E39A4" w:rsidRDefault="00D27F1E" w:rsidP="006A7757">
            <w:r w:rsidRPr="005D6F23">
              <w:t xml:space="preserve">Item </w:t>
            </w:r>
            <w:r w:rsidR="008457C4">
              <w:t>3 (a</w:t>
            </w:r>
            <w:r w:rsidR="009B2B40">
              <w:t>)</w:t>
            </w:r>
            <w:r w:rsidRPr="005D6F23">
              <w:t xml:space="preserve"> of the provisional agenda</w:t>
            </w:r>
          </w:p>
          <w:p w:rsidR="0099001C" w:rsidRDefault="00D27F1E" w:rsidP="001B174A">
            <w:pPr>
              <w:spacing w:line="240" w:lineRule="exact"/>
            </w:pPr>
            <w:r w:rsidRPr="005D6F23">
              <w:rPr>
                <w:b/>
              </w:rPr>
              <w:t xml:space="preserve">Hazard communication issues: </w:t>
            </w:r>
            <w:r w:rsidR="001B174A">
              <w:rPr>
                <w:b/>
              </w:rPr>
              <w:t>l</w:t>
            </w:r>
            <w:r w:rsidRPr="005D6F23">
              <w:rPr>
                <w:b/>
              </w:rPr>
              <w:t xml:space="preserve">abelling of small </w:t>
            </w:r>
            <w:proofErr w:type="spellStart"/>
            <w:r w:rsidRPr="005D6F23">
              <w:rPr>
                <w:b/>
              </w:rPr>
              <w:t>packagings</w:t>
            </w:r>
            <w:proofErr w:type="spellEnd"/>
            <w:r w:rsidRPr="005D6F23">
              <w:rPr>
                <w:b/>
              </w:rPr>
              <w:t xml:space="preserve"> </w:t>
            </w:r>
            <w:r w:rsidR="006A7757">
              <w:t xml:space="preserve"> </w:t>
            </w:r>
          </w:p>
        </w:tc>
      </w:tr>
    </w:tbl>
    <w:p w:rsidR="00D27F1E" w:rsidRPr="00E34939" w:rsidRDefault="0099001C" w:rsidP="00D27F1E">
      <w:pPr>
        <w:pStyle w:val="HChG"/>
        <w:rPr>
          <w:rFonts w:eastAsia="MS Mincho"/>
          <w:lang w:val="en-US" w:eastAsia="ja-JP"/>
        </w:rPr>
      </w:pPr>
      <w:r w:rsidRPr="009E7ABD">
        <w:rPr>
          <w:rFonts w:eastAsia="MS Mincho"/>
          <w:lang w:val="en-US" w:eastAsia="ja-JP"/>
        </w:rPr>
        <w:tab/>
      </w:r>
      <w:r w:rsidR="006A7757">
        <w:rPr>
          <w:rFonts w:eastAsia="MS Mincho"/>
          <w:lang w:val="en-US" w:eastAsia="ja-JP"/>
        </w:rPr>
        <w:tab/>
      </w:r>
      <w:r w:rsidR="00D27F1E" w:rsidRPr="00E34939">
        <w:rPr>
          <w:rFonts w:eastAsia="MS Mincho"/>
          <w:lang w:val="en-US" w:eastAsia="ja-JP"/>
        </w:rPr>
        <w:t xml:space="preserve">Labelling of small </w:t>
      </w:r>
      <w:proofErr w:type="spellStart"/>
      <w:r w:rsidR="00D27F1E" w:rsidRPr="00E34939">
        <w:rPr>
          <w:rFonts w:eastAsia="MS Mincho"/>
          <w:lang w:val="en-US" w:eastAsia="ja-JP"/>
        </w:rPr>
        <w:t>packagings</w:t>
      </w:r>
      <w:proofErr w:type="spellEnd"/>
    </w:p>
    <w:p w:rsidR="00D27F1E" w:rsidRPr="00E34939" w:rsidRDefault="00D27F1E" w:rsidP="00D27F1E">
      <w:pPr>
        <w:pStyle w:val="H1G"/>
        <w:rPr>
          <w:rFonts w:eastAsia="MS Mincho"/>
        </w:rPr>
      </w:pPr>
      <w:r w:rsidRPr="00E34939">
        <w:rPr>
          <w:rFonts w:eastAsia="MS Mincho"/>
        </w:rPr>
        <w:tab/>
      </w:r>
      <w:r w:rsidRPr="00E34939">
        <w:rPr>
          <w:rFonts w:eastAsia="MS Mincho"/>
        </w:rPr>
        <w:tab/>
        <w:t>Transmitted by the European Chemical Industry Council (CEFIC) on behalf of the informal correspondence group</w:t>
      </w:r>
    </w:p>
    <w:p w:rsidR="00D27F1E" w:rsidRPr="0060376C" w:rsidRDefault="00D27F1E" w:rsidP="00D27F1E">
      <w:pPr>
        <w:pStyle w:val="HChG"/>
        <w:rPr>
          <w:highlight w:val="red"/>
        </w:rPr>
      </w:pPr>
      <w:r w:rsidRPr="000C6301">
        <w:tab/>
      </w:r>
      <w:r w:rsidRPr="000C6301">
        <w:tab/>
      </w:r>
      <w:r w:rsidRPr="00A3793F">
        <w:t>Introduction</w:t>
      </w:r>
    </w:p>
    <w:p w:rsidR="00D27F1E" w:rsidRPr="001B174A" w:rsidRDefault="001B174A" w:rsidP="001B174A">
      <w:pPr>
        <w:pStyle w:val="SingleTxtG"/>
      </w:pPr>
      <w:r>
        <w:t>1.</w:t>
      </w:r>
      <w:r>
        <w:tab/>
      </w:r>
      <w:r w:rsidR="004E37FF" w:rsidRPr="001B174A">
        <w:t xml:space="preserve">After the first example illustrating some of the general principles applicable to the labelling of small </w:t>
      </w:r>
      <w:proofErr w:type="spellStart"/>
      <w:r w:rsidR="004E37FF" w:rsidRPr="001B174A">
        <w:t>packagings</w:t>
      </w:r>
      <w:proofErr w:type="spellEnd"/>
      <w:r w:rsidR="004E37FF" w:rsidRPr="001B174A">
        <w:t xml:space="preserve">, adopted by the Sub-Committee during its 28th session for inclusion in Annex 7 of the GHS, the </w:t>
      </w:r>
      <w:r w:rsidR="00D27F1E" w:rsidRPr="001B174A">
        <w:t>informal correspondence group</w:t>
      </w:r>
      <w:r w:rsidR="008C6BB1" w:rsidRPr="001B174A">
        <w:t xml:space="preserve"> proposed </w:t>
      </w:r>
      <w:r w:rsidR="009B2B40" w:rsidRPr="001B174A">
        <w:t>a</w:t>
      </w:r>
      <w:r w:rsidR="00CA71BE" w:rsidRPr="001B174A">
        <w:t xml:space="preserve"> second</w:t>
      </w:r>
      <w:r w:rsidR="00D27F1E" w:rsidRPr="001B174A">
        <w:t xml:space="preserve"> example </w:t>
      </w:r>
      <w:r w:rsidR="008C6BB1" w:rsidRPr="001B174A">
        <w:t>for the 29th session (document ST/SG/AC.10/C.4/2015</w:t>
      </w:r>
      <w:r w:rsidR="009B2B40" w:rsidRPr="001B174A">
        <w:t>/</w:t>
      </w:r>
      <w:r w:rsidR="008C6BB1" w:rsidRPr="001B174A">
        <w:t>7</w:t>
      </w:r>
      <w:r w:rsidR="009B2B40" w:rsidRPr="001B174A">
        <w:t>)</w:t>
      </w:r>
      <w:r w:rsidR="00D27F1E" w:rsidRPr="001B174A">
        <w:t>.</w:t>
      </w:r>
    </w:p>
    <w:p w:rsidR="008C6BB1" w:rsidRPr="001B174A" w:rsidRDefault="001B174A" w:rsidP="001B174A">
      <w:pPr>
        <w:pStyle w:val="SingleTxtG"/>
      </w:pPr>
      <w:r>
        <w:t>2.</w:t>
      </w:r>
      <w:r>
        <w:tab/>
      </w:r>
      <w:r w:rsidR="008C6BB1" w:rsidRPr="001B174A">
        <w:t xml:space="preserve">A third example </w:t>
      </w:r>
      <w:r w:rsidR="003D460F" w:rsidRPr="001B174A">
        <w:t xml:space="preserve">addressing </w:t>
      </w:r>
      <w:r w:rsidR="008C6BB1" w:rsidRPr="001B174A">
        <w:t>principally the requirements for sets or kits is currently being developed.</w:t>
      </w:r>
    </w:p>
    <w:p w:rsidR="00D27F1E" w:rsidRPr="00F2604F" w:rsidRDefault="00D27F1E" w:rsidP="00D27F1E">
      <w:pPr>
        <w:pStyle w:val="HChG"/>
        <w:rPr>
          <w:lang w:val="en-US"/>
        </w:rPr>
      </w:pPr>
      <w:r w:rsidRPr="00A3793F">
        <w:tab/>
      </w:r>
      <w:r w:rsidRPr="00A3793F">
        <w:tab/>
      </w:r>
      <w:r>
        <w:t xml:space="preserve">Development of </w:t>
      </w:r>
      <w:r w:rsidR="00CA71BE">
        <w:t xml:space="preserve">an example for </w:t>
      </w:r>
      <w:r w:rsidR="009E7025">
        <w:t>sets or kits</w:t>
      </w:r>
    </w:p>
    <w:p w:rsidR="009E7025" w:rsidRPr="001B174A" w:rsidRDefault="001B174A" w:rsidP="001B174A">
      <w:pPr>
        <w:pStyle w:val="SingleTxtG"/>
      </w:pPr>
      <w:r>
        <w:t>3</w:t>
      </w:r>
      <w:r w:rsidR="00D27F1E" w:rsidRPr="001B174A">
        <w:t>.</w:t>
      </w:r>
      <w:r w:rsidR="00D27F1E" w:rsidRPr="001B174A">
        <w:tab/>
      </w:r>
      <w:r w:rsidR="00B91159" w:rsidRPr="001B174A">
        <w:t>A</w:t>
      </w:r>
      <w:r w:rsidR="009E7025" w:rsidRPr="001B174A">
        <w:t xml:space="preserve"> third example </w:t>
      </w:r>
      <w:r w:rsidR="00B91159" w:rsidRPr="001B174A">
        <w:t>is proposed</w:t>
      </w:r>
      <w:r w:rsidR="00953E6A" w:rsidRPr="001B174A">
        <w:t>, with a preliminary layout,</w:t>
      </w:r>
      <w:r w:rsidR="00B91159" w:rsidRPr="001B174A">
        <w:t xml:space="preserve"> </w:t>
      </w:r>
      <w:r w:rsidR="004E37FF" w:rsidRPr="001B174A">
        <w:t xml:space="preserve">to be examined by the informal correspondence group during the 29th session </w:t>
      </w:r>
      <w:r w:rsidR="009E7025" w:rsidRPr="001B174A">
        <w:t xml:space="preserve">to acquaint the </w:t>
      </w:r>
      <w:r w:rsidR="00B91159" w:rsidRPr="001B174A">
        <w:t>group</w:t>
      </w:r>
      <w:r w:rsidR="009E7025" w:rsidRPr="001B174A">
        <w:t xml:space="preserve"> with the issues surrounding sets or kits</w:t>
      </w:r>
      <w:r w:rsidR="00953E6A" w:rsidRPr="001B174A">
        <w:t>.</w:t>
      </w:r>
      <w:r w:rsidR="009E7025" w:rsidRPr="001B174A">
        <w:t xml:space="preserve"> </w:t>
      </w:r>
    </w:p>
    <w:p w:rsidR="009E7025" w:rsidRPr="001B174A" w:rsidRDefault="001B174A" w:rsidP="001B174A">
      <w:pPr>
        <w:pStyle w:val="SingleTxtG"/>
      </w:pPr>
      <w:r>
        <w:t>4.</w:t>
      </w:r>
      <w:r>
        <w:tab/>
      </w:r>
      <w:r w:rsidR="009E7025" w:rsidRPr="001B174A">
        <w:t xml:space="preserve">A set or kit is a combination package, which includes two or more individual packages or single compartments with different components.  </w:t>
      </w:r>
    </w:p>
    <w:p w:rsidR="009E7025" w:rsidRPr="001B174A" w:rsidRDefault="001B174A" w:rsidP="001B174A">
      <w:pPr>
        <w:pStyle w:val="SingleTxtG"/>
      </w:pPr>
      <w:r>
        <w:t>5.</w:t>
      </w:r>
      <w:r>
        <w:tab/>
      </w:r>
      <w:r w:rsidR="009E7025" w:rsidRPr="001B174A">
        <w:t>Sets or kits are subject to the provisions of the GHS, if an individual package contains at least one hazardous substance, a hazardous mixture or a hazardous article.</w:t>
      </w:r>
    </w:p>
    <w:p w:rsidR="009E7025" w:rsidRPr="001B174A" w:rsidRDefault="001B174A" w:rsidP="001B174A">
      <w:pPr>
        <w:pStyle w:val="SingleTxtG"/>
      </w:pPr>
      <w:r>
        <w:t>6.</w:t>
      </w:r>
      <w:r>
        <w:tab/>
      </w:r>
      <w:r w:rsidR="009E7025" w:rsidRPr="001B174A">
        <w:t>A complete labelling of the single package can be omitted, if it can be assured that the single packages can´t be removed from the combined package</w:t>
      </w:r>
    </w:p>
    <w:p w:rsidR="009E7025" w:rsidRPr="001B174A" w:rsidRDefault="001B174A" w:rsidP="001B174A">
      <w:pPr>
        <w:pStyle w:val="SingleTxtG"/>
      </w:pPr>
      <w:r>
        <w:t>7.</w:t>
      </w:r>
      <w:r>
        <w:tab/>
      </w:r>
      <w:r w:rsidR="009E7025" w:rsidRPr="001B174A">
        <w:t xml:space="preserve">Single containers and single packages have to be named in such a way that an identification of the content is given clearly. The identification shall be reiterated on the </w:t>
      </w:r>
      <w:r w:rsidR="000023D5" w:rsidRPr="001B174A">
        <w:t xml:space="preserve">outer package </w:t>
      </w:r>
      <w:r w:rsidR="009E7025" w:rsidRPr="001B174A">
        <w:t>label, or a package leaflet which includes, at least, the labelling of the related component.</w:t>
      </w:r>
    </w:p>
    <w:p w:rsidR="004A715F" w:rsidRDefault="00D27F1E" w:rsidP="00C753EB">
      <w:pPr>
        <w:pStyle w:val="H1G"/>
      </w:pPr>
      <w:r>
        <w:br w:type="page"/>
      </w:r>
      <w:r>
        <w:lastRenderedPageBreak/>
        <w:tab/>
      </w:r>
      <w:r>
        <w:tab/>
      </w:r>
      <w:r w:rsidR="009E7025" w:rsidRPr="003C17F3">
        <w:t>Example</w:t>
      </w:r>
      <w:r w:rsidR="009E7025">
        <w:t xml:space="preserve"> 1</w:t>
      </w:r>
      <w:r w:rsidR="009E7025" w:rsidRPr="003C17F3">
        <w:t>:</w:t>
      </w:r>
      <w:r w:rsidR="00C753EB">
        <w:t xml:space="preserve"> </w:t>
      </w:r>
      <w:r w:rsidR="004A715F">
        <w:t xml:space="preserve"> </w:t>
      </w:r>
    </w:p>
    <w:p w:rsidR="009E7025" w:rsidRDefault="004A715F" w:rsidP="00C753EB">
      <w:pPr>
        <w:pStyle w:val="H1G"/>
        <w:rPr>
          <w:lang w:val="en-US"/>
        </w:rPr>
      </w:pPr>
      <w:r>
        <w:tab/>
      </w:r>
      <w:r>
        <w:tab/>
      </w:r>
      <w:r w:rsidR="009E7025">
        <w:rPr>
          <w:lang w:val="en-US"/>
        </w:rPr>
        <w:t>Standard analytical kit</w:t>
      </w:r>
    </w:p>
    <w:p w:rsidR="009E7025" w:rsidRPr="002D2DB0" w:rsidRDefault="009E7025" w:rsidP="009E7025">
      <w:pPr>
        <w:pStyle w:val="H23G"/>
        <w:rPr>
          <w:i/>
        </w:rPr>
      </w:pPr>
      <w:r>
        <w:rPr>
          <w:lang w:val="en-US"/>
        </w:rPr>
        <w:tab/>
      </w:r>
      <w:r w:rsidRPr="002D2DB0">
        <w:tab/>
      </w:r>
      <w:r>
        <w:t>Product and use</w:t>
      </w:r>
      <w:r w:rsidRPr="002D2DB0">
        <w:t xml:space="preserve">: </w:t>
      </w:r>
    </w:p>
    <w:p w:rsidR="009E7025" w:rsidRDefault="009E7025" w:rsidP="009E7025">
      <w:pPr>
        <w:spacing w:after="120"/>
        <w:ind w:left="1134" w:right="1134"/>
        <w:jc w:val="both"/>
      </w:pPr>
      <w:r>
        <w:t>Activator for professional use</w:t>
      </w:r>
    </w:p>
    <w:p w:rsidR="009E7025" w:rsidRPr="002D2DB0" w:rsidRDefault="009E7025" w:rsidP="009E7025">
      <w:pPr>
        <w:keepNext/>
        <w:keepLines/>
        <w:tabs>
          <w:tab w:val="right" w:pos="851"/>
        </w:tabs>
        <w:spacing w:before="240" w:after="120" w:line="240" w:lineRule="exact"/>
        <w:ind w:left="1134" w:right="1134" w:hanging="476"/>
        <w:outlineLvl w:val="0"/>
        <w:rPr>
          <w:b/>
          <w:lang w:val="en-US"/>
        </w:rPr>
      </w:pPr>
      <w:r w:rsidRPr="002D2DB0">
        <w:rPr>
          <w:b/>
          <w:lang w:val="en-US"/>
        </w:rPr>
        <w:tab/>
      </w:r>
      <w:r w:rsidRPr="002D2DB0">
        <w:rPr>
          <w:b/>
          <w:lang w:val="en-US"/>
        </w:rPr>
        <w:tab/>
        <w:t>Packaging description and size</w:t>
      </w:r>
    </w:p>
    <w:p w:rsidR="009E7025" w:rsidRDefault="009E7025" w:rsidP="009E7025">
      <w:pPr>
        <w:keepNext/>
        <w:keepLines/>
        <w:tabs>
          <w:tab w:val="right" w:pos="851"/>
        </w:tabs>
        <w:spacing w:before="240" w:after="120" w:line="240" w:lineRule="exact"/>
        <w:ind w:right="1134"/>
        <w:outlineLvl w:val="0"/>
      </w:pPr>
      <w:r>
        <w:t xml:space="preserve">     </w:t>
      </w:r>
    </w:p>
    <w:p w:rsidR="009E7025" w:rsidRDefault="009E7025" w:rsidP="009E7025"/>
    <w:p w:rsidR="009E7025" w:rsidRDefault="009E7025" w:rsidP="009E7025">
      <w:pPr>
        <w:rPr>
          <w:noProof/>
          <w:lang w:val="en-US"/>
        </w:rPr>
      </w:pPr>
      <w:r>
        <w:rPr>
          <w:noProof/>
          <w:lang w:val="en-US"/>
        </w:rPr>
        <w:t xml:space="preserve">           </w:t>
      </w:r>
      <w:r w:rsidR="000D5296">
        <w:rPr>
          <w:noProof/>
          <w:lang w:eastAsia="zh-CN"/>
        </w:rPr>
        <w:drawing>
          <wp:inline distT="0" distB="0" distL="0" distR="0" wp14:anchorId="36A81D63" wp14:editId="6A7C22EC">
            <wp:extent cx="1226820" cy="324612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      </w:t>
      </w:r>
      <w:r w:rsidRPr="00535C10">
        <w:rPr>
          <w:noProof/>
          <w:lang w:val="en-US"/>
        </w:rPr>
        <w:t xml:space="preserve"> </w:t>
      </w:r>
      <w:r w:rsidR="000D5296">
        <w:rPr>
          <w:noProof/>
          <w:lang w:eastAsia="zh-CN"/>
        </w:rPr>
        <w:drawing>
          <wp:inline distT="0" distB="0" distL="0" distR="0" wp14:anchorId="3754AE46" wp14:editId="46AE748B">
            <wp:extent cx="1363980" cy="22174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25" w:rsidRDefault="009E7025" w:rsidP="009E7025">
      <w:pPr>
        <w:rPr>
          <w:noProof/>
          <w:lang w:val="en-US"/>
        </w:rPr>
      </w:pPr>
    </w:p>
    <w:p w:rsidR="009E7025" w:rsidRDefault="009E7025" w:rsidP="009E7025">
      <w:pPr>
        <w:rPr>
          <w:noProof/>
          <w:lang w:val="en-US"/>
        </w:rPr>
      </w:pPr>
      <w:r>
        <w:t>Glass container with 2.5 ml capacity</w:t>
      </w:r>
      <w:r w:rsidDel="00FA1771">
        <w:t xml:space="preserve"> </w:t>
      </w:r>
      <w:r>
        <w:t xml:space="preserve">                  </w:t>
      </w:r>
      <w:r>
        <w:rPr>
          <w:noProof/>
          <w:lang w:val="en-US"/>
        </w:rPr>
        <w:t>Plastic container with 7ml capacity</w:t>
      </w:r>
    </w:p>
    <w:p w:rsidR="009E7025" w:rsidRDefault="009E7025" w:rsidP="009E7025">
      <w:pPr>
        <w:rPr>
          <w:noProof/>
          <w:lang w:val="en-US"/>
        </w:rPr>
      </w:pPr>
    </w:p>
    <w:p w:rsidR="009E7025" w:rsidRDefault="009E7025" w:rsidP="009E7025">
      <w:pPr>
        <w:rPr>
          <w:noProof/>
          <w:lang w:val="en-US"/>
        </w:rPr>
      </w:pPr>
    </w:p>
    <w:p w:rsidR="00D27F1E" w:rsidRPr="009E7025" w:rsidRDefault="00D27F1E" w:rsidP="009E7025">
      <w:pPr>
        <w:pStyle w:val="SingleTxtG"/>
        <w:rPr>
          <w:lang w:val="en-US"/>
        </w:rPr>
      </w:pPr>
    </w:p>
    <w:p w:rsidR="009E7025" w:rsidRDefault="00D27F1E" w:rsidP="009E7025">
      <w:pPr>
        <w:rPr>
          <w:noProof/>
          <w:sz w:val="28"/>
          <w:szCs w:val="28"/>
          <w:lang w:val="en-US"/>
        </w:rPr>
      </w:pPr>
      <w:r>
        <w:rPr>
          <w:b/>
        </w:rPr>
        <w:br w:type="page"/>
      </w:r>
    </w:p>
    <w:p w:rsidR="009E7025" w:rsidRPr="00C753EB" w:rsidRDefault="001B174A" w:rsidP="00C753EB">
      <w:pPr>
        <w:pStyle w:val="H1G"/>
      </w:pPr>
      <w:r w:rsidRPr="00C753EB">
        <w:lastRenderedPageBreak/>
        <w:tab/>
      </w:r>
      <w:r w:rsidRPr="00C753EB">
        <w:tab/>
      </w:r>
      <w:r w:rsidR="009E7025" w:rsidRPr="00C753EB">
        <w:t>Example 2:</w:t>
      </w:r>
      <w:bookmarkStart w:id="0" w:name="_GoBack"/>
      <w:bookmarkEnd w:id="0"/>
    </w:p>
    <w:p w:rsidR="0028745A" w:rsidRPr="00C753EB" w:rsidRDefault="001B174A" w:rsidP="00C753EB">
      <w:pPr>
        <w:pStyle w:val="H1G"/>
      </w:pPr>
      <w:r w:rsidRPr="00C753EB">
        <w:tab/>
      </w:r>
      <w:r w:rsidRPr="00C753EB">
        <w:tab/>
      </w:r>
      <w:r w:rsidR="0028745A" w:rsidRPr="00C753EB">
        <w:t>Test reagent kit</w:t>
      </w:r>
    </w:p>
    <w:p w:rsidR="0028745A" w:rsidRPr="00992907" w:rsidRDefault="001B174A" w:rsidP="001B174A">
      <w:pPr>
        <w:pStyle w:val="H23G"/>
        <w:rPr>
          <w:noProof/>
          <w:lang w:val="en-US"/>
        </w:rPr>
      </w:pPr>
      <w:r>
        <w:rPr>
          <w:noProof/>
          <w:lang w:val="en-US"/>
        </w:rPr>
        <w:tab/>
      </w:r>
      <w:r>
        <w:rPr>
          <w:noProof/>
          <w:lang w:val="en-US"/>
        </w:rPr>
        <w:tab/>
      </w:r>
      <w:r w:rsidR="0028745A" w:rsidRPr="00992907">
        <w:rPr>
          <w:noProof/>
          <w:lang w:val="en-US"/>
        </w:rPr>
        <w:t xml:space="preserve">Outer kit package holding </w:t>
      </w:r>
      <w:r w:rsidR="0028745A">
        <w:rPr>
          <w:noProof/>
          <w:lang w:val="en-US"/>
        </w:rPr>
        <w:t>approximately 130</w:t>
      </w:r>
      <w:r w:rsidR="0028745A" w:rsidRPr="00992907">
        <w:rPr>
          <w:noProof/>
          <w:lang w:val="en-US"/>
        </w:rPr>
        <w:t xml:space="preserve"> inner packagings, each containing a different substance or mixture</w:t>
      </w:r>
    </w:p>
    <w:p w:rsidR="009E7025" w:rsidRPr="002A0C12" w:rsidRDefault="009E7025" w:rsidP="009E7025">
      <w:pPr>
        <w:rPr>
          <w:noProof/>
          <w:sz w:val="28"/>
          <w:szCs w:val="28"/>
          <w:lang w:val="en-US"/>
        </w:rPr>
      </w:pPr>
    </w:p>
    <w:p w:rsidR="009E7025" w:rsidRDefault="009E7025" w:rsidP="009E7025">
      <w:pPr>
        <w:rPr>
          <w:noProof/>
          <w:lang w:val="en-US"/>
        </w:rPr>
      </w:pPr>
    </w:p>
    <w:p w:rsidR="009E7025" w:rsidRDefault="000D5296" w:rsidP="009E7025">
      <w:pPr>
        <w:rPr>
          <w:noProof/>
          <w:lang w:val="en-US"/>
        </w:rPr>
      </w:pPr>
      <w:r>
        <w:rPr>
          <w:noProof/>
          <w:lang w:eastAsia="zh-CN"/>
        </w:rPr>
        <w:drawing>
          <wp:inline distT="0" distB="0" distL="0" distR="0">
            <wp:extent cx="2750820" cy="2956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25">
        <w:rPr>
          <w:noProof/>
          <w:lang w:val="en-US"/>
        </w:rPr>
        <w:t xml:space="preserve">         </w:t>
      </w:r>
      <w:r w:rsidR="009E7025" w:rsidRPr="008C6117">
        <w:rPr>
          <w:noProof/>
          <w:lang w:val="en-US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2865120" cy="2964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25" w:rsidRDefault="009E7025" w:rsidP="009E7025">
      <w:pPr>
        <w:rPr>
          <w:noProof/>
          <w:lang w:val="en-US"/>
        </w:rPr>
      </w:pPr>
    </w:p>
    <w:p w:rsidR="009E7025" w:rsidRPr="002D2DB0" w:rsidRDefault="009E7025" w:rsidP="00C753EB">
      <w:pPr>
        <w:pStyle w:val="HChG"/>
        <w:rPr>
          <w:lang w:val="en-US"/>
        </w:rPr>
      </w:pPr>
      <w:r w:rsidRPr="002D2DB0">
        <w:rPr>
          <w:lang w:val="en-US"/>
        </w:rPr>
        <w:tab/>
      </w:r>
      <w:r w:rsidR="001B174A">
        <w:rPr>
          <w:lang w:val="en-US"/>
        </w:rPr>
        <w:tab/>
      </w:r>
      <w:r w:rsidRPr="002D2DB0">
        <w:rPr>
          <w:lang w:val="en-US"/>
        </w:rPr>
        <w:t>Labelling problems encountered</w:t>
      </w:r>
    </w:p>
    <w:p w:rsidR="0028745A" w:rsidRDefault="00C753EB" w:rsidP="001B174A">
      <w:pPr>
        <w:pStyle w:val="SingleTxtG"/>
        <w:rPr>
          <w:lang w:val="en-US"/>
        </w:rPr>
      </w:pPr>
      <w:r>
        <w:rPr>
          <w:lang w:val="en-US"/>
        </w:rPr>
        <w:t>8.</w:t>
      </w:r>
      <w:r>
        <w:rPr>
          <w:lang w:val="en-US"/>
        </w:rPr>
        <w:tab/>
      </w:r>
      <w:r w:rsidR="009E7025">
        <w:rPr>
          <w:lang w:val="en-US"/>
        </w:rPr>
        <w:t>The product</w:t>
      </w:r>
      <w:r w:rsidR="00084FC8">
        <w:rPr>
          <w:lang w:val="en-US"/>
        </w:rPr>
        <w:t>s/kits</w:t>
      </w:r>
      <w:r w:rsidR="009E7025">
        <w:rPr>
          <w:lang w:val="en-US"/>
        </w:rPr>
        <w:t xml:space="preserve"> </w:t>
      </w:r>
      <w:r w:rsidR="00084FC8">
        <w:rPr>
          <w:lang w:val="en-US"/>
        </w:rPr>
        <w:t>contain lot of different single substances or mixtures which are</w:t>
      </w:r>
      <w:r w:rsidR="009E7025">
        <w:rPr>
          <w:lang w:val="en-US"/>
        </w:rPr>
        <w:t xml:space="preserve"> required to carry a large number of </w:t>
      </w:r>
      <w:r w:rsidR="00084FC8">
        <w:rPr>
          <w:lang w:val="en-US"/>
        </w:rPr>
        <w:t xml:space="preserve">different </w:t>
      </w:r>
      <w:r w:rsidR="009E7025">
        <w:rPr>
          <w:lang w:val="en-US"/>
        </w:rPr>
        <w:t xml:space="preserve">GHS label elements (multiple pictograms, hazard statements and numerous precautionary statements). </w:t>
      </w:r>
    </w:p>
    <w:p w:rsidR="009E7025" w:rsidRDefault="00C753EB" w:rsidP="001B174A">
      <w:pPr>
        <w:pStyle w:val="SingleTxtG"/>
        <w:rPr>
          <w:lang w:val="en-US"/>
        </w:rPr>
      </w:pPr>
      <w:r>
        <w:rPr>
          <w:lang w:val="en-US"/>
        </w:rPr>
        <w:t>9.</w:t>
      </w:r>
      <w:r>
        <w:rPr>
          <w:lang w:val="en-US"/>
        </w:rPr>
        <w:tab/>
      </w:r>
      <w:r w:rsidR="0028745A">
        <w:rPr>
          <w:lang w:val="en-US"/>
        </w:rPr>
        <w:t xml:space="preserve">In both examples the inner </w:t>
      </w:r>
      <w:proofErr w:type="spellStart"/>
      <w:r w:rsidR="0028745A">
        <w:rPr>
          <w:lang w:val="en-US"/>
        </w:rPr>
        <w:t>packagings</w:t>
      </w:r>
      <w:proofErr w:type="spellEnd"/>
      <w:r w:rsidR="0028745A">
        <w:rPr>
          <w:lang w:val="en-US"/>
        </w:rPr>
        <w:t xml:space="preserve"> are too small to display full labelling information. In each case the outer package needs to display and clearly identify the labelling information for all of the individual inner </w:t>
      </w:r>
      <w:proofErr w:type="spellStart"/>
      <w:r w:rsidR="0028745A">
        <w:rPr>
          <w:lang w:val="en-US"/>
        </w:rPr>
        <w:t>packagings</w:t>
      </w:r>
      <w:proofErr w:type="spellEnd"/>
      <w:r w:rsidR="0028745A">
        <w:rPr>
          <w:lang w:val="en-US"/>
        </w:rPr>
        <w:t xml:space="preserve"> contained within it.</w:t>
      </w:r>
    </w:p>
    <w:p w:rsidR="009E7025" w:rsidRPr="00B44F0C" w:rsidRDefault="009E7025" w:rsidP="009E7025">
      <w:pPr>
        <w:spacing w:after="120"/>
        <w:ind w:right="1134"/>
        <w:jc w:val="both"/>
        <w:rPr>
          <w:b/>
          <w:lang w:val="en-US"/>
        </w:rPr>
      </w:pPr>
    </w:p>
    <w:p w:rsidR="009E7025" w:rsidRDefault="001B174A" w:rsidP="001B174A">
      <w:pPr>
        <w:pStyle w:val="HChG"/>
      </w:pPr>
      <w:r>
        <w:rPr>
          <w:lang w:val="en-US"/>
        </w:rPr>
        <w:tab/>
      </w:r>
      <w:r>
        <w:rPr>
          <w:lang w:val="en-US"/>
        </w:rPr>
        <w:tab/>
      </w:r>
      <w:r w:rsidR="009E7025" w:rsidRPr="00B32F12">
        <w:rPr>
          <w:lang w:val="en-US"/>
        </w:rPr>
        <w:t>Proposed/suggested solution</w:t>
      </w:r>
      <w:r w:rsidR="009E7025" w:rsidRPr="00B32F12">
        <w:t xml:space="preserve"> </w:t>
      </w:r>
    </w:p>
    <w:p w:rsidR="00001F1E" w:rsidRDefault="001B174A" w:rsidP="00C753EB">
      <w:pPr>
        <w:pStyle w:val="H1G"/>
      </w:pPr>
      <w:r>
        <w:tab/>
      </w:r>
      <w:r>
        <w:tab/>
      </w:r>
      <w:r w:rsidR="00001F1E">
        <w:t>Option 1 for kits with up to 5 inners</w:t>
      </w:r>
    </w:p>
    <w:p w:rsidR="00BE0F06" w:rsidRDefault="000D5296" w:rsidP="00D27F1E">
      <w:pPr>
        <w:spacing w:after="120"/>
        <w:ind w:left="1134" w:right="1134"/>
        <w:jc w:val="both"/>
        <w:rPr>
          <w:lang w:val="en-US"/>
        </w:rPr>
      </w:pPr>
      <w:r>
        <w:rPr>
          <w:noProof/>
          <w:lang w:eastAsia="zh-CN"/>
        </w:rPr>
        <w:drawing>
          <wp:inline distT="0" distB="0" distL="0" distR="0">
            <wp:extent cx="5325466" cy="455500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17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E7" w:rsidRDefault="000D5296" w:rsidP="00C753EB">
      <w:pPr>
        <w:spacing w:after="120"/>
        <w:ind w:right="1134"/>
        <w:jc w:val="center"/>
      </w:pPr>
      <w:r>
        <w:rPr>
          <w:noProof/>
          <w:lang w:eastAsia="zh-CN"/>
        </w:rPr>
        <w:drawing>
          <wp:inline distT="0" distB="0" distL="0" distR="0">
            <wp:extent cx="3078480" cy="57683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F3" w:rsidRDefault="001A36F3" w:rsidP="009B2B40">
      <w:pPr>
        <w:spacing w:after="120"/>
        <w:ind w:right="1134"/>
        <w:jc w:val="both"/>
        <w:rPr>
          <w:b/>
        </w:rPr>
      </w:pPr>
    </w:p>
    <w:p w:rsidR="001A36F3" w:rsidRDefault="001A36F3" w:rsidP="009B2B40">
      <w:pPr>
        <w:spacing w:after="120"/>
        <w:ind w:right="1134"/>
        <w:jc w:val="both"/>
        <w:rPr>
          <w:b/>
        </w:rPr>
      </w:pPr>
    </w:p>
    <w:p w:rsidR="001A36F3" w:rsidRPr="005C5664" w:rsidRDefault="001B174A" w:rsidP="001B174A">
      <w:pPr>
        <w:pStyle w:val="HChG"/>
      </w:pPr>
      <w:r>
        <w:tab/>
      </w:r>
      <w:r>
        <w:tab/>
      </w:r>
      <w:r w:rsidR="001A36F3" w:rsidRPr="005C5664">
        <w:t xml:space="preserve">Option 2 for kits with </w:t>
      </w:r>
      <w:r w:rsidR="002958A2">
        <w:t>more than</w:t>
      </w:r>
      <w:r w:rsidR="001A36F3">
        <w:t xml:space="preserve"> </w:t>
      </w:r>
      <w:r w:rsidR="001A36F3" w:rsidRPr="005C5664">
        <w:t>5 inners</w:t>
      </w:r>
    </w:p>
    <w:p w:rsidR="001A36F3" w:rsidRPr="00FE316F" w:rsidRDefault="000D5296" w:rsidP="00C753EB">
      <w:pPr>
        <w:spacing w:after="120"/>
        <w:ind w:left="1134" w:right="1134"/>
        <w:jc w:val="center"/>
        <w:rPr>
          <w:lang w:val="en-US"/>
        </w:rPr>
      </w:pPr>
      <w:r>
        <w:rPr>
          <w:noProof/>
          <w:lang w:eastAsia="zh-CN"/>
        </w:rPr>
        <w:drawing>
          <wp:inline distT="0" distB="0" distL="0" distR="0">
            <wp:extent cx="5212080" cy="47320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1E" w:rsidRDefault="000D5296" w:rsidP="00C753EB">
      <w:pPr>
        <w:spacing w:before="240"/>
        <w:ind w:left="1134" w:right="1134"/>
        <w:jc w:val="center"/>
        <w:rPr>
          <w:u w:val="single"/>
          <w:lang w:val="en-US"/>
        </w:rPr>
      </w:pPr>
      <w:r>
        <w:rPr>
          <w:b/>
          <w:noProof/>
          <w:lang w:eastAsia="zh-CN"/>
        </w:rPr>
        <w:drawing>
          <wp:inline distT="0" distB="0" distL="0" distR="0" wp14:anchorId="222EE8B5" wp14:editId="7CA22F62">
            <wp:extent cx="2514616" cy="260421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81" cy="26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4A" w:rsidRPr="00D27F1E" w:rsidRDefault="001B174A" w:rsidP="00D27F1E">
      <w:pPr>
        <w:spacing w:before="240"/>
        <w:ind w:left="1134" w:right="1134"/>
        <w:jc w:val="center"/>
        <w:rPr>
          <w:u w:val="single"/>
          <w:lang w:val="en-AU" w:eastAsia="en-AU"/>
        </w:rPr>
      </w:pP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sectPr w:rsidR="001B174A" w:rsidRPr="00D27F1E" w:rsidSect="0099001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8CB" w:rsidRDefault="001368CB"/>
  </w:endnote>
  <w:endnote w:type="continuationSeparator" w:id="0">
    <w:p w:rsidR="001368CB" w:rsidRDefault="001368CB"/>
  </w:endnote>
  <w:endnote w:type="continuationNotice" w:id="1">
    <w:p w:rsidR="001368CB" w:rsidRDefault="001368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Condense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757" w:rsidRPr="0099001C" w:rsidRDefault="002110F3" w:rsidP="0099001C">
    <w:pPr>
      <w:pStyle w:val="Footer"/>
      <w:tabs>
        <w:tab w:val="right" w:pos="9638"/>
      </w:tabs>
      <w:rPr>
        <w:sz w:val="18"/>
      </w:rPr>
    </w:pPr>
    <w:r w:rsidRPr="0099001C">
      <w:rPr>
        <w:b/>
        <w:sz w:val="18"/>
      </w:rPr>
      <w:fldChar w:fldCharType="begin"/>
    </w:r>
    <w:r w:rsidR="006A7757" w:rsidRPr="0099001C">
      <w:rPr>
        <w:b/>
        <w:sz w:val="18"/>
      </w:rPr>
      <w:instrText xml:space="preserve"> PAGE  \* MERGEFORMAT </w:instrText>
    </w:r>
    <w:r w:rsidRPr="0099001C">
      <w:rPr>
        <w:b/>
        <w:sz w:val="18"/>
      </w:rPr>
      <w:fldChar w:fldCharType="separate"/>
    </w:r>
    <w:r w:rsidR="004A715F">
      <w:rPr>
        <w:b/>
        <w:noProof/>
        <w:sz w:val="18"/>
      </w:rPr>
      <w:t>6</w:t>
    </w:r>
    <w:r w:rsidRPr="0099001C">
      <w:rPr>
        <w:b/>
        <w:sz w:val="18"/>
      </w:rPr>
      <w:fldChar w:fldCharType="end"/>
    </w:r>
    <w:r w:rsidR="006A7757">
      <w:rPr>
        <w:sz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757" w:rsidRPr="0099001C" w:rsidRDefault="006A7757" w:rsidP="0099001C">
    <w:pPr>
      <w:pStyle w:val="Footer"/>
      <w:tabs>
        <w:tab w:val="right" w:pos="9638"/>
      </w:tabs>
      <w:rPr>
        <w:b/>
        <w:sz w:val="18"/>
      </w:rPr>
    </w:pPr>
    <w:r>
      <w:tab/>
    </w:r>
    <w:r w:rsidR="002110F3" w:rsidRPr="0099001C">
      <w:rPr>
        <w:b/>
        <w:sz w:val="18"/>
      </w:rPr>
      <w:fldChar w:fldCharType="begin"/>
    </w:r>
    <w:r w:rsidRPr="0099001C">
      <w:rPr>
        <w:b/>
        <w:sz w:val="18"/>
      </w:rPr>
      <w:instrText xml:space="preserve"> PAGE  \* MERGEFORMAT </w:instrText>
    </w:r>
    <w:r w:rsidR="002110F3" w:rsidRPr="0099001C">
      <w:rPr>
        <w:b/>
        <w:sz w:val="18"/>
      </w:rPr>
      <w:fldChar w:fldCharType="separate"/>
    </w:r>
    <w:r w:rsidR="004A715F">
      <w:rPr>
        <w:b/>
        <w:noProof/>
        <w:sz w:val="18"/>
      </w:rPr>
      <w:t>5</w:t>
    </w:r>
    <w:r w:rsidR="002110F3" w:rsidRPr="0099001C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757" w:rsidRPr="0099001C" w:rsidRDefault="000D5296">
    <w:r>
      <w:rPr>
        <w:noProof/>
        <w:lang w:eastAsia="zh-CN"/>
      </w:rPr>
      <w:drawing>
        <wp:anchor distT="0" distB="0" distL="114300" distR="114300" simplePos="0" relativeHeight="251657728" behindDoc="0" locked="1" layoutInCell="1" allowOverlap="1">
          <wp:simplePos x="0" y="0"/>
          <wp:positionH relativeFrom="column">
            <wp:posOffset>5148580</wp:posOffset>
          </wp:positionH>
          <wp:positionV relativeFrom="paragraph">
            <wp:posOffset>-79375</wp:posOffset>
          </wp:positionV>
          <wp:extent cx="930275" cy="230505"/>
          <wp:effectExtent l="0" t="0" r="3175" b="0"/>
          <wp:wrapNone/>
          <wp:docPr id="1" name="Picture 1" descr="recycle_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ycle_Engli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230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8CB" w:rsidRPr="000B175B" w:rsidRDefault="001368CB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1368CB" w:rsidRPr="00FC68B7" w:rsidRDefault="001368CB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1368CB" w:rsidRDefault="001368C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757" w:rsidRPr="0099001C" w:rsidRDefault="006A7757" w:rsidP="00366CA7">
    <w:pPr>
      <w:pStyle w:val="Header"/>
    </w:pPr>
    <w:r>
      <w:t>UN/SCEGHS/2</w:t>
    </w:r>
    <w:r w:rsidR="00B524A3">
      <w:t>9</w:t>
    </w:r>
    <w:r>
      <w:t>/INF.</w:t>
    </w:r>
    <w:r w:rsidR="001B174A">
      <w:t>11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757" w:rsidRPr="0099001C" w:rsidRDefault="006A7757" w:rsidP="0099001C">
    <w:pPr>
      <w:pStyle w:val="Header"/>
      <w:jc w:val="right"/>
    </w:pPr>
    <w:r>
      <w:t>UN/SCEGHS/2</w:t>
    </w:r>
    <w:r w:rsidR="00B524A3">
      <w:t>9</w:t>
    </w:r>
    <w:r>
      <w:t>/INF.</w:t>
    </w:r>
    <w:r w:rsidR="001B174A">
      <w:t>11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74A" w:rsidRDefault="001B17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036B"/>
    <w:multiLevelType w:val="hybridMultilevel"/>
    <w:tmpl w:val="B22E0BFA"/>
    <w:lvl w:ilvl="0" w:tplc="9008FA9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7E4637"/>
    <w:multiLevelType w:val="hybridMultilevel"/>
    <w:tmpl w:val="CC8CADBE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5D8B57E3"/>
    <w:multiLevelType w:val="hybridMultilevel"/>
    <w:tmpl w:val="D50020B0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68862366"/>
    <w:multiLevelType w:val="hybridMultilevel"/>
    <w:tmpl w:val="523E6D94"/>
    <w:lvl w:ilvl="0" w:tplc="E24C15DA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16617F"/>
    <w:multiLevelType w:val="hybridMultilevel"/>
    <w:tmpl w:val="12D84306"/>
    <w:lvl w:ilvl="0" w:tplc="8412143C">
      <w:start w:val="1"/>
      <w:numFmt w:val="bullet"/>
      <w:lvlText w:val="-"/>
      <w:lvlJc w:val="left"/>
      <w:pPr>
        <w:ind w:left="1854" w:hanging="360"/>
      </w:pPr>
      <w:rPr>
        <w:rFonts w:ascii="Helvetica Condensed" w:hAnsi="Helvetica Condensed" w:hint="default"/>
        <w:b/>
        <w:i w:val="0"/>
        <w:color w:val="43A642"/>
        <w:sz w:val="24"/>
        <w:szCs w:val="20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7D0D4046"/>
    <w:multiLevelType w:val="hybridMultilevel"/>
    <w:tmpl w:val="F16EC928"/>
    <w:lvl w:ilvl="0" w:tplc="5B1E04AE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style="v-text-anchor:middle" fillcolor="#5b9bd5" strokecolor="#41719c">
      <v:fill color="#5b9bd5"/>
      <v:stroke color="#41719c" weight="1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01C"/>
    <w:rsid w:val="00001F1E"/>
    <w:rsid w:val="000023D5"/>
    <w:rsid w:val="00002EFA"/>
    <w:rsid w:val="00033B3D"/>
    <w:rsid w:val="00050F6B"/>
    <w:rsid w:val="00072C8C"/>
    <w:rsid w:val="00081647"/>
    <w:rsid w:val="00084FC8"/>
    <w:rsid w:val="000931C0"/>
    <w:rsid w:val="000B175B"/>
    <w:rsid w:val="000B3A0F"/>
    <w:rsid w:val="000C6544"/>
    <w:rsid w:val="000D5296"/>
    <w:rsid w:val="000E0415"/>
    <w:rsid w:val="000F39D2"/>
    <w:rsid w:val="001220B8"/>
    <w:rsid w:val="00124B52"/>
    <w:rsid w:val="001368CB"/>
    <w:rsid w:val="001536CA"/>
    <w:rsid w:val="00156F3C"/>
    <w:rsid w:val="00162BF7"/>
    <w:rsid w:val="00185B3B"/>
    <w:rsid w:val="00190AEA"/>
    <w:rsid w:val="00192EF8"/>
    <w:rsid w:val="001A36F3"/>
    <w:rsid w:val="001B174A"/>
    <w:rsid w:val="001B4B04"/>
    <w:rsid w:val="001C1B97"/>
    <w:rsid w:val="001C5851"/>
    <w:rsid w:val="001C6663"/>
    <w:rsid w:val="001C7895"/>
    <w:rsid w:val="001C7D58"/>
    <w:rsid w:val="001D26DF"/>
    <w:rsid w:val="001E47FD"/>
    <w:rsid w:val="002110F3"/>
    <w:rsid w:val="00211E0B"/>
    <w:rsid w:val="00231C94"/>
    <w:rsid w:val="00234897"/>
    <w:rsid w:val="002405A7"/>
    <w:rsid w:val="002524A6"/>
    <w:rsid w:val="00257E45"/>
    <w:rsid w:val="00262488"/>
    <w:rsid w:val="0028745A"/>
    <w:rsid w:val="002958A2"/>
    <w:rsid w:val="002B45B7"/>
    <w:rsid w:val="002D59D3"/>
    <w:rsid w:val="003107FA"/>
    <w:rsid w:val="003127A2"/>
    <w:rsid w:val="003229D8"/>
    <w:rsid w:val="0033745A"/>
    <w:rsid w:val="00366CA7"/>
    <w:rsid w:val="0039277A"/>
    <w:rsid w:val="003972E0"/>
    <w:rsid w:val="003C2CC4"/>
    <w:rsid w:val="003C3936"/>
    <w:rsid w:val="003D460F"/>
    <w:rsid w:val="003D4B23"/>
    <w:rsid w:val="003F1ED3"/>
    <w:rsid w:val="004325CB"/>
    <w:rsid w:val="00446DE4"/>
    <w:rsid w:val="00460DD9"/>
    <w:rsid w:val="00463FE7"/>
    <w:rsid w:val="004A0EC2"/>
    <w:rsid w:val="004A41CA"/>
    <w:rsid w:val="004A715F"/>
    <w:rsid w:val="004E37FF"/>
    <w:rsid w:val="00503228"/>
    <w:rsid w:val="00505384"/>
    <w:rsid w:val="00505813"/>
    <w:rsid w:val="00532EF8"/>
    <w:rsid w:val="005420F2"/>
    <w:rsid w:val="005A49C5"/>
    <w:rsid w:val="005B2C89"/>
    <w:rsid w:val="005B3DB3"/>
    <w:rsid w:val="00611FC4"/>
    <w:rsid w:val="006176FB"/>
    <w:rsid w:val="00627ED0"/>
    <w:rsid w:val="00640B26"/>
    <w:rsid w:val="00665595"/>
    <w:rsid w:val="00681656"/>
    <w:rsid w:val="00691F20"/>
    <w:rsid w:val="00693543"/>
    <w:rsid w:val="006A1E32"/>
    <w:rsid w:val="006A7392"/>
    <w:rsid w:val="006A7757"/>
    <w:rsid w:val="006E564B"/>
    <w:rsid w:val="006F1FDE"/>
    <w:rsid w:val="0071349F"/>
    <w:rsid w:val="00713CD9"/>
    <w:rsid w:val="00720DEB"/>
    <w:rsid w:val="0072632A"/>
    <w:rsid w:val="00733AAE"/>
    <w:rsid w:val="00781A60"/>
    <w:rsid w:val="007A0ED9"/>
    <w:rsid w:val="007B6BA5"/>
    <w:rsid w:val="007C3390"/>
    <w:rsid w:val="007C4F4B"/>
    <w:rsid w:val="007F0B83"/>
    <w:rsid w:val="007F48EF"/>
    <w:rsid w:val="007F4FCD"/>
    <w:rsid w:val="007F6611"/>
    <w:rsid w:val="0081732C"/>
    <w:rsid w:val="008175E9"/>
    <w:rsid w:val="008242D7"/>
    <w:rsid w:val="00827E05"/>
    <w:rsid w:val="008311A3"/>
    <w:rsid w:val="00836AF7"/>
    <w:rsid w:val="008457C4"/>
    <w:rsid w:val="00871FD5"/>
    <w:rsid w:val="008979B1"/>
    <w:rsid w:val="008A6B25"/>
    <w:rsid w:val="008A6C4F"/>
    <w:rsid w:val="008B6E26"/>
    <w:rsid w:val="008C6BB1"/>
    <w:rsid w:val="008E0E46"/>
    <w:rsid w:val="008E4C4C"/>
    <w:rsid w:val="00905784"/>
    <w:rsid w:val="00907AD2"/>
    <w:rsid w:val="00911047"/>
    <w:rsid w:val="00953E6A"/>
    <w:rsid w:val="00963CBA"/>
    <w:rsid w:val="00963E0B"/>
    <w:rsid w:val="00974A8D"/>
    <w:rsid w:val="00976E0F"/>
    <w:rsid w:val="0099001C"/>
    <w:rsid w:val="00991261"/>
    <w:rsid w:val="009B2B40"/>
    <w:rsid w:val="009E1EE1"/>
    <w:rsid w:val="009E7025"/>
    <w:rsid w:val="009F3A17"/>
    <w:rsid w:val="00A1427D"/>
    <w:rsid w:val="00A55FB2"/>
    <w:rsid w:val="00A72F22"/>
    <w:rsid w:val="00A748A6"/>
    <w:rsid w:val="00A805EB"/>
    <w:rsid w:val="00A82860"/>
    <w:rsid w:val="00A85149"/>
    <w:rsid w:val="00A879A4"/>
    <w:rsid w:val="00AA496B"/>
    <w:rsid w:val="00AD64B7"/>
    <w:rsid w:val="00B30179"/>
    <w:rsid w:val="00B30E8F"/>
    <w:rsid w:val="00B33EC0"/>
    <w:rsid w:val="00B35F0A"/>
    <w:rsid w:val="00B524A3"/>
    <w:rsid w:val="00B81E12"/>
    <w:rsid w:val="00B91159"/>
    <w:rsid w:val="00BB7AD2"/>
    <w:rsid w:val="00BC74E9"/>
    <w:rsid w:val="00BD2146"/>
    <w:rsid w:val="00BD2B90"/>
    <w:rsid w:val="00BE0F06"/>
    <w:rsid w:val="00BE4F74"/>
    <w:rsid w:val="00BE618E"/>
    <w:rsid w:val="00C17699"/>
    <w:rsid w:val="00C1778D"/>
    <w:rsid w:val="00C41A28"/>
    <w:rsid w:val="00C463DD"/>
    <w:rsid w:val="00C745C3"/>
    <w:rsid w:val="00C753EB"/>
    <w:rsid w:val="00C95C8C"/>
    <w:rsid w:val="00CA18D7"/>
    <w:rsid w:val="00CA3453"/>
    <w:rsid w:val="00CA71BE"/>
    <w:rsid w:val="00CE4A8F"/>
    <w:rsid w:val="00D055EB"/>
    <w:rsid w:val="00D2031B"/>
    <w:rsid w:val="00D25FE2"/>
    <w:rsid w:val="00D27F1E"/>
    <w:rsid w:val="00D317BB"/>
    <w:rsid w:val="00D35D8F"/>
    <w:rsid w:val="00D43252"/>
    <w:rsid w:val="00D76708"/>
    <w:rsid w:val="00D978C6"/>
    <w:rsid w:val="00DA67AD"/>
    <w:rsid w:val="00DB2368"/>
    <w:rsid w:val="00DB5D0F"/>
    <w:rsid w:val="00DC1B67"/>
    <w:rsid w:val="00DC3242"/>
    <w:rsid w:val="00DF12F7"/>
    <w:rsid w:val="00DF2C64"/>
    <w:rsid w:val="00E02C81"/>
    <w:rsid w:val="00E06EAB"/>
    <w:rsid w:val="00E130AB"/>
    <w:rsid w:val="00E31C87"/>
    <w:rsid w:val="00E70DF5"/>
    <w:rsid w:val="00E7260F"/>
    <w:rsid w:val="00E8086B"/>
    <w:rsid w:val="00E80F5F"/>
    <w:rsid w:val="00E87921"/>
    <w:rsid w:val="00E96630"/>
    <w:rsid w:val="00EA264E"/>
    <w:rsid w:val="00EA3A41"/>
    <w:rsid w:val="00ED7A2A"/>
    <w:rsid w:val="00EF1D7F"/>
    <w:rsid w:val="00F01211"/>
    <w:rsid w:val="00F35E53"/>
    <w:rsid w:val="00F43A56"/>
    <w:rsid w:val="00F53EDA"/>
    <w:rsid w:val="00F7753D"/>
    <w:rsid w:val="00F85F34"/>
    <w:rsid w:val="00FA06F7"/>
    <w:rsid w:val="00FB171A"/>
    <w:rsid w:val="00FC68B7"/>
    <w:rsid w:val="00FD4F7E"/>
    <w:rsid w:val="00FD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v-text-anchor:middle" fillcolor="#5b9bd5" strokecolor="#41719c">
      <v:fill color="#5b9bd5"/>
      <v:stroke color="#41719c" weight="1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3228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qFormat/>
    <w:rsid w:val="00503228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503228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503228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503228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503228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503228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503228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503228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503228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rsid w:val="00503228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rsid w:val="00503228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503228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FootnoteReference">
    <w:name w:val="footnote reference"/>
    <w:aliases w:val="4_G"/>
    <w:rsid w:val="00503228"/>
    <w:rPr>
      <w:rFonts w:ascii="Times New Roman" w:hAnsi="Times New Roman"/>
      <w:sz w:val="18"/>
      <w:vertAlign w:val="superscript"/>
    </w:rPr>
  </w:style>
  <w:style w:type="character" w:styleId="EndnoteReference">
    <w:name w:val="endnote reference"/>
    <w:aliases w:val="1_G"/>
    <w:basedOn w:val="FootnoteReference"/>
    <w:rsid w:val="00503228"/>
    <w:rPr>
      <w:rFonts w:ascii="Times New Roman" w:hAnsi="Times New Roman"/>
      <w:sz w:val="18"/>
      <w:vertAlign w:val="superscript"/>
    </w:rPr>
  </w:style>
  <w:style w:type="paragraph" w:styleId="Header">
    <w:name w:val="header"/>
    <w:aliases w:val="6_G"/>
    <w:basedOn w:val="Normal"/>
    <w:rsid w:val="00503228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semiHidden/>
    <w:rsid w:val="00503228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semiHidden/>
    <w:rsid w:val="00503228"/>
    <w:rPr>
      <w:color w:val="auto"/>
      <w:u w:val="none"/>
    </w:rPr>
  </w:style>
  <w:style w:type="character" w:styleId="FollowedHyperlink">
    <w:name w:val="FollowedHyperlink"/>
    <w:semiHidden/>
    <w:rsid w:val="00503228"/>
    <w:rPr>
      <w:color w:val="auto"/>
      <w:u w:val="none"/>
    </w:rPr>
  </w:style>
  <w:style w:type="paragraph" w:customStyle="1" w:styleId="SMG">
    <w:name w:val="__S_M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503228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503228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styleId="FootnoteText">
    <w:name w:val="footnote text"/>
    <w:aliases w:val="5_G"/>
    <w:basedOn w:val="Normal"/>
    <w:link w:val="FootnoteTextChar"/>
    <w:rsid w:val="00503228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styleId="EndnoteText">
    <w:name w:val="endnote text"/>
    <w:aliases w:val="2_G"/>
    <w:basedOn w:val="FootnoteText"/>
    <w:rsid w:val="00503228"/>
  </w:style>
  <w:style w:type="character" w:styleId="PageNumber">
    <w:name w:val="page number"/>
    <w:aliases w:val="7_G"/>
    <w:rsid w:val="00503228"/>
    <w:rPr>
      <w:rFonts w:ascii="Times New Roman" w:hAnsi="Times New Roman"/>
      <w:b/>
      <w:sz w:val="18"/>
    </w:rPr>
  </w:style>
  <w:style w:type="paragraph" w:customStyle="1" w:styleId="XLargeG">
    <w:name w:val="__XLarge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503228"/>
    <w:pPr>
      <w:numPr>
        <w:numId w:val="1"/>
      </w:numPr>
      <w:spacing w:after="120"/>
      <w:ind w:right="1134"/>
      <w:jc w:val="both"/>
    </w:pPr>
  </w:style>
  <w:style w:type="paragraph" w:styleId="Footer">
    <w:name w:val="footer"/>
    <w:aliases w:val="3_G"/>
    <w:basedOn w:val="Normal"/>
    <w:rsid w:val="00503228"/>
    <w:pPr>
      <w:spacing w:line="240" w:lineRule="auto"/>
    </w:pPr>
    <w:rPr>
      <w:sz w:val="16"/>
    </w:rPr>
  </w:style>
  <w:style w:type="paragraph" w:customStyle="1" w:styleId="Bullet2G">
    <w:name w:val="_Bullet 2_G"/>
    <w:basedOn w:val="Normal"/>
    <w:rsid w:val="00503228"/>
    <w:pPr>
      <w:numPr>
        <w:numId w:val="2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503228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customStyle="1" w:styleId="HChGChar">
    <w:name w:val="_ H _Ch_G Char"/>
    <w:link w:val="HChG"/>
    <w:rsid w:val="0099001C"/>
    <w:rPr>
      <w:b/>
      <w:sz w:val="28"/>
      <w:lang w:val="en-GB" w:eastAsia="en-US" w:bidi="ar-SA"/>
    </w:rPr>
  </w:style>
  <w:style w:type="character" w:customStyle="1" w:styleId="SingleTxtGChar">
    <w:name w:val="_ Single Txt_G Char"/>
    <w:link w:val="SingleTxtG"/>
    <w:rsid w:val="006A7757"/>
    <w:rPr>
      <w:lang w:eastAsia="en-US"/>
    </w:rPr>
  </w:style>
  <w:style w:type="character" w:customStyle="1" w:styleId="FootnoteTextChar">
    <w:name w:val="Footnote Text Char"/>
    <w:aliases w:val="5_G Char"/>
    <w:link w:val="FootnoteText"/>
    <w:rsid w:val="006A7757"/>
    <w:rPr>
      <w:sz w:val="18"/>
      <w:lang w:eastAsia="en-US"/>
    </w:rPr>
  </w:style>
  <w:style w:type="paragraph" w:styleId="Revision">
    <w:name w:val="Revision"/>
    <w:hidden/>
    <w:uiPriority w:val="99"/>
    <w:semiHidden/>
    <w:rsid w:val="00CA71BE"/>
    <w:rPr>
      <w:lang w:val="en-GB" w:eastAsia="en-US"/>
    </w:rPr>
  </w:style>
  <w:style w:type="paragraph" w:styleId="BalloonText">
    <w:name w:val="Balloon Text"/>
    <w:basedOn w:val="Normal"/>
    <w:link w:val="BalloonTextChar"/>
    <w:rsid w:val="00CA71BE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CA71BE"/>
    <w:rPr>
      <w:rFonts w:ascii="Segoe UI" w:hAnsi="Segoe UI" w:cs="Segoe UI"/>
      <w:sz w:val="18"/>
      <w:szCs w:val="18"/>
      <w:lang w:val="en-GB" w:eastAsia="en-US"/>
    </w:rPr>
  </w:style>
  <w:style w:type="paragraph" w:styleId="NormalWeb">
    <w:name w:val="Normal (Web)"/>
    <w:basedOn w:val="Normal"/>
    <w:uiPriority w:val="99"/>
    <w:unhideWhenUsed/>
    <w:rsid w:val="001C5851"/>
    <w:pPr>
      <w:suppressAutoHyphens w:val="0"/>
      <w:spacing w:before="100" w:beforeAutospacing="1" w:after="100" w:afterAutospacing="1" w:line="240" w:lineRule="auto"/>
    </w:pPr>
    <w:rPr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3228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qFormat/>
    <w:rsid w:val="00503228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503228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503228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503228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503228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503228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503228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503228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503228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rsid w:val="00503228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rsid w:val="00503228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503228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FootnoteReference">
    <w:name w:val="footnote reference"/>
    <w:aliases w:val="4_G"/>
    <w:rsid w:val="00503228"/>
    <w:rPr>
      <w:rFonts w:ascii="Times New Roman" w:hAnsi="Times New Roman"/>
      <w:sz w:val="18"/>
      <w:vertAlign w:val="superscript"/>
    </w:rPr>
  </w:style>
  <w:style w:type="character" w:styleId="EndnoteReference">
    <w:name w:val="endnote reference"/>
    <w:aliases w:val="1_G"/>
    <w:basedOn w:val="FootnoteReference"/>
    <w:rsid w:val="00503228"/>
    <w:rPr>
      <w:rFonts w:ascii="Times New Roman" w:hAnsi="Times New Roman"/>
      <w:sz w:val="18"/>
      <w:vertAlign w:val="superscript"/>
    </w:rPr>
  </w:style>
  <w:style w:type="paragraph" w:styleId="Header">
    <w:name w:val="header"/>
    <w:aliases w:val="6_G"/>
    <w:basedOn w:val="Normal"/>
    <w:rsid w:val="00503228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semiHidden/>
    <w:rsid w:val="00503228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semiHidden/>
    <w:rsid w:val="00503228"/>
    <w:rPr>
      <w:color w:val="auto"/>
      <w:u w:val="none"/>
    </w:rPr>
  </w:style>
  <w:style w:type="character" w:styleId="FollowedHyperlink">
    <w:name w:val="FollowedHyperlink"/>
    <w:semiHidden/>
    <w:rsid w:val="00503228"/>
    <w:rPr>
      <w:color w:val="auto"/>
      <w:u w:val="none"/>
    </w:rPr>
  </w:style>
  <w:style w:type="paragraph" w:customStyle="1" w:styleId="SMG">
    <w:name w:val="__S_M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503228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503228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styleId="FootnoteText">
    <w:name w:val="footnote text"/>
    <w:aliases w:val="5_G"/>
    <w:basedOn w:val="Normal"/>
    <w:link w:val="FootnoteTextChar"/>
    <w:rsid w:val="00503228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styleId="EndnoteText">
    <w:name w:val="endnote text"/>
    <w:aliases w:val="2_G"/>
    <w:basedOn w:val="FootnoteText"/>
    <w:rsid w:val="00503228"/>
  </w:style>
  <w:style w:type="character" w:styleId="PageNumber">
    <w:name w:val="page number"/>
    <w:aliases w:val="7_G"/>
    <w:rsid w:val="00503228"/>
    <w:rPr>
      <w:rFonts w:ascii="Times New Roman" w:hAnsi="Times New Roman"/>
      <w:b/>
      <w:sz w:val="18"/>
    </w:rPr>
  </w:style>
  <w:style w:type="paragraph" w:customStyle="1" w:styleId="XLargeG">
    <w:name w:val="__XLarge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503228"/>
    <w:pPr>
      <w:numPr>
        <w:numId w:val="1"/>
      </w:numPr>
      <w:spacing w:after="120"/>
      <w:ind w:right="1134"/>
      <w:jc w:val="both"/>
    </w:pPr>
  </w:style>
  <w:style w:type="paragraph" w:styleId="Footer">
    <w:name w:val="footer"/>
    <w:aliases w:val="3_G"/>
    <w:basedOn w:val="Normal"/>
    <w:rsid w:val="00503228"/>
    <w:pPr>
      <w:spacing w:line="240" w:lineRule="auto"/>
    </w:pPr>
    <w:rPr>
      <w:sz w:val="16"/>
    </w:rPr>
  </w:style>
  <w:style w:type="paragraph" w:customStyle="1" w:styleId="Bullet2G">
    <w:name w:val="_Bullet 2_G"/>
    <w:basedOn w:val="Normal"/>
    <w:rsid w:val="00503228"/>
    <w:pPr>
      <w:numPr>
        <w:numId w:val="2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503228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customStyle="1" w:styleId="HChGChar">
    <w:name w:val="_ H _Ch_G Char"/>
    <w:link w:val="HChG"/>
    <w:rsid w:val="0099001C"/>
    <w:rPr>
      <w:b/>
      <w:sz w:val="28"/>
      <w:lang w:val="en-GB" w:eastAsia="en-US" w:bidi="ar-SA"/>
    </w:rPr>
  </w:style>
  <w:style w:type="character" w:customStyle="1" w:styleId="SingleTxtGChar">
    <w:name w:val="_ Single Txt_G Char"/>
    <w:link w:val="SingleTxtG"/>
    <w:rsid w:val="006A7757"/>
    <w:rPr>
      <w:lang w:eastAsia="en-US"/>
    </w:rPr>
  </w:style>
  <w:style w:type="character" w:customStyle="1" w:styleId="FootnoteTextChar">
    <w:name w:val="Footnote Text Char"/>
    <w:aliases w:val="5_G Char"/>
    <w:link w:val="FootnoteText"/>
    <w:rsid w:val="006A7757"/>
    <w:rPr>
      <w:sz w:val="18"/>
      <w:lang w:eastAsia="en-US"/>
    </w:rPr>
  </w:style>
  <w:style w:type="paragraph" w:styleId="Revision">
    <w:name w:val="Revision"/>
    <w:hidden/>
    <w:uiPriority w:val="99"/>
    <w:semiHidden/>
    <w:rsid w:val="00CA71BE"/>
    <w:rPr>
      <w:lang w:val="en-GB" w:eastAsia="en-US"/>
    </w:rPr>
  </w:style>
  <w:style w:type="paragraph" w:styleId="BalloonText">
    <w:name w:val="Balloon Text"/>
    <w:basedOn w:val="Normal"/>
    <w:link w:val="BalloonTextChar"/>
    <w:rsid w:val="00CA71BE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CA71BE"/>
    <w:rPr>
      <w:rFonts w:ascii="Segoe UI" w:hAnsi="Segoe UI" w:cs="Segoe UI"/>
      <w:sz w:val="18"/>
      <w:szCs w:val="18"/>
      <w:lang w:val="en-GB" w:eastAsia="en-US"/>
    </w:rPr>
  </w:style>
  <w:style w:type="paragraph" w:styleId="NormalWeb">
    <w:name w:val="Normal (Web)"/>
    <w:basedOn w:val="Normal"/>
    <w:uiPriority w:val="99"/>
    <w:unhideWhenUsed/>
    <w:rsid w:val="001C5851"/>
    <w:pPr>
      <w:suppressAutoHyphens w:val="0"/>
      <w:spacing w:before="100" w:beforeAutospacing="1" w:after="100" w:afterAutospacing="1" w:line="240" w:lineRule="auto"/>
    </w:pPr>
    <w:rPr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rcia_Couto\Templates\ECE+PlainPage\PlainPage_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E427D-3376-45A6-B83E-93B5048D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PlainPage_E.dot</Template>
  <TotalTime>11</TotalTime>
  <Pages>6</Pages>
  <Words>461</Words>
  <Characters>2631</Characters>
  <Application>Microsoft Office Word</Application>
  <DocSecurity>0</DocSecurity>
  <Lines>21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UN/SCEGHS/19/INF</vt:lpstr>
      <vt:lpstr>UN/SCEGHS/19/INF</vt:lpstr>
      <vt:lpstr>UN/SCEGHS/19/INF</vt:lpstr>
    </vt:vector>
  </TitlesOfParts>
  <Company>CSD</Company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UN/SCEGHS/19/INF</dc:title>
  <dc:creator>Garcia_Couto</dc:creator>
  <cp:lastModifiedBy>Rosa Garcia-Couto</cp:lastModifiedBy>
  <cp:revision>6</cp:revision>
  <cp:lastPrinted>2015-06-22T09:57:00Z</cp:lastPrinted>
  <dcterms:created xsi:type="dcterms:W3CDTF">2015-06-22T10:00:00Z</dcterms:created>
  <dcterms:modified xsi:type="dcterms:W3CDTF">2015-06-22T16:21:00Z</dcterms:modified>
</cp:coreProperties>
</file>