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89158D" w:rsidRPr="0089158D" w:rsidTr="00B12B21">
        <w:trPr>
          <w:cantSplit/>
          <w:trHeight w:hRule="exact" w:val="851"/>
        </w:trPr>
        <w:tc>
          <w:tcPr>
            <w:tcW w:w="9639" w:type="dxa"/>
            <w:tcBorders>
              <w:bottom w:val="single" w:sz="4" w:space="0" w:color="auto"/>
            </w:tcBorders>
            <w:vAlign w:val="bottom"/>
          </w:tcPr>
          <w:p w:rsidR="0089158D" w:rsidRPr="0089158D" w:rsidRDefault="0089158D" w:rsidP="00CB4F27">
            <w:pPr>
              <w:jc w:val="right"/>
              <w:rPr>
                <w:rFonts w:eastAsia="Malgun Gothic"/>
                <w:b/>
                <w:sz w:val="40"/>
                <w:szCs w:val="40"/>
                <w:lang w:eastAsia="en-US"/>
              </w:rPr>
            </w:pPr>
            <w:r w:rsidRPr="0089158D">
              <w:rPr>
                <w:rFonts w:eastAsia="Malgun Gothic"/>
                <w:b/>
                <w:sz w:val="40"/>
                <w:szCs w:val="40"/>
                <w:lang w:eastAsia="en-US"/>
              </w:rPr>
              <w:t>UN/SCETDG/4</w:t>
            </w:r>
            <w:r w:rsidRPr="0089158D">
              <w:rPr>
                <w:rFonts w:eastAsia="Malgun Gothic"/>
                <w:b/>
                <w:sz w:val="40"/>
                <w:szCs w:val="40"/>
                <w:lang w:eastAsia="ko-KR"/>
              </w:rPr>
              <w:t>8</w:t>
            </w:r>
            <w:r w:rsidRPr="0089158D">
              <w:rPr>
                <w:rFonts w:eastAsia="Malgun Gothic"/>
                <w:b/>
                <w:sz w:val="40"/>
                <w:szCs w:val="40"/>
                <w:lang w:eastAsia="en-US"/>
              </w:rPr>
              <w:t>/INF.</w:t>
            </w:r>
            <w:r w:rsidR="00CB4F27">
              <w:rPr>
                <w:rFonts w:eastAsia="Malgun Gothic"/>
                <w:b/>
                <w:sz w:val="40"/>
                <w:szCs w:val="40"/>
                <w:lang w:eastAsia="en-US"/>
              </w:rPr>
              <w:t>54</w:t>
            </w:r>
          </w:p>
        </w:tc>
      </w:tr>
      <w:tr w:rsidR="0089158D" w:rsidRPr="0089158D" w:rsidTr="00B12B21">
        <w:trPr>
          <w:cantSplit/>
          <w:trHeight w:val="2456"/>
        </w:trPr>
        <w:tc>
          <w:tcPr>
            <w:tcW w:w="9639" w:type="dxa"/>
            <w:tcBorders>
              <w:top w:val="single" w:sz="4" w:space="0" w:color="auto"/>
            </w:tcBorders>
          </w:tcPr>
          <w:p w:rsidR="0089158D" w:rsidRPr="0089158D" w:rsidRDefault="0089158D" w:rsidP="0089158D">
            <w:pPr>
              <w:spacing w:before="120"/>
              <w:rPr>
                <w:rFonts w:eastAsia="Malgun Gothic"/>
                <w:b/>
                <w:sz w:val="24"/>
                <w:szCs w:val="24"/>
                <w:lang w:eastAsia="en-US"/>
              </w:rPr>
            </w:pPr>
            <w:r w:rsidRPr="0089158D">
              <w:rPr>
                <w:rFonts w:eastAsia="Malgun Gothic"/>
                <w:b/>
                <w:sz w:val="24"/>
                <w:szCs w:val="24"/>
                <w:lang w:eastAsia="en-US"/>
              </w:rPr>
              <w:t>Committee of Experts on the Transport of Dangerous Goods</w:t>
            </w:r>
            <w:r w:rsidRPr="0089158D">
              <w:rPr>
                <w:rFonts w:eastAsia="Malgun Gothic"/>
                <w:b/>
                <w:sz w:val="24"/>
                <w:szCs w:val="24"/>
                <w:lang w:eastAsia="en-US"/>
              </w:rPr>
              <w:br/>
              <w:t>and on the Globally Harmonized System of Classification</w:t>
            </w:r>
            <w:r w:rsidRPr="0089158D">
              <w:rPr>
                <w:rFonts w:eastAsia="Malgun Gothic"/>
                <w:b/>
                <w:sz w:val="24"/>
                <w:szCs w:val="24"/>
                <w:lang w:eastAsia="en-US"/>
              </w:rPr>
              <w:br/>
              <w:t>and Labelling of Chemicals</w:t>
            </w:r>
          </w:p>
          <w:p w:rsidR="0089158D" w:rsidRPr="0089158D" w:rsidRDefault="0089158D" w:rsidP="0089158D">
            <w:pPr>
              <w:spacing w:before="120"/>
              <w:rPr>
                <w:rFonts w:ascii="Helv" w:eastAsia="Malgun Gothic" w:hAnsi="Helv" w:cs="Helv"/>
                <w:b/>
                <w:lang w:eastAsia="ko-KR"/>
              </w:rPr>
            </w:pPr>
            <w:r w:rsidRPr="0089158D">
              <w:rPr>
                <w:rFonts w:eastAsia="Malgun Gothic"/>
                <w:b/>
                <w:lang w:eastAsia="en-US"/>
              </w:rPr>
              <w:t>Sub-Committee of Experts on the Transport of Dangerous Goods</w:t>
            </w:r>
            <w:r w:rsidRPr="0089158D">
              <w:rPr>
                <w:rFonts w:eastAsia="Malgun Gothic"/>
                <w:b/>
                <w:lang w:eastAsia="en-US"/>
              </w:rPr>
              <w:tab/>
            </w:r>
            <w:r w:rsidRPr="0089158D">
              <w:rPr>
                <w:rFonts w:eastAsia="Malgun Gothic"/>
                <w:b/>
                <w:lang w:eastAsia="en-US"/>
              </w:rPr>
              <w:tab/>
            </w:r>
            <w:r w:rsidRPr="0089158D">
              <w:rPr>
                <w:rFonts w:eastAsia="Malgun Gothic"/>
                <w:b/>
                <w:lang w:eastAsia="en-US"/>
              </w:rPr>
              <w:tab/>
            </w:r>
            <w:r w:rsidRPr="0089158D">
              <w:rPr>
                <w:rFonts w:eastAsia="Malgun Gothic"/>
                <w:b/>
                <w:lang w:eastAsia="en-US"/>
              </w:rPr>
              <w:tab/>
            </w:r>
            <w:r w:rsidRPr="0089158D">
              <w:rPr>
                <w:rFonts w:eastAsia="Malgun Gothic"/>
                <w:b/>
                <w:lang w:eastAsia="en-US"/>
              </w:rPr>
              <w:tab/>
            </w:r>
            <w:r>
              <w:rPr>
                <w:rFonts w:eastAsia="Malgun Gothic"/>
                <w:b/>
                <w:lang w:eastAsia="en-US"/>
              </w:rPr>
              <w:t>30</w:t>
            </w:r>
            <w:r w:rsidRPr="0089158D">
              <w:rPr>
                <w:rFonts w:eastAsia="Malgun Gothic"/>
                <w:b/>
                <w:lang w:eastAsia="en-US"/>
              </w:rPr>
              <w:t xml:space="preserve"> November 2015</w:t>
            </w:r>
          </w:p>
          <w:p w:rsidR="0089158D" w:rsidRPr="0089158D" w:rsidRDefault="0089158D" w:rsidP="0089158D">
            <w:pPr>
              <w:spacing w:before="120"/>
              <w:rPr>
                <w:rFonts w:eastAsia="Malgun Gothic"/>
                <w:b/>
                <w:lang w:eastAsia="en-US"/>
              </w:rPr>
            </w:pPr>
            <w:r w:rsidRPr="0089158D">
              <w:rPr>
                <w:rFonts w:eastAsia="Malgun Gothic"/>
                <w:b/>
                <w:lang w:eastAsia="en-US"/>
              </w:rPr>
              <w:t>Forty-</w:t>
            </w:r>
            <w:r w:rsidRPr="0089158D">
              <w:rPr>
                <w:rFonts w:eastAsia="Malgun Gothic"/>
                <w:b/>
                <w:lang w:eastAsia="ko-KR"/>
              </w:rPr>
              <w:t xml:space="preserve">eighth </w:t>
            </w:r>
            <w:r w:rsidRPr="0089158D">
              <w:rPr>
                <w:rFonts w:eastAsia="Malgun Gothic"/>
                <w:b/>
                <w:lang w:eastAsia="en-US"/>
              </w:rPr>
              <w:t>session</w:t>
            </w:r>
          </w:p>
          <w:p w:rsidR="0089158D" w:rsidRPr="0089158D" w:rsidRDefault="0089158D" w:rsidP="0089158D">
            <w:pPr>
              <w:rPr>
                <w:rFonts w:eastAsia="Malgun Gothic"/>
                <w:lang w:eastAsia="ko-KR"/>
              </w:rPr>
            </w:pPr>
            <w:r w:rsidRPr="0089158D">
              <w:rPr>
                <w:rFonts w:eastAsia="Malgun Gothic"/>
                <w:lang w:eastAsia="en-US"/>
              </w:rPr>
              <w:t xml:space="preserve">Geneva, </w:t>
            </w:r>
            <w:r w:rsidRPr="0089158D">
              <w:rPr>
                <w:rFonts w:eastAsia="Malgun Gothic"/>
                <w:lang w:eastAsia="ko-KR"/>
              </w:rPr>
              <w:t>30 November-9 December</w:t>
            </w:r>
            <w:r w:rsidRPr="0089158D">
              <w:rPr>
                <w:rFonts w:eastAsia="Malgun Gothic"/>
                <w:lang w:eastAsia="en-US"/>
              </w:rPr>
              <w:t xml:space="preserve"> 201</w:t>
            </w:r>
            <w:r w:rsidRPr="0089158D">
              <w:rPr>
                <w:rFonts w:eastAsia="Malgun Gothic"/>
                <w:lang w:eastAsia="ko-KR"/>
              </w:rPr>
              <w:t>5</w:t>
            </w:r>
          </w:p>
          <w:p w:rsidR="0089158D" w:rsidRPr="0089158D" w:rsidRDefault="0089158D" w:rsidP="0089158D">
            <w:pPr>
              <w:rPr>
                <w:rFonts w:eastAsia="Malgun Gothic"/>
                <w:lang w:eastAsia="en-US"/>
              </w:rPr>
            </w:pPr>
            <w:r w:rsidRPr="0089158D">
              <w:rPr>
                <w:rFonts w:eastAsia="Malgun Gothic"/>
                <w:lang w:eastAsia="en-US"/>
              </w:rPr>
              <w:t>Item 3</w:t>
            </w:r>
            <w:r w:rsidRPr="0089158D">
              <w:rPr>
                <w:rFonts w:eastAsia="Malgun Gothic"/>
                <w:lang w:eastAsia="ko-KR"/>
              </w:rPr>
              <w:t xml:space="preserve"> </w:t>
            </w:r>
            <w:r w:rsidRPr="0089158D">
              <w:rPr>
                <w:rFonts w:eastAsia="Malgun Gothic"/>
                <w:lang w:eastAsia="en-US"/>
              </w:rPr>
              <w:t>of</w:t>
            </w:r>
            <w:r w:rsidRPr="0089158D">
              <w:rPr>
                <w:rFonts w:eastAsia="Malgun Gothic"/>
                <w:lang w:eastAsia="ko-KR"/>
              </w:rPr>
              <w:t xml:space="preserve"> the</w:t>
            </w:r>
            <w:r w:rsidRPr="0089158D">
              <w:rPr>
                <w:rFonts w:eastAsia="Malgun Gothic"/>
                <w:lang w:eastAsia="en-US"/>
              </w:rPr>
              <w:t xml:space="preserve"> provisional agenda</w:t>
            </w:r>
          </w:p>
          <w:p w:rsidR="0089158D" w:rsidRPr="0089158D" w:rsidRDefault="0089158D" w:rsidP="0089158D">
            <w:pPr>
              <w:rPr>
                <w:rFonts w:eastAsia="Malgun Gothic"/>
                <w:b/>
                <w:lang w:eastAsia="ko-KR"/>
              </w:rPr>
            </w:pPr>
            <w:r w:rsidRPr="0089158D">
              <w:rPr>
                <w:rFonts w:eastAsia="Malgun Gothic"/>
                <w:b/>
                <w:lang w:eastAsia="en-US"/>
              </w:rPr>
              <w:t>Listing, classification and packing</w:t>
            </w:r>
          </w:p>
        </w:tc>
      </w:tr>
    </w:tbl>
    <w:p w:rsidR="00B12B21" w:rsidRPr="00EB1277" w:rsidRDefault="008F61C3" w:rsidP="00CB4F27">
      <w:pPr>
        <w:pStyle w:val="HChG"/>
        <w:tabs>
          <w:tab w:val="clear" w:pos="851"/>
        </w:tabs>
        <w:spacing w:before="240"/>
        <w:ind w:left="1140" w:right="1140" w:hanging="1140"/>
      </w:pPr>
      <w:r>
        <w:tab/>
      </w:r>
      <w:r w:rsidR="00EB1277">
        <w:t>Report on the Second Meeting of the Informal Working Group on Lithium B</w:t>
      </w:r>
      <w:r w:rsidR="00B12B21" w:rsidRPr="00EB1277">
        <w:t>atter</w:t>
      </w:r>
      <w:r w:rsidR="00EB1277">
        <w:t>ies</w:t>
      </w:r>
    </w:p>
    <w:p w:rsidR="00B12B21" w:rsidRPr="00EB1277" w:rsidRDefault="0089158D">
      <w:pPr>
        <w:pStyle w:val="H1G"/>
        <w:rPr>
          <w:sz w:val="22"/>
          <w:szCs w:val="22"/>
        </w:rPr>
      </w:pPr>
      <w:r>
        <w:tab/>
      </w:r>
      <w:r>
        <w:tab/>
        <w:t>Transmitted by the E</w:t>
      </w:r>
      <w:r w:rsidR="00B12B21" w:rsidRPr="00EB1277">
        <w:t>xpert from France (in his capacity as Chairman of t</w:t>
      </w:r>
      <w:r>
        <w:t>he Informal Working G</w:t>
      </w:r>
      <w:r w:rsidR="00B12B21" w:rsidRPr="00EB1277">
        <w:t>roup), RECHARGE, PRBA and COSTHA</w:t>
      </w:r>
    </w:p>
    <w:p w:rsidR="00B12B21" w:rsidRPr="00EB1277" w:rsidRDefault="00B12B21" w:rsidP="00CB4F27">
      <w:pPr>
        <w:pStyle w:val="SingleTxtG"/>
        <w:rPr>
          <w:sz w:val="22"/>
          <w:szCs w:val="22"/>
        </w:rPr>
      </w:pPr>
      <w:r w:rsidRPr="00EB1277">
        <w:rPr>
          <w:sz w:val="22"/>
          <w:szCs w:val="22"/>
        </w:rPr>
        <w:t>1.</w:t>
      </w:r>
      <w:r w:rsidRPr="00EB1277">
        <w:rPr>
          <w:sz w:val="22"/>
          <w:szCs w:val="22"/>
        </w:rPr>
        <w:tab/>
        <w:t>The Second meeting of the informal working group (IWG) on Lithium Batteries was held in Washington, on August 26</w:t>
      </w:r>
      <w:r w:rsidR="00EB1277">
        <w:rPr>
          <w:sz w:val="22"/>
          <w:szCs w:val="22"/>
        </w:rPr>
        <w:t xml:space="preserve"> – 28, </w:t>
      </w:r>
      <w:r w:rsidRPr="00EB1277">
        <w:rPr>
          <w:sz w:val="22"/>
          <w:szCs w:val="22"/>
        </w:rPr>
        <w:t>2015. It was co-organized by PRBA, RECHARGE and COSTHA. A total of 40 participants from both the Sub-Committee of Experts and industry attended the meeting. The expert from France, Mr Claude Pfauvadel, chaired the meeting.</w:t>
      </w:r>
    </w:p>
    <w:p w:rsidR="00B12B21" w:rsidRPr="00EB1277" w:rsidRDefault="00B12B21" w:rsidP="007C131E">
      <w:pPr>
        <w:pStyle w:val="SingleTxtG"/>
        <w:rPr>
          <w:sz w:val="22"/>
          <w:szCs w:val="22"/>
        </w:rPr>
      </w:pPr>
      <w:r w:rsidRPr="00EB1277">
        <w:rPr>
          <w:sz w:val="22"/>
          <w:szCs w:val="22"/>
        </w:rPr>
        <w:t>2.</w:t>
      </w:r>
      <w:r w:rsidRPr="00EB1277">
        <w:rPr>
          <w:sz w:val="22"/>
          <w:szCs w:val="22"/>
        </w:rPr>
        <w:tab/>
        <w:t xml:space="preserve">This document summarizes the main points where some guidance is needed from the </w:t>
      </w:r>
      <w:r w:rsidR="00EB1277">
        <w:rPr>
          <w:sz w:val="22"/>
          <w:szCs w:val="22"/>
        </w:rPr>
        <w:t>S</w:t>
      </w:r>
      <w:r w:rsidRPr="00EB1277">
        <w:rPr>
          <w:sz w:val="22"/>
          <w:szCs w:val="22"/>
        </w:rPr>
        <w:t>ub-committee</w:t>
      </w:r>
      <w:r w:rsidR="00EB1277">
        <w:rPr>
          <w:sz w:val="22"/>
          <w:szCs w:val="22"/>
        </w:rPr>
        <w:t>.  I</w:t>
      </w:r>
      <w:r w:rsidRPr="00EB1277">
        <w:rPr>
          <w:sz w:val="22"/>
          <w:szCs w:val="22"/>
        </w:rPr>
        <w:t>nformation supporting this summary may be found in a detailed report of the discussions, proposals and list of participants are available on PRBA’s website:</w:t>
      </w:r>
    </w:p>
    <w:p w:rsidR="00B12B21" w:rsidRPr="00EB1277" w:rsidRDefault="00B12B21">
      <w:pPr>
        <w:pStyle w:val="SingleTxtG"/>
        <w:ind w:left="1620" w:hanging="486"/>
        <w:rPr>
          <w:sz w:val="22"/>
          <w:szCs w:val="22"/>
        </w:rPr>
      </w:pPr>
      <w:r w:rsidRPr="00EB1277">
        <w:rPr>
          <w:sz w:val="22"/>
          <w:szCs w:val="22"/>
        </w:rPr>
        <w:tab/>
      </w:r>
      <w:hyperlink r:id="rId9" w:history="1">
        <w:r w:rsidRPr="00EB1277">
          <w:rPr>
            <w:rStyle w:val="Hyperlink"/>
            <w:sz w:val="22"/>
            <w:szCs w:val="22"/>
          </w:rPr>
          <w:t>http://www.prba.org/laws-regulations/un-wg-meeting-on-lithium-batteries-august-2015/</w:t>
        </w:r>
      </w:hyperlink>
      <w:r w:rsidR="00EB1277">
        <w:t xml:space="preserve">   </w:t>
      </w:r>
    </w:p>
    <w:p w:rsidR="00B12B21" w:rsidRPr="00EB1277" w:rsidRDefault="00B12B21" w:rsidP="007C131E">
      <w:pPr>
        <w:pStyle w:val="SingleTxtG"/>
        <w:rPr>
          <w:sz w:val="22"/>
          <w:szCs w:val="22"/>
        </w:rPr>
      </w:pPr>
      <w:r w:rsidRPr="00EB1277">
        <w:rPr>
          <w:sz w:val="22"/>
          <w:szCs w:val="22"/>
        </w:rPr>
        <w:t>3.</w:t>
      </w:r>
      <w:r w:rsidRPr="00EB1277">
        <w:rPr>
          <w:sz w:val="22"/>
          <w:szCs w:val="22"/>
        </w:rPr>
        <w:tab/>
        <w:t>A review of definition related issues identified during the first IWG was made. As several discussions were concluded with the</w:t>
      </w:r>
      <w:r w:rsidRPr="00EB1277">
        <w:t xml:space="preserve"> </w:t>
      </w:r>
      <w:r w:rsidRPr="00EB1277">
        <w:rPr>
          <w:sz w:val="22"/>
          <w:szCs w:val="22"/>
        </w:rPr>
        <w:t>need to receive some guidance fr</w:t>
      </w:r>
      <w:r w:rsidR="008F61C3">
        <w:rPr>
          <w:sz w:val="22"/>
          <w:szCs w:val="22"/>
        </w:rPr>
        <w:t>om the Sub-Committee</w:t>
      </w:r>
      <w:r w:rsidRPr="00EB1277">
        <w:rPr>
          <w:sz w:val="22"/>
          <w:szCs w:val="22"/>
        </w:rPr>
        <w:t>, these issues are listed in the Table 1 presented below.</w:t>
      </w:r>
      <w:r w:rsidR="008F61C3">
        <w:rPr>
          <w:sz w:val="22"/>
          <w:szCs w:val="22"/>
        </w:rPr>
        <w:t xml:space="preserve"> </w:t>
      </w:r>
      <w:r w:rsidRPr="00EB1277">
        <w:rPr>
          <w:sz w:val="22"/>
          <w:szCs w:val="22"/>
        </w:rPr>
        <w:t xml:space="preserve">In addition, the </w:t>
      </w:r>
      <w:r w:rsidR="008F61C3">
        <w:rPr>
          <w:sz w:val="22"/>
          <w:szCs w:val="22"/>
        </w:rPr>
        <w:t>IWG</w:t>
      </w:r>
      <w:r w:rsidRPr="00EB1277">
        <w:rPr>
          <w:sz w:val="22"/>
          <w:szCs w:val="22"/>
        </w:rPr>
        <w:t xml:space="preserve"> came to a consensus on several items tabled at the agenda and is proposing</w:t>
      </w:r>
      <w:r w:rsidRPr="00EB1277">
        <w:t xml:space="preserve"> </w:t>
      </w:r>
      <w:r w:rsidRPr="00EB1277">
        <w:rPr>
          <w:sz w:val="22"/>
          <w:szCs w:val="22"/>
        </w:rPr>
        <w:t xml:space="preserve">the text below for review of the Subcommittee: </w:t>
      </w:r>
    </w:p>
    <w:p w:rsidR="00B12B21" w:rsidRPr="00EB1277" w:rsidRDefault="00B12B21" w:rsidP="005C7D60">
      <w:pPr>
        <w:pStyle w:val="SingleTxtG"/>
        <w:rPr>
          <w:sz w:val="22"/>
          <w:szCs w:val="22"/>
        </w:rPr>
      </w:pPr>
      <w:r w:rsidRPr="005C7D60">
        <w:rPr>
          <w:b/>
          <w:sz w:val="22"/>
          <w:szCs w:val="22"/>
        </w:rPr>
        <w:t xml:space="preserve">3.1: </w:t>
      </w:r>
      <w:r w:rsidR="005C7D60" w:rsidRPr="005C7D60">
        <w:rPr>
          <w:b/>
          <w:sz w:val="22"/>
          <w:szCs w:val="22"/>
        </w:rPr>
        <w:tab/>
      </w:r>
      <w:r w:rsidRPr="00EB1277">
        <w:rPr>
          <w:b/>
          <w:sz w:val="22"/>
          <w:szCs w:val="22"/>
        </w:rPr>
        <w:t>List of tests requirements according to the type of cell and battery.</w:t>
      </w:r>
    </w:p>
    <w:p w:rsidR="00B12B21" w:rsidRPr="00EB1277" w:rsidRDefault="00B12B21" w:rsidP="005C7D60">
      <w:pPr>
        <w:pStyle w:val="SingleTxtG"/>
        <w:ind w:firstLine="36"/>
        <w:rPr>
          <w:sz w:val="22"/>
          <w:szCs w:val="22"/>
        </w:rPr>
      </w:pPr>
      <w:r w:rsidRPr="00EB1277">
        <w:rPr>
          <w:sz w:val="22"/>
          <w:szCs w:val="22"/>
        </w:rPr>
        <w:t xml:space="preserve">The </w:t>
      </w:r>
      <w:r w:rsidR="008F61C3">
        <w:rPr>
          <w:sz w:val="22"/>
          <w:szCs w:val="22"/>
        </w:rPr>
        <w:t>I</w:t>
      </w:r>
      <w:r w:rsidRPr="00EB1277">
        <w:rPr>
          <w:sz w:val="22"/>
          <w:szCs w:val="22"/>
        </w:rPr>
        <w:t>WG agreed to present the draft form of the tables to the Subcommittee for review and comment, with the intention that feedback will be used to develop a formal proposal at the next WG Session, including a replacement of the text from both paragraphs 38.3.2.1 and 38.3.3.   These tables are presented in Appendix 1.</w:t>
      </w:r>
    </w:p>
    <w:p w:rsidR="00B12B21" w:rsidRPr="00EB1277" w:rsidRDefault="0089158D" w:rsidP="002B5726">
      <w:pPr>
        <w:pStyle w:val="SingleTxtG"/>
        <w:spacing w:before="240"/>
        <w:ind w:left="1168" w:hanging="539"/>
        <w:rPr>
          <w:sz w:val="22"/>
          <w:szCs w:val="22"/>
        </w:rPr>
      </w:pPr>
      <w:r>
        <w:rPr>
          <w:sz w:val="22"/>
          <w:szCs w:val="22"/>
        </w:rPr>
        <w:br w:type="page"/>
      </w:r>
      <w:r w:rsidR="00B12B21" w:rsidRPr="005C7D60">
        <w:rPr>
          <w:b/>
          <w:sz w:val="22"/>
          <w:szCs w:val="22"/>
        </w:rPr>
        <w:lastRenderedPageBreak/>
        <w:t>3.2:</w:t>
      </w:r>
      <w:r w:rsidR="009525D1" w:rsidRPr="005C7D60">
        <w:rPr>
          <w:b/>
          <w:sz w:val="22"/>
          <w:szCs w:val="22"/>
        </w:rPr>
        <w:tab/>
      </w:r>
      <w:r w:rsidR="00B12B21" w:rsidRPr="00EB1277">
        <w:rPr>
          <w:b/>
          <w:sz w:val="22"/>
          <w:szCs w:val="22"/>
        </w:rPr>
        <w:t>Definition of hybrid batteries (combined Li-metal and Li-ion cells and batteries).</w:t>
      </w:r>
    </w:p>
    <w:p w:rsidR="00B12B21" w:rsidRPr="00EB1277" w:rsidRDefault="00B12B21" w:rsidP="0089158D">
      <w:pPr>
        <w:pStyle w:val="SingleTxtG"/>
        <w:ind w:left="1080" w:hanging="486"/>
        <w:rPr>
          <w:sz w:val="22"/>
          <w:szCs w:val="22"/>
          <w:u w:val="single"/>
        </w:rPr>
      </w:pPr>
      <w:r w:rsidRPr="00EB1277">
        <w:rPr>
          <w:sz w:val="22"/>
          <w:szCs w:val="22"/>
        </w:rPr>
        <w:t>The following recommendation is made by the IWG.</w:t>
      </w:r>
    </w:p>
    <w:p w:rsidR="00B12B21" w:rsidRPr="00EB1277" w:rsidRDefault="00B12B21" w:rsidP="0089158D">
      <w:pPr>
        <w:pStyle w:val="SingleTxtG"/>
        <w:ind w:left="1080" w:hanging="486"/>
        <w:rPr>
          <w:sz w:val="22"/>
          <w:szCs w:val="22"/>
          <w:u w:val="single"/>
        </w:rPr>
      </w:pPr>
      <w:r w:rsidRPr="00EB1277">
        <w:rPr>
          <w:sz w:val="22"/>
          <w:szCs w:val="22"/>
          <w:u w:val="single"/>
        </w:rPr>
        <w:t>Enter a new Special Provision referring to UN Numbers 3090 and 3091:</w:t>
      </w:r>
    </w:p>
    <w:p w:rsidR="00B12B21" w:rsidRPr="00EB1277" w:rsidRDefault="00B12B21" w:rsidP="009525D1">
      <w:pPr>
        <w:pStyle w:val="SingleTxtG"/>
        <w:ind w:left="630" w:hanging="36"/>
        <w:rPr>
          <w:sz w:val="22"/>
          <w:szCs w:val="22"/>
          <w:u w:val="single"/>
        </w:rPr>
      </w:pPr>
      <w:r w:rsidRPr="00EB1277">
        <w:rPr>
          <w:sz w:val="22"/>
          <w:szCs w:val="22"/>
          <w:u w:val="single"/>
        </w:rPr>
        <w:t>A lithium battery containing primary lithium metal cells and rechargeable lithium ion cells shall be carried as a lithium metal battery if it meets the following:</w:t>
      </w:r>
    </w:p>
    <w:p w:rsidR="00B12B21" w:rsidRPr="00EB1277" w:rsidRDefault="00B12B21" w:rsidP="0089158D">
      <w:pPr>
        <w:pStyle w:val="SingleTxtG"/>
        <w:ind w:left="1080" w:hanging="486"/>
        <w:rPr>
          <w:sz w:val="22"/>
          <w:szCs w:val="22"/>
          <w:u w:val="single"/>
        </w:rPr>
      </w:pPr>
      <w:r w:rsidRPr="00EB1277">
        <w:rPr>
          <w:sz w:val="22"/>
          <w:szCs w:val="22"/>
          <w:u w:val="single"/>
        </w:rPr>
        <w:t>(a)</w:t>
      </w:r>
      <w:r w:rsidRPr="00EB1277">
        <w:rPr>
          <w:sz w:val="22"/>
          <w:szCs w:val="22"/>
          <w:u w:val="single"/>
        </w:rPr>
        <w:tab/>
      </w:r>
      <w:proofErr w:type="gramStart"/>
      <w:r w:rsidRPr="00EB1277">
        <w:rPr>
          <w:sz w:val="22"/>
          <w:szCs w:val="22"/>
          <w:u w:val="single"/>
        </w:rPr>
        <w:t>it</w:t>
      </w:r>
      <w:proofErr w:type="gramEnd"/>
      <w:r w:rsidRPr="00EB1277">
        <w:rPr>
          <w:sz w:val="22"/>
          <w:szCs w:val="22"/>
          <w:u w:val="single"/>
        </w:rPr>
        <w:t xml:space="preserve"> is not designed to be externally recharged; and</w:t>
      </w:r>
    </w:p>
    <w:p w:rsidR="00B12B21" w:rsidRPr="00EB1277" w:rsidRDefault="00B12B21" w:rsidP="0089158D">
      <w:pPr>
        <w:pStyle w:val="SingleTxtG"/>
        <w:ind w:left="1080" w:hanging="486"/>
        <w:rPr>
          <w:sz w:val="22"/>
          <w:szCs w:val="22"/>
          <w:u w:val="single"/>
        </w:rPr>
      </w:pPr>
      <w:r w:rsidRPr="00EB1277">
        <w:rPr>
          <w:sz w:val="22"/>
          <w:szCs w:val="22"/>
          <w:u w:val="single"/>
        </w:rPr>
        <w:t>(b)</w:t>
      </w:r>
      <w:r w:rsidRPr="00EB1277">
        <w:rPr>
          <w:sz w:val="22"/>
          <w:szCs w:val="22"/>
          <w:u w:val="single"/>
        </w:rPr>
        <w:tab/>
      </w:r>
      <w:proofErr w:type="gramStart"/>
      <w:r w:rsidRPr="00EB1277">
        <w:rPr>
          <w:sz w:val="22"/>
          <w:szCs w:val="22"/>
          <w:u w:val="single"/>
        </w:rPr>
        <w:t>the</w:t>
      </w:r>
      <w:proofErr w:type="gramEnd"/>
      <w:r w:rsidRPr="00EB1277">
        <w:rPr>
          <w:sz w:val="22"/>
          <w:szCs w:val="22"/>
          <w:u w:val="single"/>
        </w:rPr>
        <w:t xml:space="preserve"> rechargeable cells are only charged from the primary cells; and </w:t>
      </w:r>
    </w:p>
    <w:p w:rsidR="00B12B21" w:rsidRPr="00EB1277" w:rsidRDefault="00B12B21" w:rsidP="0089158D">
      <w:pPr>
        <w:pStyle w:val="SingleTxtG"/>
        <w:ind w:left="1080" w:hanging="486"/>
        <w:rPr>
          <w:sz w:val="22"/>
          <w:szCs w:val="22"/>
          <w:u w:val="single"/>
        </w:rPr>
      </w:pPr>
      <w:r w:rsidRPr="00EB1277">
        <w:rPr>
          <w:sz w:val="22"/>
          <w:szCs w:val="22"/>
          <w:u w:val="single"/>
        </w:rPr>
        <w:t>(c)</w:t>
      </w:r>
      <w:r w:rsidRPr="00EB1277">
        <w:rPr>
          <w:sz w:val="22"/>
          <w:szCs w:val="22"/>
          <w:u w:val="single"/>
        </w:rPr>
        <w:tab/>
      </w:r>
      <w:proofErr w:type="gramStart"/>
      <w:r w:rsidRPr="00EB1277">
        <w:rPr>
          <w:sz w:val="22"/>
          <w:szCs w:val="22"/>
          <w:u w:val="single"/>
        </w:rPr>
        <w:t>overcharge</w:t>
      </w:r>
      <w:proofErr w:type="gramEnd"/>
      <w:r w:rsidRPr="00EB1277">
        <w:rPr>
          <w:sz w:val="22"/>
          <w:szCs w:val="22"/>
          <w:u w:val="single"/>
        </w:rPr>
        <w:t xml:space="preserve"> of the rechargeable cells is precluded by design; and</w:t>
      </w:r>
    </w:p>
    <w:p w:rsidR="00B12B21" w:rsidRPr="00EB1277" w:rsidRDefault="00B12B21" w:rsidP="0089158D">
      <w:pPr>
        <w:pStyle w:val="SingleTxtG"/>
        <w:ind w:left="1080" w:hanging="486"/>
        <w:rPr>
          <w:sz w:val="22"/>
          <w:szCs w:val="22"/>
          <w:u w:val="single"/>
        </w:rPr>
      </w:pPr>
      <w:r w:rsidRPr="00EB1277">
        <w:rPr>
          <w:sz w:val="22"/>
          <w:szCs w:val="22"/>
          <w:u w:val="single"/>
        </w:rPr>
        <w:t>(d)</w:t>
      </w:r>
      <w:r w:rsidRPr="00EB1277">
        <w:rPr>
          <w:sz w:val="22"/>
          <w:szCs w:val="22"/>
          <w:u w:val="single"/>
        </w:rPr>
        <w:tab/>
      </w:r>
      <w:proofErr w:type="gramStart"/>
      <w:r w:rsidRPr="00EB1277">
        <w:rPr>
          <w:sz w:val="22"/>
          <w:szCs w:val="22"/>
          <w:u w:val="single"/>
        </w:rPr>
        <w:t>the</w:t>
      </w:r>
      <w:proofErr w:type="gramEnd"/>
      <w:r w:rsidRPr="00EB1277">
        <w:rPr>
          <w:sz w:val="22"/>
          <w:szCs w:val="22"/>
          <w:u w:val="single"/>
        </w:rPr>
        <w:t xml:space="preserve"> battery has been tested as a lithium primary battery; and</w:t>
      </w:r>
    </w:p>
    <w:p w:rsidR="00B12B21" w:rsidRPr="00EB1277" w:rsidRDefault="00B12B21" w:rsidP="0089158D">
      <w:pPr>
        <w:pStyle w:val="SingleTxtG"/>
        <w:ind w:left="1080" w:hanging="486"/>
        <w:rPr>
          <w:sz w:val="22"/>
          <w:szCs w:val="22"/>
          <w:u w:val="single"/>
        </w:rPr>
      </w:pPr>
      <w:r w:rsidRPr="00EB1277">
        <w:rPr>
          <w:sz w:val="22"/>
          <w:szCs w:val="22"/>
          <w:u w:val="single"/>
        </w:rPr>
        <w:t>(e)</w:t>
      </w:r>
      <w:r w:rsidRPr="00EB1277">
        <w:rPr>
          <w:sz w:val="22"/>
          <w:szCs w:val="22"/>
          <w:u w:val="single"/>
        </w:rPr>
        <w:tab/>
      </w:r>
      <w:proofErr w:type="gramStart"/>
      <w:r w:rsidRPr="00EB1277">
        <w:rPr>
          <w:sz w:val="22"/>
          <w:szCs w:val="22"/>
          <w:u w:val="single"/>
        </w:rPr>
        <w:t>its</w:t>
      </w:r>
      <w:proofErr w:type="gramEnd"/>
      <w:r w:rsidRPr="00EB1277">
        <w:rPr>
          <w:sz w:val="22"/>
          <w:szCs w:val="22"/>
          <w:u w:val="single"/>
        </w:rPr>
        <w:t xml:space="preserve"> component cells are of a type proved to meet the respective testing requirements of the Manual of Tests and Criteria, part III, sub-section 38.3; and</w:t>
      </w:r>
    </w:p>
    <w:p w:rsidR="00B12B21" w:rsidRPr="00EB1277" w:rsidRDefault="00B12B21" w:rsidP="005C7D60">
      <w:pPr>
        <w:pStyle w:val="SingleTxtG"/>
        <w:spacing w:before="240" w:after="240"/>
        <w:ind w:left="1083" w:hanging="488"/>
        <w:rPr>
          <w:sz w:val="22"/>
          <w:szCs w:val="22"/>
        </w:rPr>
      </w:pPr>
      <w:r w:rsidRPr="00EB1277">
        <w:rPr>
          <w:sz w:val="22"/>
          <w:szCs w:val="22"/>
          <w:u w:val="single"/>
        </w:rPr>
        <w:t>(f)</w:t>
      </w:r>
      <w:r w:rsidRPr="00EB1277">
        <w:rPr>
          <w:sz w:val="22"/>
          <w:szCs w:val="22"/>
          <w:u w:val="single"/>
        </w:rPr>
        <w:tab/>
      </w:r>
      <w:proofErr w:type="gramStart"/>
      <w:r w:rsidRPr="00EB1277">
        <w:rPr>
          <w:sz w:val="22"/>
          <w:szCs w:val="22"/>
          <w:u w:val="single"/>
        </w:rPr>
        <w:t>it</w:t>
      </w:r>
      <w:proofErr w:type="gramEnd"/>
      <w:r w:rsidRPr="00EB1277">
        <w:rPr>
          <w:sz w:val="22"/>
          <w:szCs w:val="22"/>
          <w:u w:val="single"/>
        </w:rPr>
        <w:t xml:space="preserve"> meets the provisions of 2.9.4. (b) </w:t>
      </w:r>
      <w:proofErr w:type="gramStart"/>
      <w:r w:rsidRPr="00EB1277">
        <w:rPr>
          <w:sz w:val="22"/>
          <w:szCs w:val="22"/>
          <w:u w:val="single"/>
        </w:rPr>
        <w:t>to</w:t>
      </w:r>
      <w:proofErr w:type="gramEnd"/>
      <w:r w:rsidRPr="00EB1277">
        <w:rPr>
          <w:sz w:val="22"/>
          <w:szCs w:val="22"/>
          <w:u w:val="single"/>
        </w:rPr>
        <w:t xml:space="preserve"> (e).</w:t>
      </w:r>
    </w:p>
    <w:p w:rsidR="00B12B21" w:rsidRPr="00EB1277" w:rsidRDefault="00B12B21" w:rsidP="0089158D">
      <w:pPr>
        <w:pStyle w:val="SingleTxtG"/>
        <w:ind w:left="1080" w:hanging="486"/>
        <w:rPr>
          <w:sz w:val="22"/>
          <w:szCs w:val="22"/>
        </w:rPr>
      </w:pPr>
      <w:r w:rsidRPr="005C7D60">
        <w:rPr>
          <w:b/>
          <w:sz w:val="22"/>
          <w:szCs w:val="22"/>
        </w:rPr>
        <w:t xml:space="preserve">3.3 </w:t>
      </w:r>
      <w:r w:rsidR="009525D1" w:rsidRPr="005C7D60">
        <w:rPr>
          <w:b/>
          <w:sz w:val="22"/>
          <w:szCs w:val="22"/>
        </w:rPr>
        <w:tab/>
      </w:r>
      <w:r w:rsidRPr="00EB1277">
        <w:rPr>
          <w:b/>
          <w:sz w:val="22"/>
          <w:szCs w:val="22"/>
        </w:rPr>
        <w:t>Definition of equipment.</w:t>
      </w:r>
      <w:r w:rsidRPr="00EB1277">
        <w:rPr>
          <w:sz w:val="22"/>
          <w:szCs w:val="22"/>
        </w:rPr>
        <w:t xml:space="preserve"> </w:t>
      </w:r>
    </w:p>
    <w:p w:rsidR="00B12B21" w:rsidRPr="00EB1277" w:rsidRDefault="00B12B21" w:rsidP="0089158D">
      <w:pPr>
        <w:pStyle w:val="SingleTxtG"/>
        <w:ind w:left="1080" w:hanging="486"/>
        <w:rPr>
          <w:sz w:val="22"/>
          <w:szCs w:val="22"/>
        </w:rPr>
      </w:pPr>
      <w:r w:rsidRPr="00EB1277">
        <w:rPr>
          <w:sz w:val="22"/>
          <w:szCs w:val="22"/>
        </w:rPr>
        <w:t>The following recommendation is made by the IWG.</w:t>
      </w:r>
    </w:p>
    <w:p w:rsidR="00B12B21" w:rsidRPr="00EB1277" w:rsidRDefault="00B12B21" w:rsidP="0089158D">
      <w:pPr>
        <w:pStyle w:val="SingleTxtG"/>
        <w:ind w:left="1080" w:hanging="486"/>
        <w:rPr>
          <w:sz w:val="22"/>
          <w:szCs w:val="22"/>
          <w:u w:val="single"/>
        </w:rPr>
      </w:pPr>
      <w:r w:rsidRPr="00EB1277">
        <w:rPr>
          <w:sz w:val="22"/>
          <w:szCs w:val="22"/>
          <w:u w:val="single"/>
        </w:rPr>
        <w:t>Add a sentence to the end of SP188 [and SP230 or a new SP]:</w:t>
      </w:r>
    </w:p>
    <w:p w:rsidR="00B12B21" w:rsidRPr="00EB1277" w:rsidRDefault="00B12B21" w:rsidP="0089158D">
      <w:pPr>
        <w:pStyle w:val="SingleTxtG"/>
        <w:ind w:left="630" w:hanging="36"/>
        <w:rPr>
          <w:sz w:val="22"/>
          <w:szCs w:val="22"/>
          <w:u w:val="single"/>
        </w:rPr>
      </w:pPr>
      <w:r w:rsidRPr="00EB1277">
        <w:rPr>
          <w:sz w:val="22"/>
          <w:szCs w:val="22"/>
          <w:u w:val="single"/>
        </w:rPr>
        <w:t>For the purpose of this special provision, equipment are devices intended to be powered by or used in the operation associated with the lithium ion or lithium metal cells or batteries packaged with or installed in the devices. Examples of such equipment include, but are not limited to, notebook computers, tablets, cellular phones, e-readers, medical devices, power tools, flashlights, [battery chargers,] circuit boards and toys.</w:t>
      </w:r>
    </w:p>
    <w:p w:rsidR="00B12B21" w:rsidRPr="00EB1277" w:rsidRDefault="00B12B21" w:rsidP="005C7D60">
      <w:pPr>
        <w:pStyle w:val="SingleTxtG"/>
        <w:ind w:left="567" w:firstLine="27"/>
        <w:rPr>
          <w:sz w:val="22"/>
          <w:szCs w:val="22"/>
        </w:rPr>
      </w:pPr>
      <w:r w:rsidRPr="00EB1277">
        <w:rPr>
          <w:sz w:val="22"/>
          <w:szCs w:val="22"/>
        </w:rPr>
        <w:t>4.</w:t>
      </w:r>
      <w:r w:rsidRPr="00EB1277">
        <w:rPr>
          <w:sz w:val="22"/>
          <w:szCs w:val="22"/>
        </w:rPr>
        <w:tab/>
        <w:t xml:space="preserve">The IWG reviewed the proposal for a Lithium Battery Test Report. General support was given for the draft document presented at the IWG and the IWG recommended the draft version be presented to the Subcommittee for additional comment. </w:t>
      </w:r>
      <w:r w:rsidR="008F61C3">
        <w:rPr>
          <w:sz w:val="22"/>
          <w:szCs w:val="22"/>
        </w:rPr>
        <w:t xml:space="preserve"> </w:t>
      </w:r>
      <w:r w:rsidRPr="00EB1277">
        <w:rPr>
          <w:sz w:val="22"/>
          <w:szCs w:val="22"/>
        </w:rPr>
        <w:t>The list of items to be supplied by the Test Facility in the Report is presented in Table 2.</w:t>
      </w:r>
    </w:p>
    <w:p w:rsidR="00B12B21" w:rsidRPr="00EB1277" w:rsidRDefault="00B12B21" w:rsidP="005C7D60">
      <w:pPr>
        <w:pStyle w:val="SingleTxtG"/>
        <w:ind w:left="567" w:firstLine="27"/>
        <w:rPr>
          <w:lang w:val="fr-CH"/>
        </w:rPr>
      </w:pPr>
      <w:r w:rsidRPr="00EB1277">
        <w:rPr>
          <w:sz w:val="22"/>
          <w:szCs w:val="22"/>
        </w:rPr>
        <w:t>5.</w:t>
      </w:r>
      <w:r w:rsidRPr="00EB1277">
        <w:rPr>
          <w:sz w:val="22"/>
          <w:szCs w:val="22"/>
        </w:rPr>
        <w:tab/>
        <w:t xml:space="preserve">The next IWG Meeting will be organised by RECHARGE in Bordeaux, France, on March 28-30, 2016. Delegates interested in participating in the </w:t>
      </w:r>
      <w:r w:rsidR="008F61C3">
        <w:rPr>
          <w:sz w:val="22"/>
          <w:szCs w:val="22"/>
        </w:rPr>
        <w:t>IWG</w:t>
      </w:r>
      <w:r w:rsidRPr="00EB1277">
        <w:rPr>
          <w:sz w:val="22"/>
          <w:szCs w:val="22"/>
        </w:rPr>
        <w:t xml:space="preserve"> are invited to contact RECHARGE, PRBA, or COSTHA</w:t>
      </w:r>
      <w:r w:rsidRPr="00EB1277">
        <w:t>, at the following e-mail addresses.</w:t>
      </w:r>
    </w:p>
    <w:p w:rsidR="00B12B21" w:rsidRPr="00EB1277" w:rsidRDefault="00B12B21" w:rsidP="0089158D">
      <w:pPr>
        <w:pStyle w:val="SingleTxtG"/>
        <w:ind w:left="1080"/>
      </w:pPr>
      <w:r w:rsidRPr="00EB1277">
        <w:rPr>
          <w:lang w:val="fr-CH"/>
        </w:rPr>
        <w:t xml:space="preserve">Claude Chanson / RECHARGE: </w:t>
      </w:r>
      <w:hyperlink r:id="rId10" w:history="1">
        <w:r w:rsidRPr="00EB1277">
          <w:rPr>
            <w:rStyle w:val="Hyperlink"/>
            <w:lang w:val="fr-CH"/>
          </w:rPr>
          <w:t>cchanson@rechargebatteries.org</w:t>
        </w:r>
      </w:hyperlink>
    </w:p>
    <w:p w:rsidR="00B12B21" w:rsidRPr="00EB1277" w:rsidRDefault="00B12B21" w:rsidP="0089158D">
      <w:pPr>
        <w:pStyle w:val="SingleTxtG"/>
        <w:ind w:left="1080"/>
      </w:pPr>
      <w:r w:rsidRPr="00EB1277">
        <w:t>CC should be addressed to the following addresses:</w:t>
      </w:r>
    </w:p>
    <w:p w:rsidR="00B12B21" w:rsidRPr="00EB1277" w:rsidRDefault="00B12B21" w:rsidP="0089158D">
      <w:pPr>
        <w:pStyle w:val="SingleTxtG"/>
        <w:ind w:left="1080" w:hanging="486"/>
      </w:pPr>
      <w:r w:rsidRPr="00EB1277">
        <w:tab/>
      </w:r>
      <w:r w:rsidRPr="00EB1277">
        <w:rPr>
          <w:sz w:val="22"/>
          <w:szCs w:val="22"/>
          <w:lang w:val="de-CH"/>
        </w:rPr>
        <w:t xml:space="preserve">George Kerchner / PRBA </w:t>
      </w:r>
      <w:hyperlink r:id="rId11" w:history="1">
        <w:r w:rsidRPr="00EB1277">
          <w:rPr>
            <w:rStyle w:val="Hyperlink"/>
            <w:lang w:val="de-CH"/>
          </w:rPr>
          <w:t>gkerchner@wileyrein.com</w:t>
        </w:r>
      </w:hyperlink>
      <w:r w:rsidRPr="00EB1277">
        <w:rPr>
          <w:lang w:val="de-CH"/>
        </w:rPr>
        <w:t xml:space="preserve"> </w:t>
      </w:r>
    </w:p>
    <w:p w:rsidR="00B12B21" w:rsidRPr="00EB1277" w:rsidRDefault="00B12B21" w:rsidP="0089158D">
      <w:pPr>
        <w:pStyle w:val="SingleTxtG"/>
        <w:ind w:hanging="54"/>
        <w:rPr>
          <w:b/>
          <w:sz w:val="22"/>
          <w:szCs w:val="22"/>
        </w:rPr>
      </w:pPr>
      <w:r w:rsidRPr="00EB1277">
        <w:t>Tom Fergusson / COSTHA:   tom@costha.com</w:t>
      </w:r>
    </w:p>
    <w:p w:rsidR="00B12B21" w:rsidRPr="00EB1277" w:rsidRDefault="005C7D60">
      <w:pPr>
        <w:pStyle w:val="SingleTxtG"/>
        <w:pageBreakBefore/>
        <w:jc w:val="center"/>
        <w:rPr>
          <w:b/>
          <w:sz w:val="22"/>
          <w:szCs w:val="22"/>
        </w:rPr>
      </w:pPr>
      <w:r>
        <w:rPr>
          <w:b/>
          <w:sz w:val="22"/>
          <w:szCs w:val="22"/>
        </w:rPr>
        <w:lastRenderedPageBreak/>
        <w:t>Table 1</w:t>
      </w:r>
    </w:p>
    <w:p w:rsidR="00B12B21" w:rsidRPr="00EB1277" w:rsidRDefault="00B12B21" w:rsidP="005C7D60">
      <w:pPr>
        <w:spacing w:before="120" w:after="120"/>
        <w:jc w:val="center"/>
        <w:rPr>
          <w:b/>
          <w:sz w:val="22"/>
          <w:szCs w:val="22"/>
        </w:rPr>
      </w:pPr>
      <w:r w:rsidRPr="00EB1277">
        <w:rPr>
          <w:b/>
          <w:sz w:val="22"/>
          <w:szCs w:val="22"/>
        </w:rPr>
        <w:t>L</w:t>
      </w:r>
      <w:r w:rsidR="005C7D60">
        <w:rPr>
          <w:b/>
          <w:sz w:val="22"/>
          <w:szCs w:val="22"/>
        </w:rPr>
        <w:t>ist of items where guidance is requested from the SCETDG</w:t>
      </w:r>
    </w:p>
    <w:p w:rsidR="00B12B21" w:rsidRPr="00EB1277" w:rsidRDefault="00B12B21">
      <w:pPr>
        <w:jc w:val="center"/>
      </w:pPr>
      <w:r w:rsidRPr="00EB1277">
        <w:rPr>
          <w:b/>
          <w:sz w:val="22"/>
          <w:szCs w:val="22"/>
        </w:rPr>
        <w:t>Follow-up of the 2nd Informal Working Group Meeting on UN Lithium Battery Tests</w:t>
      </w:r>
    </w:p>
    <w:p w:rsidR="00B12B21" w:rsidRPr="00EB1277" w:rsidRDefault="00B12B21"/>
    <w:tbl>
      <w:tblPr>
        <w:tblW w:w="0" w:type="auto"/>
        <w:tblInd w:w="-118" w:type="dxa"/>
        <w:tblLayout w:type="fixed"/>
        <w:tblCellMar>
          <w:left w:w="0" w:type="dxa"/>
          <w:right w:w="0" w:type="dxa"/>
        </w:tblCellMar>
        <w:tblLook w:val="0000" w:firstRow="0" w:lastRow="0" w:firstColumn="0" w:lastColumn="0" w:noHBand="0" w:noVBand="0"/>
      </w:tblPr>
      <w:tblGrid>
        <w:gridCol w:w="704"/>
        <w:gridCol w:w="3969"/>
        <w:gridCol w:w="4399"/>
      </w:tblGrid>
      <w:tr w:rsidR="00B12B21" w:rsidRPr="00EB1277">
        <w:trPr>
          <w:tblHeader/>
        </w:trPr>
        <w:tc>
          <w:tcPr>
            <w:tcW w:w="704" w:type="dxa"/>
            <w:tcBorders>
              <w:top w:val="single" w:sz="4" w:space="0" w:color="000000"/>
              <w:left w:val="single" w:sz="4" w:space="0" w:color="000000"/>
              <w:bottom w:val="single" w:sz="4" w:space="0" w:color="000000"/>
            </w:tcBorders>
            <w:shd w:val="clear" w:color="auto" w:fill="auto"/>
          </w:tcPr>
          <w:p w:rsidR="00B12B21" w:rsidRPr="00EB1277" w:rsidRDefault="00B12B21">
            <w:pPr>
              <w:snapToGrid w:val="0"/>
              <w:spacing w:before="40" w:after="40"/>
              <w:jc w:val="center"/>
              <w:rPr>
                <w:b/>
              </w:rPr>
            </w:pPr>
          </w:p>
        </w:tc>
        <w:tc>
          <w:tcPr>
            <w:tcW w:w="3969" w:type="dxa"/>
            <w:tcBorders>
              <w:top w:val="single" w:sz="4" w:space="0" w:color="000000"/>
              <w:left w:val="single" w:sz="4" w:space="0" w:color="000000"/>
              <w:bottom w:val="single" w:sz="4" w:space="0" w:color="000000"/>
            </w:tcBorders>
            <w:shd w:val="clear" w:color="auto" w:fill="auto"/>
          </w:tcPr>
          <w:p w:rsidR="00B12B21" w:rsidRPr="00EB1277" w:rsidRDefault="00B12B21">
            <w:pPr>
              <w:spacing w:before="40" w:after="40"/>
              <w:rPr>
                <w:b/>
              </w:rPr>
            </w:pPr>
            <w:r w:rsidRPr="00EB1277">
              <w:rPr>
                <w:b/>
              </w:rPr>
              <w:t>Discussion Items</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B12B21" w:rsidRPr="00EB1277" w:rsidRDefault="00B12B21">
            <w:pPr>
              <w:spacing w:before="40" w:after="40"/>
            </w:pPr>
            <w:r w:rsidRPr="00EB1277">
              <w:rPr>
                <w:b/>
              </w:rPr>
              <w:t>SCETDG’s Comments Requested</w:t>
            </w:r>
          </w:p>
        </w:tc>
      </w:tr>
      <w:tr w:rsidR="00B12B21" w:rsidRPr="00EB1277">
        <w:tc>
          <w:tcPr>
            <w:tcW w:w="704" w:type="dxa"/>
            <w:tcBorders>
              <w:top w:val="single" w:sz="4" w:space="0" w:color="000000"/>
              <w:left w:val="single" w:sz="4" w:space="0" w:color="000000"/>
              <w:bottom w:val="single" w:sz="4" w:space="0" w:color="000000"/>
            </w:tcBorders>
            <w:shd w:val="clear" w:color="auto" w:fill="auto"/>
          </w:tcPr>
          <w:p w:rsidR="00B12B21" w:rsidRPr="00EB1277" w:rsidRDefault="00B12B21">
            <w:pPr>
              <w:pStyle w:val="ListParagraph"/>
              <w:spacing w:before="40" w:after="40" w:line="240" w:lineRule="auto"/>
              <w:ind w:left="0"/>
              <w:jc w:val="center"/>
              <w:rPr>
                <w:b/>
                <w:color w:val="000000"/>
              </w:rPr>
            </w:pPr>
            <w:r w:rsidRPr="00EB1277">
              <w:rPr>
                <w:rFonts w:ascii="Times New Roman" w:hAnsi="Times New Roman"/>
                <w:b/>
                <w:sz w:val="20"/>
                <w:szCs w:val="20"/>
              </w:rPr>
              <w:t>1.</w:t>
            </w:r>
          </w:p>
        </w:tc>
        <w:tc>
          <w:tcPr>
            <w:tcW w:w="3969" w:type="dxa"/>
            <w:tcBorders>
              <w:top w:val="single" w:sz="4" w:space="0" w:color="000000"/>
              <w:left w:val="single" w:sz="4" w:space="0" w:color="000000"/>
              <w:bottom w:val="single" w:sz="4" w:space="0" w:color="000000"/>
            </w:tcBorders>
            <w:shd w:val="clear" w:color="auto" w:fill="auto"/>
          </w:tcPr>
          <w:p w:rsidR="00B12B21" w:rsidRPr="00EB1277" w:rsidRDefault="00B12B21">
            <w:pPr>
              <w:spacing w:before="40" w:after="40"/>
              <w:rPr>
                <w:color w:val="000000"/>
                <w:lang w:val="en-US"/>
              </w:rPr>
            </w:pPr>
            <w:r w:rsidRPr="00EB1277">
              <w:rPr>
                <w:b/>
                <w:color w:val="000000"/>
              </w:rPr>
              <w:t>Question of standardisation of the definitions,</w:t>
            </w:r>
            <w:r w:rsidRPr="00EB1277">
              <w:rPr>
                <w:color w:val="000000"/>
              </w:rPr>
              <w:t xml:space="preserve"> used in the Manual of test and Criteria, with the Model regulation and IEC standard.</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B12B21" w:rsidRPr="00EB1277" w:rsidRDefault="00B12B21">
            <w:pPr>
              <w:spacing w:before="40" w:after="40"/>
            </w:pPr>
            <w:r w:rsidRPr="00EB1277">
              <w:rPr>
                <w:color w:val="000000"/>
                <w:lang w:val="en-US"/>
              </w:rPr>
              <w:t xml:space="preserve">The IWG proposes to consider the table of test as an important mean of </w:t>
            </w:r>
            <w:proofErr w:type="gramStart"/>
            <w:r w:rsidRPr="00EB1277">
              <w:rPr>
                <w:color w:val="000000"/>
                <w:lang w:val="en-US"/>
              </w:rPr>
              <w:t>clarification  (</w:t>
            </w:r>
            <w:proofErr w:type="gramEnd"/>
            <w:r w:rsidRPr="00EB1277">
              <w:rPr>
                <w:b/>
                <w:color w:val="000000"/>
                <w:lang w:val="en-US"/>
              </w:rPr>
              <w:t>drafts presented in appendix</w:t>
            </w:r>
            <w:r w:rsidRPr="00EB1277">
              <w:rPr>
                <w:color w:val="000000"/>
                <w:lang w:val="en-US"/>
              </w:rPr>
              <w:t>). The IWG request clarification as to whether the definitions will have to take in account their usage in the Model regulation.</w:t>
            </w:r>
          </w:p>
        </w:tc>
      </w:tr>
      <w:tr w:rsidR="00B12B21" w:rsidRPr="00EB1277">
        <w:tc>
          <w:tcPr>
            <w:tcW w:w="704" w:type="dxa"/>
            <w:tcBorders>
              <w:top w:val="single" w:sz="4" w:space="0" w:color="000000"/>
              <w:left w:val="single" w:sz="4" w:space="0" w:color="000000"/>
              <w:bottom w:val="single" w:sz="4" w:space="0" w:color="000000"/>
            </w:tcBorders>
            <w:shd w:val="clear" w:color="auto" w:fill="auto"/>
          </w:tcPr>
          <w:p w:rsidR="00B12B21" w:rsidRPr="00EB1277" w:rsidRDefault="00B12B21">
            <w:pPr>
              <w:pStyle w:val="ListParagraph"/>
              <w:spacing w:before="40" w:after="40" w:line="240" w:lineRule="auto"/>
              <w:ind w:left="0"/>
              <w:jc w:val="center"/>
              <w:rPr>
                <w:b/>
              </w:rPr>
            </w:pPr>
            <w:r w:rsidRPr="00EB1277">
              <w:rPr>
                <w:rFonts w:ascii="Times New Roman" w:hAnsi="Times New Roman"/>
                <w:b/>
                <w:sz w:val="20"/>
                <w:szCs w:val="20"/>
              </w:rPr>
              <w:t>2.</w:t>
            </w:r>
          </w:p>
        </w:tc>
        <w:tc>
          <w:tcPr>
            <w:tcW w:w="3969" w:type="dxa"/>
            <w:tcBorders>
              <w:top w:val="single" w:sz="4" w:space="0" w:color="000000"/>
              <w:left w:val="single" w:sz="4" w:space="0" w:color="000000"/>
              <w:bottom w:val="single" w:sz="4" w:space="0" w:color="000000"/>
            </w:tcBorders>
            <w:shd w:val="clear" w:color="auto" w:fill="auto"/>
          </w:tcPr>
          <w:p w:rsidR="00B12B21" w:rsidRPr="00EB1277" w:rsidRDefault="00B12B21">
            <w:pPr>
              <w:spacing w:before="40" w:after="40"/>
              <w:rPr>
                <w:color w:val="000000"/>
                <w:lang w:val="en-US"/>
              </w:rPr>
            </w:pPr>
            <w:r w:rsidRPr="00EB1277">
              <w:rPr>
                <w:b/>
              </w:rPr>
              <w:t>Reference to the use of “wire mesh” in the definition of disassembly</w:t>
            </w:r>
            <w:r w:rsidRPr="00EB1277">
              <w:t xml:space="preserve">. It is recognized that the use of a wire mesh for large batteries is not practical. A proposal is made to refer to the energy of projection, like for the explosive (test </w:t>
            </w:r>
            <w:proofErr w:type="gramStart"/>
            <w:r w:rsidRPr="00EB1277">
              <w:t>series  6c</w:t>
            </w:r>
            <w:proofErr w:type="gramEnd"/>
            <w:r w:rsidRPr="00EB1277">
              <w:t>).</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B12B21" w:rsidRPr="00EB1277" w:rsidRDefault="00B12B21">
            <w:pPr>
              <w:spacing w:before="40" w:after="40"/>
            </w:pPr>
            <w:r w:rsidRPr="00EB1277">
              <w:rPr>
                <w:color w:val="000000"/>
                <w:lang w:val="en-US"/>
              </w:rPr>
              <w:t>The IWG to consider a methodology and examples to support a new definition.</w:t>
            </w:r>
          </w:p>
        </w:tc>
      </w:tr>
      <w:tr w:rsidR="00B12B21" w:rsidRPr="00EB1277">
        <w:tc>
          <w:tcPr>
            <w:tcW w:w="704" w:type="dxa"/>
            <w:tcBorders>
              <w:top w:val="single" w:sz="4" w:space="0" w:color="000000"/>
              <w:left w:val="single" w:sz="4" w:space="0" w:color="000000"/>
              <w:bottom w:val="single" w:sz="4" w:space="0" w:color="000000"/>
            </w:tcBorders>
            <w:shd w:val="clear" w:color="auto" w:fill="auto"/>
          </w:tcPr>
          <w:p w:rsidR="00B12B21" w:rsidRPr="00EB1277" w:rsidRDefault="00B12B21">
            <w:pPr>
              <w:pStyle w:val="ListParagraph"/>
              <w:spacing w:before="40" w:after="40" w:line="240" w:lineRule="auto"/>
              <w:ind w:left="0"/>
              <w:jc w:val="center"/>
              <w:rPr>
                <w:b/>
              </w:rPr>
            </w:pPr>
            <w:r w:rsidRPr="00EB1277">
              <w:rPr>
                <w:rFonts w:ascii="Times New Roman" w:hAnsi="Times New Roman"/>
                <w:b/>
                <w:sz w:val="20"/>
                <w:szCs w:val="20"/>
              </w:rPr>
              <w:t>3.</w:t>
            </w:r>
          </w:p>
        </w:tc>
        <w:tc>
          <w:tcPr>
            <w:tcW w:w="3969" w:type="dxa"/>
            <w:tcBorders>
              <w:top w:val="single" w:sz="4" w:space="0" w:color="000000"/>
              <w:left w:val="single" w:sz="4" w:space="0" w:color="000000"/>
              <w:bottom w:val="single" w:sz="4" w:space="0" w:color="000000"/>
            </w:tcBorders>
            <w:shd w:val="clear" w:color="auto" w:fill="auto"/>
          </w:tcPr>
          <w:p w:rsidR="00B12B21" w:rsidRPr="00EB1277" w:rsidRDefault="00B12B21">
            <w:pPr>
              <w:spacing w:before="40" w:after="40"/>
              <w:rPr>
                <w:color w:val="000000"/>
                <w:lang w:val="en-US"/>
              </w:rPr>
            </w:pPr>
            <w:r w:rsidRPr="00EB1277">
              <w:rPr>
                <w:b/>
              </w:rPr>
              <w:t>Reference is made to SP188 (b)</w:t>
            </w:r>
            <w:r w:rsidRPr="00EB1277">
              <w:t>. There are different interpretations on whether cells can exceed 20 Wh in a battery with a Watt-hour rating of not more than 100 Wh.</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B12B21" w:rsidRPr="00EB1277" w:rsidRDefault="00B12B21">
            <w:pPr>
              <w:spacing w:before="40" w:after="40"/>
            </w:pPr>
            <w:r w:rsidRPr="00EB1277">
              <w:rPr>
                <w:color w:val="000000"/>
                <w:lang w:val="en-US"/>
              </w:rPr>
              <w:t>The IWG to ask for more data for clarification of the difference between the cells and batteries for what concerns the risk of propagation in case of thermal runaway.</w:t>
            </w:r>
          </w:p>
        </w:tc>
      </w:tr>
      <w:tr w:rsidR="00B12B21" w:rsidRPr="00EB1277">
        <w:tc>
          <w:tcPr>
            <w:tcW w:w="704" w:type="dxa"/>
            <w:tcBorders>
              <w:top w:val="single" w:sz="4" w:space="0" w:color="000000"/>
              <w:left w:val="single" w:sz="4" w:space="0" w:color="000000"/>
              <w:bottom w:val="single" w:sz="4" w:space="0" w:color="000000"/>
            </w:tcBorders>
            <w:shd w:val="clear" w:color="auto" w:fill="auto"/>
          </w:tcPr>
          <w:p w:rsidR="00B12B21" w:rsidRPr="00EB1277" w:rsidRDefault="00B12B21">
            <w:pPr>
              <w:spacing w:before="40" w:after="40"/>
              <w:jc w:val="center"/>
            </w:pPr>
            <w:r w:rsidRPr="00EB1277">
              <w:rPr>
                <w:b/>
              </w:rPr>
              <w:t>4.</w:t>
            </w:r>
          </w:p>
        </w:tc>
        <w:tc>
          <w:tcPr>
            <w:tcW w:w="3969" w:type="dxa"/>
            <w:tcBorders>
              <w:top w:val="single" w:sz="4" w:space="0" w:color="000000"/>
              <w:left w:val="single" w:sz="4" w:space="0" w:color="000000"/>
              <w:bottom w:val="single" w:sz="4" w:space="0" w:color="000000"/>
            </w:tcBorders>
            <w:shd w:val="clear" w:color="auto" w:fill="auto"/>
          </w:tcPr>
          <w:p w:rsidR="00B12B21" w:rsidRPr="00EB1277" w:rsidRDefault="00B12B21">
            <w:pPr>
              <w:spacing w:before="40" w:after="40"/>
            </w:pPr>
            <w:r w:rsidRPr="00EB1277">
              <w:t xml:space="preserve">Information was presented on </w:t>
            </w:r>
            <w:r w:rsidRPr="00EB1277">
              <w:rPr>
                <w:b/>
              </w:rPr>
              <w:t>rechargeable lithium metal polymer battery</w:t>
            </w:r>
            <w:r w:rsidRPr="00EB1277">
              <w:t xml:space="preserve"> in order to harmonize the description of rechargeable batteries while using Wh units, instead of grams of lithium.</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B12B21" w:rsidRPr="00EB1277" w:rsidRDefault="00B12B21">
            <w:pPr>
              <w:spacing w:before="40" w:after="40"/>
            </w:pPr>
            <w:r w:rsidRPr="00EB1277">
              <w:t>The IWG to ask for additional technical information justifying the change.</w:t>
            </w:r>
          </w:p>
          <w:p w:rsidR="00B12B21" w:rsidRPr="00EB1277" w:rsidRDefault="00B12B21">
            <w:pPr>
              <w:spacing w:before="40" w:after="40"/>
            </w:pPr>
            <w:r w:rsidRPr="00EB1277">
              <w:t xml:space="preserve">This information is presented to the Sub-committee in a separate informal paper </w:t>
            </w:r>
            <w:r w:rsidRPr="00EB1277">
              <w:rPr>
                <w:b/>
              </w:rPr>
              <w:t>UN/SCETDG/48/INF.10</w:t>
            </w:r>
            <w:r w:rsidRPr="00EB1277">
              <w:t xml:space="preserve"> - (RECHARGE, PRBA) Harmonization of the energy rating under SP188 for rechargeable lithium metal polymer and lithium-Ion batteries.</w:t>
            </w:r>
          </w:p>
        </w:tc>
      </w:tr>
      <w:tr w:rsidR="00B12B21" w:rsidRPr="00EB1277">
        <w:tc>
          <w:tcPr>
            <w:tcW w:w="704" w:type="dxa"/>
            <w:tcBorders>
              <w:top w:val="single" w:sz="4" w:space="0" w:color="000000"/>
              <w:left w:val="single" w:sz="4" w:space="0" w:color="000000"/>
              <w:bottom w:val="single" w:sz="4" w:space="0" w:color="000000"/>
            </w:tcBorders>
            <w:shd w:val="clear" w:color="auto" w:fill="auto"/>
          </w:tcPr>
          <w:p w:rsidR="00B12B21" w:rsidRPr="00EB1277" w:rsidRDefault="00B12B21">
            <w:pPr>
              <w:spacing w:before="40" w:after="40"/>
              <w:jc w:val="center"/>
            </w:pPr>
            <w:r w:rsidRPr="00EB1277">
              <w:rPr>
                <w:b/>
              </w:rPr>
              <w:t>5.</w:t>
            </w:r>
          </w:p>
        </w:tc>
        <w:tc>
          <w:tcPr>
            <w:tcW w:w="3969" w:type="dxa"/>
            <w:tcBorders>
              <w:top w:val="single" w:sz="4" w:space="0" w:color="000000"/>
              <w:left w:val="single" w:sz="4" w:space="0" w:color="000000"/>
              <w:bottom w:val="single" w:sz="4" w:space="0" w:color="000000"/>
            </w:tcBorders>
            <w:shd w:val="clear" w:color="auto" w:fill="auto"/>
          </w:tcPr>
          <w:p w:rsidR="00B12B21" w:rsidRPr="00EB1277" w:rsidRDefault="00B12B21">
            <w:pPr>
              <w:spacing w:before="40" w:after="40"/>
            </w:pPr>
            <w:r w:rsidRPr="00EB1277">
              <w:t xml:space="preserve">Request was made to transfer the Cycling requirements before </w:t>
            </w:r>
            <w:r w:rsidRPr="00EB1277">
              <w:rPr>
                <w:b/>
              </w:rPr>
              <w:t>testing of batteries</w:t>
            </w:r>
            <w:r w:rsidRPr="00EB1277">
              <w:t xml:space="preserve"> to the testing of cells.</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B12B21" w:rsidRPr="00EB1277" w:rsidRDefault="00B12B21">
            <w:pPr>
              <w:spacing w:before="40" w:after="40"/>
            </w:pPr>
            <w:r w:rsidRPr="00EB1277">
              <w:t>The IWG did not agree as to whether the cycling should be applied to the cell or to the battery. The IWG was supportive of reviewing the number of cycles but requested additional technical data</w:t>
            </w:r>
            <w:proofErr w:type="gramStart"/>
            <w:r w:rsidRPr="00EB1277">
              <w:t>..</w:t>
            </w:r>
            <w:proofErr w:type="gramEnd"/>
          </w:p>
        </w:tc>
      </w:tr>
      <w:tr w:rsidR="00B12B21" w:rsidRPr="00EB1277">
        <w:tc>
          <w:tcPr>
            <w:tcW w:w="704" w:type="dxa"/>
            <w:tcBorders>
              <w:top w:val="single" w:sz="4" w:space="0" w:color="000000"/>
              <w:left w:val="single" w:sz="4" w:space="0" w:color="000000"/>
              <w:bottom w:val="single" w:sz="4" w:space="0" w:color="000000"/>
            </w:tcBorders>
            <w:shd w:val="clear" w:color="auto" w:fill="auto"/>
          </w:tcPr>
          <w:p w:rsidR="00B12B21" w:rsidRPr="00EB1277" w:rsidRDefault="00B12B21">
            <w:pPr>
              <w:spacing w:before="40" w:after="40"/>
              <w:jc w:val="center"/>
            </w:pPr>
            <w:r w:rsidRPr="00EB1277">
              <w:rPr>
                <w:b/>
              </w:rPr>
              <w:t>6.</w:t>
            </w:r>
          </w:p>
        </w:tc>
        <w:tc>
          <w:tcPr>
            <w:tcW w:w="3969" w:type="dxa"/>
            <w:tcBorders>
              <w:top w:val="single" w:sz="4" w:space="0" w:color="000000"/>
              <w:left w:val="single" w:sz="4" w:space="0" w:color="000000"/>
              <w:bottom w:val="single" w:sz="4" w:space="0" w:color="000000"/>
            </w:tcBorders>
            <w:shd w:val="clear" w:color="auto" w:fill="auto"/>
          </w:tcPr>
          <w:p w:rsidR="00B12B21" w:rsidRPr="00EB1277" w:rsidRDefault="00B12B21">
            <w:pPr>
              <w:spacing w:before="40" w:after="40"/>
            </w:pPr>
            <w:r w:rsidRPr="00EB1277">
              <w:t xml:space="preserve">Accounting for activation of CID or </w:t>
            </w:r>
            <w:r w:rsidRPr="00EB1277">
              <w:rPr>
                <w:b/>
              </w:rPr>
              <w:t>fail safe mechanism in the success criteria of the testing</w:t>
            </w:r>
            <w:r w:rsidRPr="00EB1277">
              <w:t xml:space="preserve"> After a lengthy discussion, the WG supported the need to take into account this type of device into the testing regime.  </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B12B21" w:rsidRPr="00EB1277" w:rsidRDefault="00B12B21">
            <w:pPr>
              <w:spacing w:before="40" w:after="40"/>
            </w:pPr>
            <w:r w:rsidRPr="00EB1277">
              <w:t>The IWG voiced doubt on how to deal with non-resettable devices and whether tests should be continued after a CID was activated. More information and example are required to make a decision.</w:t>
            </w:r>
          </w:p>
        </w:tc>
      </w:tr>
      <w:tr w:rsidR="00B12B21" w:rsidRPr="00EB1277">
        <w:tc>
          <w:tcPr>
            <w:tcW w:w="704" w:type="dxa"/>
            <w:tcBorders>
              <w:top w:val="single" w:sz="4" w:space="0" w:color="000000"/>
              <w:left w:val="single" w:sz="4" w:space="0" w:color="000000"/>
              <w:bottom w:val="single" w:sz="4" w:space="0" w:color="000000"/>
            </w:tcBorders>
            <w:shd w:val="clear" w:color="auto" w:fill="auto"/>
          </w:tcPr>
          <w:p w:rsidR="00B12B21" w:rsidRPr="00EB1277" w:rsidRDefault="00B12B21">
            <w:pPr>
              <w:spacing w:before="40" w:after="40"/>
              <w:jc w:val="center"/>
              <w:rPr>
                <w:b/>
              </w:rPr>
            </w:pPr>
            <w:r w:rsidRPr="00EB1277">
              <w:rPr>
                <w:b/>
              </w:rPr>
              <w:t>7.</w:t>
            </w:r>
          </w:p>
        </w:tc>
        <w:tc>
          <w:tcPr>
            <w:tcW w:w="3969" w:type="dxa"/>
            <w:tcBorders>
              <w:top w:val="single" w:sz="4" w:space="0" w:color="000000"/>
              <w:left w:val="single" w:sz="4" w:space="0" w:color="000000"/>
              <w:bottom w:val="single" w:sz="4" w:space="0" w:color="000000"/>
            </w:tcBorders>
            <w:shd w:val="clear" w:color="auto" w:fill="auto"/>
          </w:tcPr>
          <w:p w:rsidR="00B12B21" w:rsidRPr="00EB1277" w:rsidRDefault="00B12B21">
            <w:pPr>
              <w:spacing w:before="40" w:after="40"/>
            </w:pPr>
            <w:proofErr w:type="gramStart"/>
            <w:r w:rsidRPr="00EB1277">
              <w:rPr>
                <w:b/>
              </w:rPr>
              <w:t>About  SP</w:t>
            </w:r>
            <w:proofErr w:type="gramEnd"/>
            <w:r w:rsidRPr="00EB1277">
              <w:rPr>
                <w:b/>
              </w:rPr>
              <w:t xml:space="preserve"> 376 and PI 908.</w:t>
            </w:r>
          </w:p>
          <w:p w:rsidR="00B12B21" w:rsidRPr="00EB1277" w:rsidRDefault="00B12B21">
            <w:pPr>
              <w:spacing w:before="40" w:after="40"/>
            </w:pPr>
            <w:r w:rsidRPr="00EB1277">
              <w:t xml:space="preserve">Proposal to add a solution allowing for transport of hazardous Damaged and Defective batteries (last paragraph of SP376), with a packaging </w:t>
            </w:r>
            <w:proofErr w:type="gramStart"/>
            <w:r w:rsidRPr="00EB1277">
              <w:t>solution  corresponding</w:t>
            </w:r>
            <w:proofErr w:type="gramEnd"/>
            <w:r w:rsidRPr="00EB1277">
              <w:t xml:space="preserve"> to an approval of the authorities.</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B12B21" w:rsidRPr="00EB1277" w:rsidRDefault="00B12B21">
            <w:pPr>
              <w:spacing w:before="40" w:after="40"/>
            </w:pPr>
            <w:r w:rsidRPr="00EB1277">
              <w:t xml:space="preserve">According the IWG suggestion, the proposal is presented in a separate working document: </w:t>
            </w:r>
            <w:r w:rsidRPr="00EB1277">
              <w:rPr>
                <w:b/>
              </w:rPr>
              <w:t>ST/SG/AC.10/C.3/2015/51</w:t>
            </w:r>
            <w:r w:rsidRPr="00EB1277">
              <w:t xml:space="preserve"> - (OICA) Transport of damaged/defective lithium batteries</w:t>
            </w:r>
          </w:p>
        </w:tc>
      </w:tr>
      <w:tr w:rsidR="00B12B21" w:rsidRPr="00EB1277">
        <w:tc>
          <w:tcPr>
            <w:tcW w:w="704" w:type="dxa"/>
            <w:tcBorders>
              <w:top w:val="single" w:sz="4" w:space="0" w:color="000000"/>
              <w:left w:val="single" w:sz="4" w:space="0" w:color="000000"/>
              <w:bottom w:val="single" w:sz="4" w:space="0" w:color="000000"/>
            </w:tcBorders>
            <w:shd w:val="clear" w:color="auto" w:fill="auto"/>
          </w:tcPr>
          <w:p w:rsidR="00B12B21" w:rsidRPr="00EB1277" w:rsidRDefault="00B12B21">
            <w:pPr>
              <w:spacing w:before="40" w:after="40"/>
              <w:jc w:val="center"/>
            </w:pPr>
            <w:r w:rsidRPr="00EB1277">
              <w:rPr>
                <w:b/>
              </w:rPr>
              <w:t>8.</w:t>
            </w:r>
          </w:p>
        </w:tc>
        <w:tc>
          <w:tcPr>
            <w:tcW w:w="3969" w:type="dxa"/>
            <w:tcBorders>
              <w:top w:val="single" w:sz="4" w:space="0" w:color="000000"/>
              <w:left w:val="single" w:sz="4" w:space="0" w:color="000000"/>
              <w:bottom w:val="single" w:sz="4" w:space="0" w:color="000000"/>
            </w:tcBorders>
            <w:shd w:val="clear" w:color="auto" w:fill="auto"/>
          </w:tcPr>
          <w:p w:rsidR="00B12B21" w:rsidRPr="00EB1277" w:rsidRDefault="00B12B21">
            <w:pPr>
              <w:spacing w:before="40" w:after="40"/>
            </w:pPr>
            <w:r w:rsidRPr="00EB1277">
              <w:t xml:space="preserve">Proposals to </w:t>
            </w:r>
            <w:r w:rsidRPr="00EB1277">
              <w:rPr>
                <w:b/>
              </w:rPr>
              <w:t>improve SP 376</w:t>
            </w:r>
            <w:r w:rsidRPr="00EB1277">
              <w:t>, with a list of criteria and a protocol to determine if the battery is damaged and defective.</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B12B21" w:rsidRPr="00EB1277" w:rsidRDefault="00B12B21">
            <w:pPr>
              <w:spacing w:before="40" w:after="40"/>
            </w:pPr>
            <w:r w:rsidRPr="00EB1277">
              <w:t>The WG concluded future work would include developing a list of criteria to consider and simple instructions on how to evaluate the criteria.</w:t>
            </w:r>
          </w:p>
        </w:tc>
      </w:tr>
      <w:tr w:rsidR="00B12B21" w:rsidRPr="00EB1277">
        <w:tc>
          <w:tcPr>
            <w:tcW w:w="704" w:type="dxa"/>
            <w:tcBorders>
              <w:top w:val="single" w:sz="4" w:space="0" w:color="000000"/>
              <w:left w:val="single" w:sz="4" w:space="0" w:color="000000"/>
              <w:bottom w:val="single" w:sz="4" w:space="0" w:color="000000"/>
            </w:tcBorders>
            <w:shd w:val="clear" w:color="auto" w:fill="auto"/>
          </w:tcPr>
          <w:p w:rsidR="00B12B21" w:rsidRPr="00EB1277" w:rsidRDefault="00B12B21">
            <w:pPr>
              <w:spacing w:before="40" w:after="40"/>
              <w:jc w:val="center"/>
            </w:pPr>
            <w:r w:rsidRPr="00EB1277">
              <w:rPr>
                <w:b/>
              </w:rPr>
              <w:t>9.</w:t>
            </w:r>
          </w:p>
        </w:tc>
        <w:tc>
          <w:tcPr>
            <w:tcW w:w="3969" w:type="dxa"/>
            <w:tcBorders>
              <w:top w:val="single" w:sz="4" w:space="0" w:color="000000"/>
              <w:left w:val="single" w:sz="4" w:space="0" w:color="000000"/>
              <w:bottom w:val="single" w:sz="4" w:space="0" w:color="000000"/>
            </w:tcBorders>
            <w:shd w:val="clear" w:color="auto" w:fill="auto"/>
          </w:tcPr>
          <w:p w:rsidR="00B12B21" w:rsidRPr="00EB1277" w:rsidRDefault="00B12B21">
            <w:pPr>
              <w:spacing w:before="40" w:after="40"/>
            </w:pPr>
            <w:proofErr w:type="gramStart"/>
            <w:r w:rsidRPr="00EB1277">
              <w:t>it</w:t>
            </w:r>
            <w:proofErr w:type="gramEnd"/>
            <w:r w:rsidRPr="00EB1277">
              <w:t xml:space="preserve"> is proposed </w:t>
            </w:r>
            <w:r w:rsidRPr="00EB1277">
              <w:rPr>
                <w:b/>
              </w:rPr>
              <w:t>that testing batteries integral to equipment</w:t>
            </w:r>
            <w:r w:rsidRPr="00EB1277">
              <w:t xml:space="preserve">, such as power packs, should be applicable to the battery within the equipment. </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B12B21" w:rsidRPr="00EB1277" w:rsidRDefault="00B12B21">
            <w:pPr>
              <w:spacing w:before="40" w:after="40"/>
            </w:pPr>
            <w:r w:rsidRPr="00EB1277">
              <w:t>No final language was agreed but the IWG agreed to continue discussion at the next session.</w:t>
            </w:r>
          </w:p>
        </w:tc>
      </w:tr>
    </w:tbl>
    <w:p w:rsidR="00B12B21" w:rsidRPr="005C7D60" w:rsidRDefault="00B12B21">
      <w:pPr>
        <w:pStyle w:val="SingleTxtG"/>
        <w:pageBreakBefore/>
        <w:ind w:left="1620" w:hanging="486"/>
        <w:jc w:val="center"/>
        <w:rPr>
          <w:b/>
        </w:rPr>
      </w:pPr>
      <w:proofErr w:type="gramStart"/>
      <w:r w:rsidRPr="005C7D60">
        <w:rPr>
          <w:b/>
          <w:sz w:val="24"/>
          <w:szCs w:val="24"/>
        </w:rPr>
        <w:lastRenderedPageBreak/>
        <w:t>Table 2.</w:t>
      </w:r>
      <w:proofErr w:type="gramEnd"/>
      <w:r w:rsidR="005C7D60">
        <w:rPr>
          <w:b/>
          <w:sz w:val="24"/>
          <w:szCs w:val="24"/>
        </w:rPr>
        <w:tab/>
      </w:r>
      <w:proofErr w:type="gramStart"/>
      <w:r w:rsidRPr="005C7D60">
        <w:rPr>
          <w:b/>
          <w:sz w:val="24"/>
          <w:szCs w:val="24"/>
        </w:rPr>
        <w:t>List of items to be supplied by the Test Facility in the Testing Report.</w:t>
      </w:r>
      <w:proofErr w:type="gramEnd"/>
    </w:p>
    <w:p w:rsidR="00B12B21" w:rsidRPr="00EB1277" w:rsidRDefault="00DD4C10">
      <w:r>
        <w:rPr>
          <w:noProof/>
          <w:lang w:eastAsia="en-GB"/>
        </w:rPr>
        <w:drawing>
          <wp:inline distT="0" distB="0" distL="0" distR="0">
            <wp:extent cx="5080635" cy="3598545"/>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635" cy="3598545"/>
                    </a:xfrm>
                    <a:prstGeom prst="rect">
                      <a:avLst/>
                    </a:prstGeom>
                    <a:solidFill>
                      <a:srgbClr val="FFFFFF"/>
                    </a:solidFill>
                    <a:ln>
                      <a:noFill/>
                    </a:ln>
                  </pic:spPr>
                </pic:pic>
              </a:graphicData>
            </a:graphic>
          </wp:inline>
        </w:drawing>
      </w:r>
    </w:p>
    <w:p w:rsidR="00B12B21" w:rsidRPr="00EB1277" w:rsidRDefault="00B12B21"/>
    <w:p w:rsidR="00B12B21" w:rsidRPr="00EB1277" w:rsidRDefault="00B12B21"/>
    <w:p w:rsidR="00B12B21" w:rsidRPr="00EB1277" w:rsidRDefault="00B12B21"/>
    <w:p w:rsidR="00B12B21" w:rsidRPr="00EB1277" w:rsidRDefault="00B12B21"/>
    <w:p w:rsidR="00B12B21" w:rsidRPr="00EB1277" w:rsidRDefault="00B12B21"/>
    <w:p w:rsidR="00B12B21" w:rsidRPr="00EB1277" w:rsidRDefault="00B12B21"/>
    <w:p w:rsidR="00B12B21" w:rsidRPr="00EB1277" w:rsidRDefault="00B12B21">
      <w:pPr>
        <w:pageBreakBefore/>
      </w:pPr>
    </w:p>
    <w:p w:rsidR="00B12B21" w:rsidRPr="00EB1277" w:rsidRDefault="005C7D60" w:rsidP="009525D1">
      <w:pPr>
        <w:jc w:val="center"/>
      </w:pPr>
      <w:r>
        <w:rPr>
          <w:b/>
        </w:rPr>
        <w:t>Appendix 1</w:t>
      </w:r>
    </w:p>
    <w:p w:rsidR="00B12B21" w:rsidRPr="00EB1277" w:rsidRDefault="00B12B21"/>
    <w:p w:rsidR="00B12B21" w:rsidRPr="00EB1277" w:rsidRDefault="00B12B21">
      <w:pPr>
        <w:pStyle w:val="SingleTxtG"/>
        <w:ind w:left="1620"/>
      </w:pPr>
      <w:proofErr w:type="gramStart"/>
      <w:r w:rsidRPr="00EB1277">
        <w:rPr>
          <w:b/>
          <w:sz w:val="22"/>
          <w:szCs w:val="22"/>
        </w:rPr>
        <w:t>List of tests requirements according to the type of cell and battery.</w:t>
      </w:r>
      <w:proofErr w:type="gramEnd"/>
    </w:p>
    <w:p w:rsidR="00B12B21" w:rsidRPr="00EB1277" w:rsidRDefault="00DD4C10">
      <w:r>
        <w:rPr>
          <w:noProof/>
          <w:lang w:eastAsia="en-GB"/>
        </w:rPr>
        <w:drawing>
          <wp:inline distT="0" distB="0" distL="0" distR="0">
            <wp:extent cx="5788660" cy="69538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8660" cy="6953885"/>
                    </a:xfrm>
                    <a:prstGeom prst="rect">
                      <a:avLst/>
                    </a:prstGeom>
                    <a:solidFill>
                      <a:srgbClr val="FFFFFF"/>
                    </a:solidFill>
                    <a:ln>
                      <a:noFill/>
                    </a:ln>
                  </pic:spPr>
                </pic:pic>
              </a:graphicData>
            </a:graphic>
          </wp:inline>
        </w:drawing>
      </w:r>
    </w:p>
    <w:p w:rsidR="00A52C37" w:rsidRDefault="00DD4C10">
      <w:r>
        <w:rPr>
          <w:noProof/>
          <w:lang w:eastAsia="en-GB"/>
        </w:rPr>
        <w:lastRenderedPageBreak/>
        <w:drawing>
          <wp:inline distT="0" distB="0" distL="0" distR="0">
            <wp:extent cx="6120765" cy="4999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4999990"/>
                    </a:xfrm>
                    <a:prstGeom prst="rect">
                      <a:avLst/>
                    </a:prstGeom>
                    <a:solidFill>
                      <a:srgbClr val="FFFFFF"/>
                    </a:solidFill>
                    <a:ln>
                      <a:noFill/>
                    </a:ln>
                  </pic:spPr>
                </pic:pic>
              </a:graphicData>
            </a:graphic>
          </wp:inline>
        </w:drawing>
      </w:r>
    </w:p>
    <w:p w:rsidR="005C7D60" w:rsidRPr="005C7D60" w:rsidRDefault="005C7D60" w:rsidP="005C7D60">
      <w:pPr>
        <w:spacing w:before="240"/>
        <w:ind w:left="1134" w:right="1134"/>
        <w:jc w:val="center"/>
        <w:rPr>
          <w:u w:val="single"/>
        </w:rPr>
      </w:pPr>
      <w:r>
        <w:rPr>
          <w:u w:val="single"/>
        </w:rPr>
        <w:tab/>
      </w:r>
      <w:r>
        <w:rPr>
          <w:u w:val="single"/>
        </w:rPr>
        <w:tab/>
      </w:r>
      <w:r>
        <w:rPr>
          <w:u w:val="single"/>
        </w:rPr>
        <w:tab/>
      </w:r>
    </w:p>
    <w:p w:rsidR="005C7D60" w:rsidRDefault="005C7D60"/>
    <w:p w:rsidR="005C7D60" w:rsidRDefault="005C7D60"/>
    <w:p w:rsidR="005C7D60" w:rsidRDefault="005C7D60"/>
    <w:p w:rsidR="005C7D60" w:rsidRPr="00EB1277" w:rsidRDefault="005C7D60"/>
    <w:sectPr w:rsidR="005C7D60" w:rsidRPr="00EB1277" w:rsidSect="002B5726">
      <w:headerReference w:type="even" r:id="rId15"/>
      <w:headerReference w:type="default" r:id="rId16"/>
      <w:footerReference w:type="even" r:id="rId17"/>
      <w:footerReference w:type="default" r:id="rId18"/>
      <w:headerReference w:type="first" r:id="rId19"/>
      <w:footerReference w:type="first" r:id="rId20"/>
      <w:pgSz w:w="11906" w:h="16838"/>
      <w:pgMar w:top="1296" w:right="1138" w:bottom="2275" w:left="1138" w:header="1138" w:footer="169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B21" w:rsidRDefault="00B12B21">
      <w:pPr>
        <w:spacing w:line="240" w:lineRule="auto"/>
      </w:pPr>
      <w:r>
        <w:separator/>
      </w:r>
    </w:p>
  </w:endnote>
  <w:endnote w:type="continuationSeparator" w:id="0">
    <w:p w:rsidR="00B12B21" w:rsidRDefault="00B12B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iberation Sans">
    <w:altName w:val="MS Mincho"/>
    <w:charset w:val="80"/>
    <w:family w:val="auto"/>
    <w:pitch w:val="variable"/>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456291433"/>
      <w:docPartObj>
        <w:docPartGallery w:val="Page Numbers (Bottom of Page)"/>
        <w:docPartUnique/>
      </w:docPartObj>
    </w:sdtPr>
    <w:sdtEndPr>
      <w:rPr>
        <w:noProof/>
      </w:rPr>
    </w:sdtEndPr>
    <w:sdtContent>
      <w:p w:rsidR="002B5726" w:rsidRPr="002B5726" w:rsidRDefault="002B5726">
        <w:pPr>
          <w:pStyle w:val="Footer"/>
          <w:rPr>
            <w:b/>
          </w:rPr>
        </w:pPr>
        <w:r w:rsidRPr="002B5726">
          <w:rPr>
            <w:b/>
          </w:rPr>
          <w:fldChar w:fldCharType="begin"/>
        </w:r>
        <w:r w:rsidRPr="002B5726">
          <w:rPr>
            <w:b/>
          </w:rPr>
          <w:instrText xml:space="preserve"> PAGE   \* MERGEFORMAT </w:instrText>
        </w:r>
        <w:r w:rsidRPr="002B5726">
          <w:rPr>
            <w:b/>
          </w:rPr>
          <w:fldChar w:fldCharType="separate"/>
        </w:r>
        <w:r>
          <w:rPr>
            <w:b/>
            <w:noProof/>
          </w:rPr>
          <w:t>2</w:t>
        </w:r>
        <w:r w:rsidRPr="002B5726">
          <w:rPr>
            <w:b/>
            <w:noProof/>
          </w:rPr>
          <w:fldChar w:fldCharType="end"/>
        </w:r>
      </w:p>
    </w:sdtContent>
  </w:sdt>
  <w:p w:rsidR="002B5726" w:rsidRDefault="002B57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rsidR="00B12B21" w:rsidRDefault="00B12B21" w:rsidP="002B5726">
    <w:pPr>
      <w:pStyle w:val="Footer"/>
      <w:tabs>
        <w:tab w:val="right" w:pos="9638"/>
      </w:tabs>
      <w:jc w:val="right"/>
    </w:pPr>
    <w:r>
      <w:rPr>
        <w:b/>
        <w:sz w:val="18"/>
      </w:rPr>
      <w:fldChar w:fldCharType="begin"/>
    </w:r>
    <w:r>
      <w:rPr>
        <w:b/>
        <w:sz w:val="18"/>
      </w:rPr>
      <w:instrText xml:space="preserve"> PAGE </w:instrText>
    </w:r>
    <w:r>
      <w:rPr>
        <w:b/>
        <w:sz w:val="18"/>
      </w:rPr>
      <w:fldChar w:fldCharType="separate"/>
    </w:r>
    <w:r w:rsidR="002B5726">
      <w:rPr>
        <w:b/>
        <w:noProof/>
        <w:sz w:val="18"/>
      </w:rPr>
      <w:t>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26" w:rsidRDefault="002B5726">
    <w:pPr>
      <w:pStyle w:val="Footer"/>
    </w:pPr>
  </w:p>
  <w:p w:rsidR="002B5726" w:rsidRDefault="002B5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B21" w:rsidRDefault="00B12B21">
      <w:pPr>
        <w:spacing w:line="240" w:lineRule="auto"/>
      </w:pPr>
      <w:r>
        <w:separator/>
      </w:r>
    </w:p>
  </w:footnote>
  <w:footnote w:type="continuationSeparator" w:id="0">
    <w:p w:rsidR="00B12B21" w:rsidRDefault="00B12B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26" w:rsidRPr="002B5726" w:rsidRDefault="002B5726" w:rsidP="002B5726">
    <w:pPr>
      <w:pStyle w:val="Header"/>
      <w:pBdr>
        <w:bottom w:val="single" w:sz="4" w:space="1" w:color="auto"/>
      </w:pBdr>
      <w:rPr>
        <w:lang w:val="fr-CH"/>
      </w:rPr>
    </w:pPr>
    <w:r>
      <w:rPr>
        <w:lang w:val="fr-CH"/>
      </w:rPr>
      <w:t>UN/SCETDG/48/INF.54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21" w:rsidRDefault="005C7D60" w:rsidP="002B5726">
    <w:pPr>
      <w:pStyle w:val="Header"/>
      <w:jc w:val="right"/>
    </w:pPr>
    <w:r>
      <w:t>UN/SCETDG/48/INF.54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21" w:rsidRPr="008F61C3" w:rsidRDefault="00B12B21" w:rsidP="008F61C3">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3"/>
    <w:lvl w:ilvl="0">
      <w:start w:val="1"/>
      <w:numFmt w:val="bullet"/>
      <w:lvlText w:val="•"/>
      <w:lvlJc w:val="left"/>
      <w:pPr>
        <w:tabs>
          <w:tab w:val="num" w:pos="1701"/>
        </w:tabs>
        <w:ind w:left="1701" w:hanging="170"/>
      </w:pPr>
      <w:rPr>
        <w:rFonts w:ascii="Times New Roman" w:hAnsi="Times New Roman" w:cs="Times New Roman"/>
      </w:rPr>
    </w:lvl>
  </w:abstractNum>
  <w:abstractNum w:abstractNumId="2">
    <w:nsid w:val="00000003"/>
    <w:multiLevelType w:val="singleLevel"/>
    <w:tmpl w:val="00000003"/>
    <w:name w:val="WW8Num23"/>
    <w:lvl w:ilvl="0">
      <w:start w:val="1"/>
      <w:numFmt w:val="bullet"/>
      <w:lvlText w:val="•"/>
      <w:lvlJc w:val="left"/>
      <w:pPr>
        <w:tabs>
          <w:tab w:val="num" w:pos="2268"/>
        </w:tabs>
        <w:ind w:left="2268" w:hanging="170"/>
      </w:pPr>
      <w:rPr>
        <w:rFonts w:ascii="Times New Roman" w:hAnsi="Times New Roman" w:cs="Times New Roman"/>
        <w:b w:val="0"/>
        <w:i w:val="0"/>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77"/>
    <w:rsid w:val="002B5726"/>
    <w:rsid w:val="005C7D60"/>
    <w:rsid w:val="007C131E"/>
    <w:rsid w:val="0089158D"/>
    <w:rsid w:val="008F61C3"/>
    <w:rsid w:val="0093231A"/>
    <w:rsid w:val="009422F0"/>
    <w:rsid w:val="009525D1"/>
    <w:rsid w:val="00A52C37"/>
    <w:rsid w:val="00B12B21"/>
    <w:rsid w:val="00CB4F27"/>
    <w:rsid w:val="00DD4C10"/>
    <w:rsid w:val="00EB1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zh-CN"/>
    </w:rPr>
  </w:style>
  <w:style w:type="paragraph" w:styleId="Heading1">
    <w:name w:val="heading 1"/>
    <w:basedOn w:val="SingleTxtG"/>
    <w:next w:val="SingleTxtG"/>
    <w:qFormat/>
    <w:pPr>
      <w:numPr>
        <w:numId w:val="1"/>
      </w:numPr>
      <w:spacing w:after="0" w:line="240" w:lineRule="auto"/>
      <w:ind w:left="1134" w:right="0" w:firstLine="0"/>
      <w:jc w:val="left"/>
      <w:outlineLvl w:val="0"/>
    </w:pPr>
  </w:style>
  <w:style w:type="paragraph" w:styleId="Heading2">
    <w:name w:val="heading 2"/>
    <w:basedOn w:val="Normal"/>
    <w:next w:val="Normal"/>
    <w:qFormat/>
    <w:pPr>
      <w:numPr>
        <w:ilvl w:val="1"/>
        <w:numId w:val="1"/>
      </w:numPr>
      <w:spacing w:line="240" w:lineRule="auto"/>
      <w:outlineLvl w:val="1"/>
    </w:pPr>
  </w:style>
  <w:style w:type="paragraph" w:styleId="Heading3">
    <w:name w:val="heading 3"/>
    <w:basedOn w:val="Normal"/>
    <w:next w:val="Normal"/>
    <w:qFormat/>
    <w:pPr>
      <w:numPr>
        <w:ilvl w:val="2"/>
        <w:numId w:val="1"/>
      </w:numPr>
      <w:spacing w:line="240" w:lineRule="auto"/>
      <w:outlineLvl w:val="2"/>
    </w:pPr>
  </w:style>
  <w:style w:type="paragraph" w:styleId="Heading4">
    <w:name w:val="heading 4"/>
    <w:basedOn w:val="Normal"/>
    <w:next w:val="Normal"/>
    <w:qFormat/>
    <w:pPr>
      <w:numPr>
        <w:ilvl w:val="3"/>
        <w:numId w:val="1"/>
      </w:numPr>
      <w:spacing w:line="240" w:lineRule="auto"/>
      <w:outlineLvl w:val="3"/>
    </w:pPr>
  </w:style>
  <w:style w:type="paragraph" w:styleId="Heading5">
    <w:name w:val="heading 5"/>
    <w:basedOn w:val="Normal"/>
    <w:next w:val="Normal"/>
    <w:qFormat/>
    <w:pPr>
      <w:numPr>
        <w:ilvl w:val="4"/>
        <w:numId w:val="1"/>
      </w:numPr>
      <w:spacing w:line="240" w:lineRule="auto"/>
      <w:outlineLvl w:val="4"/>
    </w:pPr>
  </w:style>
  <w:style w:type="paragraph" w:styleId="Heading6">
    <w:name w:val="heading 6"/>
    <w:basedOn w:val="Normal"/>
    <w:next w:val="Normal"/>
    <w:qFormat/>
    <w:pPr>
      <w:numPr>
        <w:ilvl w:val="5"/>
        <w:numId w:val="1"/>
      </w:numPr>
      <w:spacing w:line="240" w:lineRule="auto"/>
      <w:outlineLvl w:val="5"/>
    </w:pPr>
  </w:style>
  <w:style w:type="paragraph" w:styleId="Heading7">
    <w:name w:val="heading 7"/>
    <w:basedOn w:val="Normal"/>
    <w:next w:val="Normal"/>
    <w:qFormat/>
    <w:pPr>
      <w:numPr>
        <w:ilvl w:val="6"/>
        <w:numId w:val="1"/>
      </w:numPr>
      <w:spacing w:line="240" w:lineRule="auto"/>
      <w:outlineLvl w:val="6"/>
    </w:pPr>
  </w:style>
  <w:style w:type="paragraph" w:styleId="Heading8">
    <w:name w:val="heading 8"/>
    <w:basedOn w:val="Normal"/>
    <w:next w:val="Normal"/>
    <w:qFormat/>
    <w:pPr>
      <w:numPr>
        <w:ilvl w:val="7"/>
        <w:numId w:val="1"/>
      </w:numPr>
      <w:spacing w:line="240" w:lineRule="auto"/>
      <w:outlineLvl w:val="7"/>
    </w:pPr>
  </w:style>
  <w:style w:type="paragraph" w:styleId="Heading9">
    <w:name w:val="heading 9"/>
    <w:basedOn w:val="Normal"/>
    <w:next w:val="Normal"/>
    <w:qFormat/>
    <w:pPr>
      <w:numPr>
        <w:ilvl w:val="8"/>
        <w:numId w:val="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Times New Roman"/>
      <w:color w:val="FF0000"/>
    </w:rPr>
  </w:style>
  <w:style w:type="character" w:customStyle="1" w:styleId="WW8Num3z0">
    <w:name w:val="WW8Num3z0"/>
  </w:style>
  <w:style w:type="character" w:customStyle="1" w:styleId="WW8Num4z0">
    <w:name w:val="WW8Num4z0"/>
  </w:style>
  <w:style w:type="character" w:customStyle="1" w:styleId="WW8Num5z0">
    <w:name w:val="WW8Num5z0"/>
    <w:rPr>
      <w:bC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3z0">
    <w:name w:val="WW8Num13z0"/>
    <w:rPr>
      <w:rFonts w:ascii="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val="0"/>
    </w:rPr>
  </w:style>
  <w:style w:type="character" w:customStyle="1" w:styleId="WW8Num16z1">
    <w:name w:val="WW8Num16z1"/>
    <w:rPr>
      <w:rFonts w:ascii="Symbol" w:hAnsi="Symbol" w:cs="Symbol"/>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color w:val="000000"/>
      <w:u w:val="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b w:val="0"/>
      <w:i w:val="0"/>
      <w:sz w:val="20"/>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styleId="DefaultParagraphFont0">
    <w:name w:val="Default Paragraph Font"/>
  </w:style>
  <w:style w:type="character" w:customStyle="1" w:styleId="Caractresdenotedebasdepage">
    <w:name w:val="Caractères de note de bas de page"/>
    <w:rPr>
      <w:rFonts w:ascii="Times New Roman" w:hAnsi="Times New Roman" w:cs="Times New Roman"/>
      <w:sz w:val="18"/>
      <w:vertAlign w:val="superscript"/>
    </w:rPr>
  </w:style>
  <w:style w:type="character" w:customStyle="1" w:styleId="Caractresdenotedefin">
    <w:name w:val="Caractères de note de fin"/>
    <w:basedOn w:val="Caractresdenotedebasdepage"/>
    <w:rPr>
      <w:rFonts w:ascii="Times New Roman" w:hAnsi="Times New Roman" w:cs="Times New Roman"/>
      <w:sz w:val="18"/>
      <w:vertAlign w:val="superscript"/>
    </w:rPr>
  </w:style>
  <w:style w:type="character" w:styleId="Hyperlink">
    <w:name w:val="Hyperlink"/>
    <w:rPr>
      <w:color w:val="auto"/>
      <w:u w:val="none"/>
    </w:rPr>
  </w:style>
  <w:style w:type="character" w:styleId="FollowedHyperlink">
    <w:name w:val="FollowedHyperlink"/>
    <w:rPr>
      <w:color w:val="auto"/>
      <w:u w:val="none"/>
    </w:rPr>
  </w:style>
  <w:style w:type="character" w:styleId="PageNumber">
    <w:name w:val="page number"/>
    <w:rPr>
      <w:rFonts w:ascii="Times New Roman" w:hAnsi="Times New Roman" w:cs="Times New Roman"/>
      <w:b/>
      <w:sz w:val="18"/>
    </w:rPr>
  </w:style>
  <w:style w:type="character" w:customStyle="1" w:styleId="HChGChar">
    <w:name w:val="_ H _Ch_G Char"/>
    <w:rPr>
      <w:b/>
      <w:sz w:val="28"/>
      <w:lang w:val="en-GB" w:bidi="ar-SA"/>
    </w:rPr>
  </w:style>
  <w:style w:type="character" w:customStyle="1" w:styleId="WW-Caractresdenotedebasdepage">
    <w:name w:val="WW-Caractères de note de bas de page"/>
    <w:rPr>
      <w:rFonts w:ascii="Times New Roman" w:hAnsi="Times New Roman" w:cs="Times New Roman"/>
      <w:sz w:val="18"/>
      <w:vertAlign w:val="superscript"/>
    </w:rPr>
  </w:style>
  <w:style w:type="character" w:customStyle="1" w:styleId="BalloonTextChar">
    <w:name w:val="Balloon Text Char"/>
    <w:rPr>
      <w:rFonts w:ascii="Tahoma" w:hAnsi="Tahoma" w:cs="Tahoma"/>
      <w:sz w:val="16"/>
      <w:szCs w:val="16"/>
      <w:lang w:val="en-GB"/>
    </w:rPr>
  </w:style>
  <w:style w:type="paragraph" w:customStyle="1" w:styleId="Titre">
    <w:name w:val="Titre"/>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uppressAutoHyphens w:val="0"/>
      <w:spacing w:line="240" w:lineRule="auto"/>
      <w:jc w:val="both"/>
    </w:pPr>
    <w:rPr>
      <w:sz w:val="24"/>
    </w:rPr>
  </w:style>
  <w:style w:type="paragraph" w:styleId="List">
    <w:name w:val="List"/>
    <w:basedOn w:val="BodyText"/>
    <w:rPr>
      <w:rFonts w:ascii="Liberation Sans" w:hAnsi="Liberation Sans" w:cs="Mangal"/>
    </w:rPr>
  </w:style>
  <w:style w:type="paragraph" w:styleId="Caption">
    <w:name w:val="caption"/>
    <w:basedOn w:val="Normal"/>
    <w:qFormat/>
    <w:pPr>
      <w:suppressLineNumbers/>
      <w:spacing w:before="120" w:after="120"/>
    </w:pPr>
    <w:rPr>
      <w:rFonts w:ascii="Liberation Sans" w:hAnsi="Liberation Sans" w:cs="Mangal"/>
      <w:i/>
      <w:iCs/>
      <w:sz w:val="24"/>
      <w:szCs w:val="24"/>
    </w:rPr>
  </w:style>
  <w:style w:type="paragraph" w:customStyle="1" w:styleId="Index">
    <w:name w:val="Index"/>
    <w:basedOn w:val="Normal"/>
    <w:pPr>
      <w:suppressLineNumbers/>
    </w:pPr>
    <w:rPr>
      <w:rFonts w:ascii="Liberation Sans" w:hAnsi="Liberation Sans" w:cs="Mangal"/>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styleId="Header">
    <w:name w:val="header"/>
    <w:basedOn w:val="Normal"/>
    <w:pPr>
      <w:pBdr>
        <w:bottom w:val="single" w:sz="4" w:space="4" w:color="000000"/>
      </w:pBdr>
      <w:spacing w:line="240" w:lineRule="auto"/>
    </w:pPr>
    <w:rPr>
      <w:b/>
      <w:sz w:val="18"/>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basedOn w:val="Normal"/>
    <w:pPr>
      <w:tabs>
        <w:tab w:val="right" w:pos="1021"/>
      </w:tabs>
      <w:spacing w:line="220" w:lineRule="exact"/>
      <w:ind w:left="1134" w:right="1134" w:hanging="1134"/>
    </w:pPr>
    <w:rPr>
      <w:sz w:val="18"/>
    </w:rPr>
  </w:style>
  <w:style w:type="paragraph" w:styleId="EndnoteText">
    <w:name w:val="endnote text"/>
    <w:basedOn w:val="FootnoteText"/>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2"/>
      </w:numPr>
      <w:spacing w:after="120"/>
      <w:ind w:left="0" w:right="1134" w:firstLine="0"/>
      <w:jc w:val="both"/>
    </w:pPr>
  </w:style>
  <w:style w:type="paragraph" w:styleId="Footer">
    <w:name w:val="footer"/>
    <w:basedOn w:val="Normal"/>
    <w:link w:val="FooterChar"/>
    <w:uiPriority w:val="99"/>
    <w:pPr>
      <w:spacing w:line="240" w:lineRule="auto"/>
    </w:pPr>
    <w:rPr>
      <w:sz w:val="16"/>
    </w:rPr>
  </w:style>
  <w:style w:type="paragraph" w:customStyle="1" w:styleId="Bullet2G">
    <w:name w:val="_Bullet 2_G"/>
    <w:basedOn w:val="Normal"/>
    <w:pPr>
      <w:numPr>
        <w:numId w:val="3"/>
      </w:numPr>
      <w:spacing w:after="120"/>
      <w:ind w:left="0" w:right="1134" w:firstLine="0"/>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odyTextIndent">
    <w:name w:val="Body Text Indent"/>
    <w:basedOn w:val="Normal"/>
    <w:pPr>
      <w:spacing w:after="120"/>
      <w:ind w:left="283"/>
    </w:pPr>
  </w:style>
  <w:style w:type="paragraph" w:customStyle="1" w:styleId="Default">
    <w:name w:val="Default"/>
    <w:pPr>
      <w:widowControl w:val="0"/>
      <w:suppressAutoHyphens/>
      <w:autoSpaceDE w:val="0"/>
    </w:pPr>
    <w:rPr>
      <w:color w:val="000000"/>
      <w:sz w:val="24"/>
      <w:szCs w:val="24"/>
      <w:lang w:val="en-US" w:eastAsia="zh-CN"/>
    </w:rPr>
  </w:style>
  <w:style w:type="paragraph" w:styleId="BodyText2">
    <w:name w:val="Body Text 2"/>
    <w:basedOn w:val="Normal"/>
    <w:pPr>
      <w:spacing w:after="120" w:line="480" w:lineRule="auto"/>
    </w:pPr>
  </w:style>
  <w:style w:type="paragraph" w:customStyle="1" w:styleId="Corpsdetexte21">
    <w:name w:val="Corps de texte 21"/>
    <w:basedOn w:val="Normal"/>
    <w:pPr>
      <w:spacing w:after="120"/>
      <w:jc w:val="both"/>
    </w:pPr>
    <w:rPr>
      <w:strike/>
      <w:color w:val="FF0000"/>
      <w:sz w:val="22"/>
      <w:szCs w:val="22"/>
      <w:lang w:val="fr-CH"/>
    </w:rPr>
  </w:style>
  <w:style w:type="paragraph" w:customStyle="1" w:styleId="Corpsdetexte31">
    <w:name w:val="Corps de texte 31"/>
    <w:basedOn w:val="Normal"/>
    <w:pPr>
      <w:tabs>
        <w:tab w:val="left" w:pos="1418"/>
        <w:tab w:val="left" w:pos="1985"/>
        <w:tab w:val="left" w:pos="2552"/>
        <w:tab w:val="left" w:pos="3119"/>
      </w:tabs>
      <w:suppressAutoHyphens w:val="0"/>
      <w:spacing w:line="240" w:lineRule="auto"/>
      <w:jc w:val="both"/>
    </w:pPr>
    <w:rPr>
      <w:color w:val="FF0000"/>
      <w:sz w:val="22"/>
      <w:szCs w:val="22"/>
      <w:u w:val="single"/>
      <w:lang w:val="fr-FR"/>
    </w:rPr>
  </w:style>
  <w:style w:type="paragraph" w:customStyle="1" w:styleId="Retraitcorpsdetexte21">
    <w:name w:val="Retrait corps de texte 21"/>
    <w:basedOn w:val="Normal"/>
    <w:pPr>
      <w:tabs>
        <w:tab w:val="left" w:pos="1418"/>
        <w:tab w:val="left" w:pos="1985"/>
        <w:tab w:val="left" w:pos="2552"/>
        <w:tab w:val="left" w:pos="3119"/>
      </w:tabs>
      <w:suppressAutoHyphens w:val="0"/>
      <w:spacing w:line="240" w:lineRule="auto"/>
      <w:ind w:left="542"/>
      <w:jc w:val="both"/>
    </w:pPr>
    <w:rPr>
      <w:color w:val="FF0000"/>
      <w:sz w:val="22"/>
      <w:szCs w:val="22"/>
      <w:u w:val="single"/>
      <w:lang w:val="fr-FR"/>
    </w:rPr>
  </w:style>
  <w:style w:type="paragraph" w:styleId="ListParagraph">
    <w:name w:val="List Paragraph"/>
    <w:basedOn w:val="Normal"/>
    <w:qFormat/>
    <w:pPr>
      <w:suppressAutoHyphens w:val="0"/>
      <w:spacing w:after="160" w:line="256" w:lineRule="auto"/>
      <w:ind w:left="720"/>
      <w:contextualSpacing/>
    </w:pPr>
    <w:rPr>
      <w:rFonts w:ascii="Calibri" w:eastAsia="Calibri" w:hAnsi="Calibri"/>
      <w:sz w:val="22"/>
      <w:szCs w:val="22"/>
    </w:rPr>
  </w:style>
  <w:style w:type="paragraph" w:styleId="BalloonText">
    <w:name w:val="Balloon Text"/>
    <w:basedOn w:val="Normal"/>
    <w:pPr>
      <w:spacing w:line="240" w:lineRule="auto"/>
    </w:pPr>
    <w:rPr>
      <w:rFonts w:ascii="Tahoma" w:hAnsi="Tahoma" w:cs="Tahoma"/>
      <w:sz w:val="16"/>
      <w:szCs w:val="16"/>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customStyle="1" w:styleId="FooterChar">
    <w:name w:val="Footer Char"/>
    <w:basedOn w:val="DefaultParagraphFont"/>
    <w:link w:val="Footer"/>
    <w:uiPriority w:val="99"/>
    <w:rsid w:val="002B5726"/>
    <w:rPr>
      <w:sz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zh-CN"/>
    </w:rPr>
  </w:style>
  <w:style w:type="paragraph" w:styleId="Heading1">
    <w:name w:val="heading 1"/>
    <w:basedOn w:val="SingleTxtG"/>
    <w:next w:val="SingleTxtG"/>
    <w:qFormat/>
    <w:pPr>
      <w:numPr>
        <w:numId w:val="1"/>
      </w:numPr>
      <w:spacing w:after="0" w:line="240" w:lineRule="auto"/>
      <w:ind w:left="1134" w:right="0" w:firstLine="0"/>
      <w:jc w:val="left"/>
      <w:outlineLvl w:val="0"/>
    </w:pPr>
  </w:style>
  <w:style w:type="paragraph" w:styleId="Heading2">
    <w:name w:val="heading 2"/>
    <w:basedOn w:val="Normal"/>
    <w:next w:val="Normal"/>
    <w:qFormat/>
    <w:pPr>
      <w:numPr>
        <w:ilvl w:val="1"/>
        <w:numId w:val="1"/>
      </w:numPr>
      <w:spacing w:line="240" w:lineRule="auto"/>
      <w:outlineLvl w:val="1"/>
    </w:pPr>
  </w:style>
  <w:style w:type="paragraph" w:styleId="Heading3">
    <w:name w:val="heading 3"/>
    <w:basedOn w:val="Normal"/>
    <w:next w:val="Normal"/>
    <w:qFormat/>
    <w:pPr>
      <w:numPr>
        <w:ilvl w:val="2"/>
        <w:numId w:val="1"/>
      </w:numPr>
      <w:spacing w:line="240" w:lineRule="auto"/>
      <w:outlineLvl w:val="2"/>
    </w:pPr>
  </w:style>
  <w:style w:type="paragraph" w:styleId="Heading4">
    <w:name w:val="heading 4"/>
    <w:basedOn w:val="Normal"/>
    <w:next w:val="Normal"/>
    <w:qFormat/>
    <w:pPr>
      <w:numPr>
        <w:ilvl w:val="3"/>
        <w:numId w:val="1"/>
      </w:numPr>
      <w:spacing w:line="240" w:lineRule="auto"/>
      <w:outlineLvl w:val="3"/>
    </w:pPr>
  </w:style>
  <w:style w:type="paragraph" w:styleId="Heading5">
    <w:name w:val="heading 5"/>
    <w:basedOn w:val="Normal"/>
    <w:next w:val="Normal"/>
    <w:qFormat/>
    <w:pPr>
      <w:numPr>
        <w:ilvl w:val="4"/>
        <w:numId w:val="1"/>
      </w:numPr>
      <w:spacing w:line="240" w:lineRule="auto"/>
      <w:outlineLvl w:val="4"/>
    </w:pPr>
  </w:style>
  <w:style w:type="paragraph" w:styleId="Heading6">
    <w:name w:val="heading 6"/>
    <w:basedOn w:val="Normal"/>
    <w:next w:val="Normal"/>
    <w:qFormat/>
    <w:pPr>
      <w:numPr>
        <w:ilvl w:val="5"/>
        <w:numId w:val="1"/>
      </w:numPr>
      <w:spacing w:line="240" w:lineRule="auto"/>
      <w:outlineLvl w:val="5"/>
    </w:pPr>
  </w:style>
  <w:style w:type="paragraph" w:styleId="Heading7">
    <w:name w:val="heading 7"/>
    <w:basedOn w:val="Normal"/>
    <w:next w:val="Normal"/>
    <w:qFormat/>
    <w:pPr>
      <w:numPr>
        <w:ilvl w:val="6"/>
        <w:numId w:val="1"/>
      </w:numPr>
      <w:spacing w:line="240" w:lineRule="auto"/>
      <w:outlineLvl w:val="6"/>
    </w:pPr>
  </w:style>
  <w:style w:type="paragraph" w:styleId="Heading8">
    <w:name w:val="heading 8"/>
    <w:basedOn w:val="Normal"/>
    <w:next w:val="Normal"/>
    <w:qFormat/>
    <w:pPr>
      <w:numPr>
        <w:ilvl w:val="7"/>
        <w:numId w:val="1"/>
      </w:numPr>
      <w:spacing w:line="240" w:lineRule="auto"/>
      <w:outlineLvl w:val="7"/>
    </w:pPr>
  </w:style>
  <w:style w:type="paragraph" w:styleId="Heading9">
    <w:name w:val="heading 9"/>
    <w:basedOn w:val="Normal"/>
    <w:next w:val="Normal"/>
    <w:qFormat/>
    <w:pPr>
      <w:numPr>
        <w:ilvl w:val="8"/>
        <w:numId w:val="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Times New Roman"/>
      <w:color w:val="FF0000"/>
    </w:rPr>
  </w:style>
  <w:style w:type="character" w:customStyle="1" w:styleId="WW8Num3z0">
    <w:name w:val="WW8Num3z0"/>
  </w:style>
  <w:style w:type="character" w:customStyle="1" w:styleId="WW8Num4z0">
    <w:name w:val="WW8Num4z0"/>
  </w:style>
  <w:style w:type="character" w:customStyle="1" w:styleId="WW8Num5z0">
    <w:name w:val="WW8Num5z0"/>
    <w:rPr>
      <w:bC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3z0">
    <w:name w:val="WW8Num13z0"/>
    <w:rPr>
      <w:rFonts w:ascii="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val="0"/>
    </w:rPr>
  </w:style>
  <w:style w:type="character" w:customStyle="1" w:styleId="WW8Num16z1">
    <w:name w:val="WW8Num16z1"/>
    <w:rPr>
      <w:rFonts w:ascii="Symbol" w:hAnsi="Symbol" w:cs="Symbol"/>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color w:val="000000"/>
      <w:u w:val="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b w:val="0"/>
      <w:i w:val="0"/>
      <w:sz w:val="20"/>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styleId="DefaultParagraphFont0">
    <w:name w:val="Default Paragraph Font"/>
  </w:style>
  <w:style w:type="character" w:customStyle="1" w:styleId="Caractresdenotedebasdepage">
    <w:name w:val="Caractères de note de bas de page"/>
    <w:rPr>
      <w:rFonts w:ascii="Times New Roman" w:hAnsi="Times New Roman" w:cs="Times New Roman"/>
      <w:sz w:val="18"/>
      <w:vertAlign w:val="superscript"/>
    </w:rPr>
  </w:style>
  <w:style w:type="character" w:customStyle="1" w:styleId="Caractresdenotedefin">
    <w:name w:val="Caractères de note de fin"/>
    <w:basedOn w:val="Caractresdenotedebasdepage"/>
    <w:rPr>
      <w:rFonts w:ascii="Times New Roman" w:hAnsi="Times New Roman" w:cs="Times New Roman"/>
      <w:sz w:val="18"/>
      <w:vertAlign w:val="superscript"/>
    </w:rPr>
  </w:style>
  <w:style w:type="character" w:styleId="Hyperlink">
    <w:name w:val="Hyperlink"/>
    <w:rPr>
      <w:color w:val="auto"/>
      <w:u w:val="none"/>
    </w:rPr>
  </w:style>
  <w:style w:type="character" w:styleId="FollowedHyperlink">
    <w:name w:val="FollowedHyperlink"/>
    <w:rPr>
      <w:color w:val="auto"/>
      <w:u w:val="none"/>
    </w:rPr>
  </w:style>
  <w:style w:type="character" w:styleId="PageNumber">
    <w:name w:val="page number"/>
    <w:rPr>
      <w:rFonts w:ascii="Times New Roman" w:hAnsi="Times New Roman" w:cs="Times New Roman"/>
      <w:b/>
      <w:sz w:val="18"/>
    </w:rPr>
  </w:style>
  <w:style w:type="character" w:customStyle="1" w:styleId="HChGChar">
    <w:name w:val="_ H _Ch_G Char"/>
    <w:rPr>
      <w:b/>
      <w:sz w:val="28"/>
      <w:lang w:val="en-GB" w:bidi="ar-SA"/>
    </w:rPr>
  </w:style>
  <w:style w:type="character" w:customStyle="1" w:styleId="WW-Caractresdenotedebasdepage">
    <w:name w:val="WW-Caractères de note de bas de page"/>
    <w:rPr>
      <w:rFonts w:ascii="Times New Roman" w:hAnsi="Times New Roman" w:cs="Times New Roman"/>
      <w:sz w:val="18"/>
      <w:vertAlign w:val="superscript"/>
    </w:rPr>
  </w:style>
  <w:style w:type="character" w:customStyle="1" w:styleId="BalloonTextChar">
    <w:name w:val="Balloon Text Char"/>
    <w:rPr>
      <w:rFonts w:ascii="Tahoma" w:hAnsi="Tahoma" w:cs="Tahoma"/>
      <w:sz w:val="16"/>
      <w:szCs w:val="16"/>
      <w:lang w:val="en-GB"/>
    </w:rPr>
  </w:style>
  <w:style w:type="paragraph" w:customStyle="1" w:styleId="Titre">
    <w:name w:val="Titre"/>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uppressAutoHyphens w:val="0"/>
      <w:spacing w:line="240" w:lineRule="auto"/>
      <w:jc w:val="both"/>
    </w:pPr>
    <w:rPr>
      <w:sz w:val="24"/>
    </w:rPr>
  </w:style>
  <w:style w:type="paragraph" w:styleId="List">
    <w:name w:val="List"/>
    <w:basedOn w:val="BodyText"/>
    <w:rPr>
      <w:rFonts w:ascii="Liberation Sans" w:hAnsi="Liberation Sans" w:cs="Mangal"/>
    </w:rPr>
  </w:style>
  <w:style w:type="paragraph" w:styleId="Caption">
    <w:name w:val="caption"/>
    <w:basedOn w:val="Normal"/>
    <w:qFormat/>
    <w:pPr>
      <w:suppressLineNumbers/>
      <w:spacing w:before="120" w:after="120"/>
    </w:pPr>
    <w:rPr>
      <w:rFonts w:ascii="Liberation Sans" w:hAnsi="Liberation Sans" w:cs="Mangal"/>
      <w:i/>
      <w:iCs/>
      <w:sz w:val="24"/>
      <w:szCs w:val="24"/>
    </w:rPr>
  </w:style>
  <w:style w:type="paragraph" w:customStyle="1" w:styleId="Index">
    <w:name w:val="Index"/>
    <w:basedOn w:val="Normal"/>
    <w:pPr>
      <w:suppressLineNumbers/>
    </w:pPr>
    <w:rPr>
      <w:rFonts w:ascii="Liberation Sans" w:hAnsi="Liberation Sans" w:cs="Mangal"/>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styleId="Header">
    <w:name w:val="header"/>
    <w:basedOn w:val="Normal"/>
    <w:pPr>
      <w:pBdr>
        <w:bottom w:val="single" w:sz="4" w:space="4" w:color="000000"/>
      </w:pBdr>
      <w:spacing w:line="240" w:lineRule="auto"/>
    </w:pPr>
    <w:rPr>
      <w:b/>
      <w:sz w:val="18"/>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basedOn w:val="Normal"/>
    <w:pPr>
      <w:tabs>
        <w:tab w:val="right" w:pos="1021"/>
      </w:tabs>
      <w:spacing w:line="220" w:lineRule="exact"/>
      <w:ind w:left="1134" w:right="1134" w:hanging="1134"/>
    </w:pPr>
    <w:rPr>
      <w:sz w:val="18"/>
    </w:rPr>
  </w:style>
  <w:style w:type="paragraph" w:styleId="EndnoteText">
    <w:name w:val="endnote text"/>
    <w:basedOn w:val="FootnoteText"/>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2"/>
      </w:numPr>
      <w:spacing w:after="120"/>
      <w:ind w:left="0" w:right="1134" w:firstLine="0"/>
      <w:jc w:val="both"/>
    </w:pPr>
  </w:style>
  <w:style w:type="paragraph" w:styleId="Footer">
    <w:name w:val="footer"/>
    <w:basedOn w:val="Normal"/>
    <w:link w:val="FooterChar"/>
    <w:uiPriority w:val="99"/>
    <w:pPr>
      <w:spacing w:line="240" w:lineRule="auto"/>
    </w:pPr>
    <w:rPr>
      <w:sz w:val="16"/>
    </w:rPr>
  </w:style>
  <w:style w:type="paragraph" w:customStyle="1" w:styleId="Bullet2G">
    <w:name w:val="_Bullet 2_G"/>
    <w:basedOn w:val="Normal"/>
    <w:pPr>
      <w:numPr>
        <w:numId w:val="3"/>
      </w:numPr>
      <w:spacing w:after="120"/>
      <w:ind w:left="0" w:right="1134" w:firstLine="0"/>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odyTextIndent">
    <w:name w:val="Body Text Indent"/>
    <w:basedOn w:val="Normal"/>
    <w:pPr>
      <w:spacing w:after="120"/>
      <w:ind w:left="283"/>
    </w:pPr>
  </w:style>
  <w:style w:type="paragraph" w:customStyle="1" w:styleId="Default">
    <w:name w:val="Default"/>
    <w:pPr>
      <w:widowControl w:val="0"/>
      <w:suppressAutoHyphens/>
      <w:autoSpaceDE w:val="0"/>
    </w:pPr>
    <w:rPr>
      <w:color w:val="000000"/>
      <w:sz w:val="24"/>
      <w:szCs w:val="24"/>
      <w:lang w:val="en-US" w:eastAsia="zh-CN"/>
    </w:rPr>
  </w:style>
  <w:style w:type="paragraph" w:styleId="BodyText2">
    <w:name w:val="Body Text 2"/>
    <w:basedOn w:val="Normal"/>
    <w:pPr>
      <w:spacing w:after="120" w:line="480" w:lineRule="auto"/>
    </w:pPr>
  </w:style>
  <w:style w:type="paragraph" w:customStyle="1" w:styleId="Corpsdetexte21">
    <w:name w:val="Corps de texte 21"/>
    <w:basedOn w:val="Normal"/>
    <w:pPr>
      <w:spacing w:after="120"/>
      <w:jc w:val="both"/>
    </w:pPr>
    <w:rPr>
      <w:strike/>
      <w:color w:val="FF0000"/>
      <w:sz w:val="22"/>
      <w:szCs w:val="22"/>
      <w:lang w:val="fr-CH"/>
    </w:rPr>
  </w:style>
  <w:style w:type="paragraph" w:customStyle="1" w:styleId="Corpsdetexte31">
    <w:name w:val="Corps de texte 31"/>
    <w:basedOn w:val="Normal"/>
    <w:pPr>
      <w:tabs>
        <w:tab w:val="left" w:pos="1418"/>
        <w:tab w:val="left" w:pos="1985"/>
        <w:tab w:val="left" w:pos="2552"/>
        <w:tab w:val="left" w:pos="3119"/>
      </w:tabs>
      <w:suppressAutoHyphens w:val="0"/>
      <w:spacing w:line="240" w:lineRule="auto"/>
      <w:jc w:val="both"/>
    </w:pPr>
    <w:rPr>
      <w:color w:val="FF0000"/>
      <w:sz w:val="22"/>
      <w:szCs w:val="22"/>
      <w:u w:val="single"/>
      <w:lang w:val="fr-FR"/>
    </w:rPr>
  </w:style>
  <w:style w:type="paragraph" w:customStyle="1" w:styleId="Retraitcorpsdetexte21">
    <w:name w:val="Retrait corps de texte 21"/>
    <w:basedOn w:val="Normal"/>
    <w:pPr>
      <w:tabs>
        <w:tab w:val="left" w:pos="1418"/>
        <w:tab w:val="left" w:pos="1985"/>
        <w:tab w:val="left" w:pos="2552"/>
        <w:tab w:val="left" w:pos="3119"/>
      </w:tabs>
      <w:suppressAutoHyphens w:val="0"/>
      <w:spacing w:line="240" w:lineRule="auto"/>
      <w:ind w:left="542"/>
      <w:jc w:val="both"/>
    </w:pPr>
    <w:rPr>
      <w:color w:val="FF0000"/>
      <w:sz w:val="22"/>
      <w:szCs w:val="22"/>
      <w:u w:val="single"/>
      <w:lang w:val="fr-FR"/>
    </w:rPr>
  </w:style>
  <w:style w:type="paragraph" w:styleId="ListParagraph">
    <w:name w:val="List Paragraph"/>
    <w:basedOn w:val="Normal"/>
    <w:qFormat/>
    <w:pPr>
      <w:suppressAutoHyphens w:val="0"/>
      <w:spacing w:after="160" w:line="256" w:lineRule="auto"/>
      <w:ind w:left="720"/>
      <w:contextualSpacing/>
    </w:pPr>
    <w:rPr>
      <w:rFonts w:ascii="Calibri" w:eastAsia="Calibri" w:hAnsi="Calibri"/>
      <w:sz w:val="22"/>
      <w:szCs w:val="22"/>
    </w:rPr>
  </w:style>
  <w:style w:type="paragraph" w:styleId="BalloonText">
    <w:name w:val="Balloon Text"/>
    <w:basedOn w:val="Normal"/>
    <w:pPr>
      <w:spacing w:line="240" w:lineRule="auto"/>
    </w:pPr>
    <w:rPr>
      <w:rFonts w:ascii="Tahoma" w:hAnsi="Tahoma" w:cs="Tahoma"/>
      <w:sz w:val="16"/>
      <w:szCs w:val="16"/>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customStyle="1" w:styleId="FooterChar">
    <w:name w:val="Footer Char"/>
    <w:basedOn w:val="DefaultParagraphFont"/>
    <w:link w:val="Footer"/>
    <w:uiPriority w:val="99"/>
    <w:rsid w:val="002B5726"/>
    <w:rPr>
      <w:sz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kerchner@wileyrein.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chanson@rechargebatteries.or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prba.org/laws-regulations/un-wg-meeting-on-lithium-batteries-august-2015/" TargetMode="External"/><Relationship Id="rId14" Type="http://schemas.openxmlformats.org/officeDocument/2006/relationships/image" Target="media/image3.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5EAF7-4125-4A0E-8BE4-3CFA2DC7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7</TotalTime>
  <Pages>6</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UN/SCEGHS/19/INF</vt:lpstr>
    </vt:vector>
  </TitlesOfParts>
  <Company>Wiley Rein</Company>
  <LinksUpToDate>false</LinksUpToDate>
  <CharactersWithSpaces>7957</CharactersWithSpaces>
  <SharedDoc>false</SharedDoc>
  <HLinks>
    <vt:vector size="18" baseType="variant">
      <vt:variant>
        <vt:i4>7864392</vt:i4>
      </vt:variant>
      <vt:variant>
        <vt:i4>6</vt:i4>
      </vt:variant>
      <vt:variant>
        <vt:i4>0</vt:i4>
      </vt:variant>
      <vt:variant>
        <vt:i4>5</vt:i4>
      </vt:variant>
      <vt:variant>
        <vt:lpwstr>mailto:gkerchner@wileyrein.com</vt:lpwstr>
      </vt:variant>
      <vt:variant>
        <vt:lpwstr/>
      </vt:variant>
      <vt:variant>
        <vt:i4>7077956</vt:i4>
      </vt:variant>
      <vt:variant>
        <vt:i4>3</vt:i4>
      </vt:variant>
      <vt:variant>
        <vt:i4>0</vt:i4>
      </vt:variant>
      <vt:variant>
        <vt:i4>5</vt:i4>
      </vt:variant>
      <vt:variant>
        <vt:lpwstr>mailto:cchanson@rechargebatteries.org</vt:lpwstr>
      </vt:variant>
      <vt:variant>
        <vt:lpwstr/>
      </vt:variant>
      <vt:variant>
        <vt:i4>1835012</vt:i4>
      </vt:variant>
      <vt:variant>
        <vt:i4>0</vt:i4>
      </vt:variant>
      <vt:variant>
        <vt:i4>0</vt:i4>
      </vt:variant>
      <vt:variant>
        <vt:i4>5</vt:i4>
      </vt:variant>
      <vt:variant>
        <vt:lpwstr>http://www.prba.org/laws-regulations/un-wg-meeting-on-lithium-batteries-august-2015/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7</cp:revision>
  <cp:lastPrinted>2015-11-30T14:31:00Z</cp:lastPrinted>
  <dcterms:created xsi:type="dcterms:W3CDTF">2015-11-30T14:32:00Z</dcterms:created>
  <dcterms:modified xsi:type="dcterms:W3CDTF">2015-11-30T14:38:00Z</dcterms:modified>
</cp:coreProperties>
</file>