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C17715">
            <w:pPr>
              <w:jc w:val="right"/>
              <w:rPr>
                <w:b/>
                <w:sz w:val="40"/>
                <w:szCs w:val="40"/>
              </w:rPr>
            </w:pPr>
            <w:r>
              <w:rPr>
                <w:b/>
                <w:sz w:val="40"/>
                <w:szCs w:val="40"/>
              </w:rPr>
              <w:t>UN/SCETDG/4</w:t>
            </w:r>
            <w:r w:rsidR="00344DB3">
              <w:rPr>
                <w:b/>
                <w:sz w:val="40"/>
                <w:szCs w:val="40"/>
              </w:rPr>
              <w:t>8</w:t>
            </w:r>
            <w:r w:rsidRPr="005A1F2E">
              <w:rPr>
                <w:b/>
                <w:sz w:val="40"/>
                <w:szCs w:val="40"/>
              </w:rPr>
              <w:t>/INF.</w:t>
            </w:r>
            <w:r w:rsidR="00D6796D">
              <w:rPr>
                <w:b/>
                <w:sz w:val="40"/>
                <w:szCs w:val="40"/>
              </w:rPr>
              <w:t>4</w:t>
            </w:r>
            <w:r w:rsidR="00C17715">
              <w:rPr>
                <w:b/>
                <w:sz w:val="40"/>
                <w:szCs w:val="40"/>
              </w:rPr>
              <w:t>4</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302C0A">
            <w:pPr>
              <w:tabs>
                <w:tab w:val="left" w:pos="7920"/>
              </w:tabs>
              <w:spacing w:before="120"/>
              <w:rPr>
                <w:b/>
              </w:rPr>
            </w:pPr>
            <w:r w:rsidRPr="005A1F2E">
              <w:rPr>
                <w:b/>
              </w:rPr>
              <w:t>Sub-Committee of Experts on the Transport of Dangerous Goods</w:t>
            </w:r>
            <w:r w:rsidRPr="005A1F2E">
              <w:rPr>
                <w:b/>
              </w:rPr>
              <w:tab/>
            </w:r>
            <w:r w:rsidR="003A07E5">
              <w:rPr>
                <w:b/>
              </w:rPr>
              <w:t>2</w:t>
            </w:r>
            <w:r w:rsidR="00C17715">
              <w:rPr>
                <w:b/>
              </w:rPr>
              <w:t>7</w:t>
            </w:r>
            <w:r w:rsidR="00740FD7">
              <w:rPr>
                <w:b/>
              </w:rPr>
              <w:t xml:space="preserve"> </w:t>
            </w:r>
            <w:r w:rsidR="00430DA5">
              <w:rPr>
                <w:b/>
              </w:rPr>
              <w:t>November</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0DA5">
              <w:rPr>
                <w:b/>
              </w:rPr>
              <w:t>eighth</w:t>
            </w:r>
            <w:r>
              <w:rPr>
                <w:b/>
              </w:rPr>
              <w:t xml:space="preserve"> session</w:t>
            </w:r>
          </w:p>
          <w:p w:rsidR="00ED4C0B" w:rsidRPr="005A1F2E" w:rsidRDefault="00ED4C0B" w:rsidP="00CF376E">
            <w:r w:rsidRPr="005A1F2E">
              <w:t xml:space="preserve">Geneva, </w:t>
            </w:r>
            <w:r w:rsidR="0045790C">
              <w:t>3</w:t>
            </w:r>
            <w:r w:rsidR="00D55FDA">
              <w:t>0 November</w:t>
            </w:r>
            <w:r w:rsidR="00520847">
              <w:t xml:space="preserve"> </w:t>
            </w:r>
            <w:r>
              <w:t>–</w:t>
            </w:r>
            <w:r w:rsidR="00520847">
              <w:t xml:space="preserve"> </w:t>
            </w:r>
            <w:r w:rsidR="00D55FDA">
              <w:t>9 December</w:t>
            </w:r>
            <w:r>
              <w:t xml:space="preserve"> 201</w:t>
            </w:r>
            <w:r w:rsidR="00520847">
              <w:t>5</w:t>
            </w:r>
          </w:p>
          <w:p w:rsidR="003F4773" w:rsidRPr="00610992" w:rsidRDefault="00610992" w:rsidP="00302C0A">
            <w:pPr>
              <w:pStyle w:val="Default"/>
              <w:rPr>
                <w:sz w:val="20"/>
                <w:szCs w:val="20"/>
              </w:rPr>
            </w:pPr>
            <w:r w:rsidRPr="00610992">
              <w:rPr>
                <w:sz w:val="20"/>
                <w:szCs w:val="20"/>
              </w:rPr>
              <w:t xml:space="preserve">Item </w:t>
            </w:r>
            <w:r w:rsidR="00C17715">
              <w:rPr>
                <w:sz w:val="20"/>
                <w:szCs w:val="20"/>
              </w:rPr>
              <w:t>2</w:t>
            </w:r>
            <w:r w:rsidR="006861C4" w:rsidRPr="00610992">
              <w:rPr>
                <w:sz w:val="20"/>
                <w:szCs w:val="20"/>
              </w:rPr>
              <w:t xml:space="preserve"> </w:t>
            </w:r>
            <w:r w:rsidR="003F4773" w:rsidRPr="00610992">
              <w:rPr>
                <w:sz w:val="20"/>
                <w:szCs w:val="20"/>
              </w:rPr>
              <w:t>of the provisional agenda</w:t>
            </w:r>
          </w:p>
          <w:p w:rsidR="00ED4C0B" w:rsidRPr="00C17715" w:rsidRDefault="00C17715" w:rsidP="00520847">
            <w:pPr>
              <w:rPr>
                <w:b/>
              </w:rPr>
            </w:pPr>
            <w:r w:rsidRPr="00C17715">
              <w:rPr>
                <w:b/>
              </w:rPr>
              <w:t>Explosives and related matters: Classification of articles under UN No. 0349</w:t>
            </w:r>
          </w:p>
        </w:tc>
      </w:tr>
    </w:tbl>
    <w:p w:rsidR="00C17715" w:rsidRDefault="00C17715" w:rsidP="00C17715">
      <w:pPr>
        <w:pStyle w:val="HChG"/>
        <w:rPr>
          <w:lang w:val="en-US"/>
        </w:rPr>
      </w:pPr>
      <w:r>
        <w:rPr>
          <w:lang w:val="en-US"/>
        </w:rPr>
        <w:tab/>
      </w:r>
      <w:r>
        <w:rPr>
          <w:lang w:val="en-US"/>
        </w:rPr>
        <w:tab/>
      </w:r>
      <w:r w:rsidRPr="00913276">
        <w:rPr>
          <w:lang w:val="en-US"/>
        </w:rPr>
        <w:t xml:space="preserve">Application of Security Provisions to Explosives N.O.S – Comments </w:t>
      </w:r>
      <w:r>
        <w:rPr>
          <w:lang w:val="en-US"/>
        </w:rPr>
        <w:t>on</w:t>
      </w:r>
      <w:r w:rsidRPr="00913276">
        <w:rPr>
          <w:lang w:val="en-US"/>
        </w:rPr>
        <w:t xml:space="preserve"> </w:t>
      </w:r>
      <w:r w:rsidRPr="00913276">
        <w:t>ST/SG/AC.10/C.3/2015/47</w:t>
      </w:r>
      <w:r w:rsidRPr="00913276">
        <w:rPr>
          <w:lang w:val="en-US"/>
        </w:rPr>
        <w:t xml:space="preserve"> (U</w:t>
      </w:r>
      <w:r>
        <w:rPr>
          <w:lang w:val="en-US"/>
        </w:rPr>
        <w:t>nited Kingdom</w:t>
      </w:r>
      <w:r w:rsidRPr="00913276">
        <w:rPr>
          <w:lang w:val="en-US"/>
        </w:rPr>
        <w:t xml:space="preserve">) and </w:t>
      </w:r>
      <w:r>
        <w:rPr>
          <w:lang w:val="en-US"/>
        </w:rPr>
        <w:t xml:space="preserve">informal document </w:t>
      </w:r>
      <w:r w:rsidRPr="00913276">
        <w:rPr>
          <w:lang w:val="en-US"/>
        </w:rPr>
        <w:t>INF.17 (U</w:t>
      </w:r>
      <w:r>
        <w:rPr>
          <w:lang w:val="en-US"/>
        </w:rPr>
        <w:t>nited Kingdom</w:t>
      </w:r>
      <w:r w:rsidRPr="00913276">
        <w:rPr>
          <w:lang w:val="en-US"/>
        </w:rPr>
        <w:t>)</w:t>
      </w:r>
    </w:p>
    <w:p w:rsidR="0045790C" w:rsidRPr="0045790C" w:rsidRDefault="0045790C" w:rsidP="0045790C">
      <w:pPr>
        <w:pStyle w:val="H1G"/>
        <w:rPr>
          <w:lang w:val="en-US"/>
        </w:rPr>
      </w:pPr>
      <w:r>
        <w:tab/>
      </w:r>
      <w:r>
        <w:tab/>
      </w:r>
      <w:r>
        <w:t xml:space="preserve">Transmitted by the expert from </w:t>
      </w:r>
      <w:r>
        <w:t>Italy</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17715" w:rsidTr="00C17715">
        <w:trPr>
          <w:jc w:val="center"/>
        </w:trPr>
        <w:tc>
          <w:tcPr>
            <w:tcW w:w="9637" w:type="dxa"/>
            <w:shd w:val="clear" w:color="auto" w:fill="auto"/>
          </w:tcPr>
          <w:p w:rsidR="00C17715" w:rsidRPr="00C17715" w:rsidRDefault="00C17715" w:rsidP="00C17715">
            <w:pPr>
              <w:spacing w:before="240" w:after="120"/>
              <w:ind w:left="255"/>
              <w:rPr>
                <w:i/>
                <w:sz w:val="24"/>
              </w:rPr>
            </w:pPr>
            <w:r w:rsidRPr="00C17715">
              <w:rPr>
                <w:i/>
                <w:sz w:val="24"/>
              </w:rPr>
              <w:t>Summary</w:t>
            </w:r>
          </w:p>
        </w:tc>
      </w:tr>
      <w:tr w:rsidR="00C17715" w:rsidTr="00C17715">
        <w:trPr>
          <w:jc w:val="center"/>
        </w:trPr>
        <w:tc>
          <w:tcPr>
            <w:tcW w:w="9637" w:type="dxa"/>
            <w:shd w:val="clear" w:color="auto" w:fill="auto"/>
          </w:tcPr>
          <w:p w:rsidR="00C17715" w:rsidRDefault="00C17715" w:rsidP="00C17715">
            <w:pPr>
              <w:ind w:left="3402" w:right="1134" w:hanging="2268"/>
              <w:jc w:val="both"/>
            </w:pPr>
            <w:r w:rsidRPr="0081017D">
              <w:rPr>
                <w:b/>
              </w:rPr>
              <w:t>Executive summary</w:t>
            </w:r>
            <w:r w:rsidRPr="0081017D">
              <w:t>:</w:t>
            </w:r>
            <w:r w:rsidRPr="0081017D">
              <w:tab/>
              <w:t>Classification of explosives: assigning 1.4S Classification code</w:t>
            </w:r>
          </w:p>
          <w:p w:rsidR="00C17715" w:rsidRDefault="00C17715" w:rsidP="00C17715">
            <w:pPr>
              <w:ind w:left="3402" w:right="1134" w:hanging="2268"/>
              <w:jc w:val="both"/>
            </w:pPr>
          </w:p>
        </w:tc>
      </w:tr>
      <w:tr w:rsidR="00C17715" w:rsidTr="00C17715">
        <w:trPr>
          <w:jc w:val="center"/>
        </w:trPr>
        <w:tc>
          <w:tcPr>
            <w:tcW w:w="9637" w:type="dxa"/>
            <w:shd w:val="clear" w:color="auto" w:fill="auto"/>
          </w:tcPr>
          <w:p w:rsidR="00C17715" w:rsidRDefault="00C17715" w:rsidP="00C17715">
            <w:pPr>
              <w:ind w:left="1133" w:right="1134" w:firstLine="1"/>
              <w:jc w:val="both"/>
            </w:pPr>
            <w:r w:rsidRPr="0081017D">
              <w:rPr>
                <w:b/>
              </w:rPr>
              <w:t>Action to be taken</w:t>
            </w:r>
            <w:r w:rsidRPr="0081017D">
              <w:t>:</w:t>
            </w:r>
            <w:r w:rsidRPr="0081017D">
              <w:tab/>
            </w:r>
            <w:r w:rsidR="00D91034">
              <w:tab/>
            </w:r>
            <w:r w:rsidRPr="0081017D">
              <w:t xml:space="preserve">Proposal to add two new UN entries and to amend UN0349 </w:t>
            </w:r>
            <w:r w:rsidR="00D91034">
              <w:tab/>
            </w:r>
            <w:r w:rsidR="00D91034">
              <w:tab/>
            </w:r>
            <w:r w:rsidR="00D91034">
              <w:tab/>
            </w:r>
            <w:r w:rsidR="00D91034">
              <w:tab/>
            </w:r>
            <w:r w:rsidR="00D91034">
              <w:tab/>
            </w:r>
            <w:r w:rsidRPr="0081017D">
              <w:t>and UN0481</w:t>
            </w:r>
          </w:p>
          <w:p w:rsidR="00C17715" w:rsidRDefault="00C17715" w:rsidP="00C17715">
            <w:pPr>
              <w:ind w:left="1133" w:right="1134" w:firstLine="1"/>
              <w:jc w:val="both"/>
            </w:pPr>
          </w:p>
        </w:tc>
      </w:tr>
      <w:tr w:rsidR="00C17715" w:rsidTr="00C17715">
        <w:trPr>
          <w:jc w:val="center"/>
        </w:trPr>
        <w:tc>
          <w:tcPr>
            <w:tcW w:w="9637" w:type="dxa"/>
            <w:shd w:val="clear" w:color="auto" w:fill="auto"/>
          </w:tcPr>
          <w:p w:rsidR="00C17715" w:rsidRPr="0081017D" w:rsidRDefault="00C17715" w:rsidP="00D91034">
            <w:pPr>
              <w:ind w:left="3402" w:right="1134" w:hanging="2268"/>
              <w:rPr>
                <w:lang w:val="en-US"/>
              </w:rPr>
            </w:pPr>
            <w:r w:rsidRPr="0081017D">
              <w:rPr>
                <w:b/>
              </w:rPr>
              <w:t>Reference documents</w:t>
            </w:r>
            <w:r w:rsidRPr="0081017D">
              <w:t>:</w:t>
            </w:r>
            <w:r w:rsidRPr="0081017D">
              <w:tab/>
              <w:t>ST/SG/AC.10/C.3/2014/22</w:t>
            </w:r>
            <w:r>
              <w:rPr>
                <w:lang w:val="en-US"/>
              </w:rPr>
              <w:t xml:space="preserve"> (Italy) and informal document </w:t>
            </w:r>
            <w:r w:rsidRPr="0081017D">
              <w:rPr>
                <w:lang w:val="en-US"/>
              </w:rPr>
              <w:t>INF.61 (Report Working Group on Explosives) (45</w:t>
            </w:r>
            <w:r w:rsidRPr="0081017D">
              <w:rPr>
                <w:vertAlign w:val="superscript"/>
                <w:lang w:val="en-US"/>
              </w:rPr>
              <w:t>th</w:t>
            </w:r>
            <w:r w:rsidRPr="0081017D">
              <w:rPr>
                <w:lang w:val="en-US"/>
              </w:rPr>
              <w:t xml:space="preserve"> session of the Sub</w:t>
            </w:r>
            <w:r w:rsidRPr="0081017D">
              <w:rPr>
                <w:lang w:val="en-US"/>
              </w:rPr>
              <w:noBreakHyphen/>
              <w:t xml:space="preserve">Committee) , </w:t>
            </w:r>
            <w:r w:rsidRPr="0081017D">
              <w:t>ST/SG/AC.10/C.3/2014/86</w:t>
            </w:r>
            <w:r>
              <w:rPr>
                <w:lang w:val="en-US"/>
              </w:rPr>
              <w:t xml:space="preserve"> (Italy) and informal document </w:t>
            </w:r>
            <w:r w:rsidRPr="0081017D">
              <w:rPr>
                <w:lang w:val="en-US"/>
              </w:rPr>
              <w:t xml:space="preserve">INF.47(Italy), </w:t>
            </w:r>
            <w:r>
              <w:rPr>
                <w:lang w:val="en-US"/>
              </w:rPr>
              <w:t xml:space="preserve">informal document </w:t>
            </w:r>
            <w:r w:rsidRPr="0081017D">
              <w:rPr>
                <w:lang w:val="en-US"/>
              </w:rPr>
              <w:t>INF53 (Report Working Group on Explosives) (47</w:t>
            </w:r>
            <w:r w:rsidRPr="0081017D">
              <w:rPr>
                <w:vertAlign w:val="superscript"/>
                <w:lang w:val="en-US"/>
              </w:rPr>
              <w:t>th</w:t>
            </w:r>
            <w:r w:rsidRPr="0081017D">
              <w:rPr>
                <w:lang w:val="en-US"/>
              </w:rPr>
              <w:t xml:space="preserve"> session of the Sub</w:t>
            </w:r>
            <w:r w:rsidRPr="0081017D">
              <w:rPr>
                <w:lang w:val="en-US"/>
              </w:rPr>
              <w:noBreakHyphen/>
              <w:t>Committee)</w:t>
            </w:r>
          </w:p>
          <w:p w:rsidR="00C17715" w:rsidRDefault="00C17715" w:rsidP="00C17715"/>
        </w:tc>
      </w:tr>
      <w:tr w:rsidR="00C17715" w:rsidTr="00C17715">
        <w:trPr>
          <w:jc w:val="center"/>
        </w:trPr>
        <w:tc>
          <w:tcPr>
            <w:tcW w:w="9637" w:type="dxa"/>
            <w:shd w:val="clear" w:color="auto" w:fill="auto"/>
          </w:tcPr>
          <w:p w:rsidR="00C17715" w:rsidRPr="0081017D" w:rsidRDefault="00C17715" w:rsidP="00C17715">
            <w:pPr>
              <w:ind w:left="1133" w:right="1134" w:firstLine="1"/>
              <w:rPr>
                <w:lang w:val="en-US"/>
              </w:rPr>
            </w:pPr>
            <w:r w:rsidRPr="0081017D">
              <w:rPr>
                <w:b/>
              </w:rPr>
              <w:t>Related documents</w:t>
            </w:r>
            <w:r w:rsidRPr="0081017D">
              <w:t>:</w:t>
            </w:r>
            <w:r w:rsidRPr="0081017D">
              <w:tab/>
            </w:r>
            <w:r w:rsidR="00D91034">
              <w:tab/>
            </w:r>
            <w:r w:rsidRPr="0081017D">
              <w:t>ST/SG/AC.10/C.3/2015/47</w:t>
            </w:r>
            <w:r w:rsidRPr="0081017D">
              <w:rPr>
                <w:lang w:val="en-US"/>
              </w:rPr>
              <w:t xml:space="preserve"> (UK) and  INF.17 (UK)</w:t>
            </w:r>
          </w:p>
          <w:p w:rsidR="00C17715" w:rsidRDefault="00C17715" w:rsidP="00C17715"/>
        </w:tc>
      </w:tr>
    </w:tbl>
    <w:p w:rsidR="00C17715" w:rsidRPr="0081017D" w:rsidRDefault="00C17715" w:rsidP="00C17715">
      <w:pPr>
        <w:pStyle w:val="HChG"/>
        <w:rPr>
          <w:lang w:val="en-US"/>
        </w:rPr>
      </w:pPr>
      <w:r>
        <w:rPr>
          <w:lang w:val="en-US"/>
        </w:rPr>
        <w:tab/>
      </w:r>
      <w:r>
        <w:rPr>
          <w:lang w:val="en-US"/>
        </w:rPr>
        <w:tab/>
      </w:r>
      <w:r w:rsidRPr="0081017D">
        <w:rPr>
          <w:lang w:val="en-US"/>
        </w:rPr>
        <w:t>Introduction</w:t>
      </w:r>
    </w:p>
    <w:p w:rsidR="00C17715" w:rsidRPr="0081017D" w:rsidRDefault="00C17715" w:rsidP="00C17715">
      <w:pPr>
        <w:spacing w:before="240" w:after="120"/>
        <w:ind w:left="1134" w:right="1134"/>
        <w:jc w:val="both"/>
      </w:pPr>
      <w:r w:rsidRPr="0081017D">
        <w:t>1.</w:t>
      </w:r>
      <w:r w:rsidRPr="0081017D">
        <w:tab/>
        <w:t>At its June 2015 session, the Working Group on Explosives discussed document ST/SG/AC.10/C.3/2014/86</w:t>
      </w:r>
      <w:r w:rsidRPr="0081017D">
        <w:rPr>
          <w:lang w:val="en-US"/>
        </w:rPr>
        <w:t xml:space="preserve"> from Italy</w:t>
      </w:r>
      <w:r>
        <w:rPr>
          <w:lang w:val="en-US"/>
        </w:rPr>
        <w:t xml:space="preserve"> containing a revised proposal (firstly discussed at June 2014 session) related</w:t>
      </w:r>
      <w:r w:rsidRPr="0081017D">
        <w:t xml:space="preserve"> </w:t>
      </w:r>
      <w:r>
        <w:t>to</w:t>
      </w:r>
      <w:r w:rsidRPr="0081017D">
        <w:t xml:space="preserve"> the classification process of explosives</w:t>
      </w:r>
      <w:r>
        <w:t xml:space="preserve"> with 1.4S Classification code. The proposal was motivated as follows</w:t>
      </w:r>
      <w:r w:rsidRPr="0081017D">
        <w:t>:</w:t>
      </w:r>
    </w:p>
    <w:p w:rsidR="00C17715" w:rsidRPr="0081017D" w:rsidRDefault="00C17715" w:rsidP="00C17715">
      <w:pPr>
        <w:pStyle w:val="SingleTxtG"/>
        <w:ind w:left="1701" w:hanging="567"/>
        <w:rPr>
          <w:lang w:val="en-US"/>
        </w:rPr>
      </w:pPr>
      <w:r w:rsidRPr="0081017D">
        <w:rPr>
          <w:lang w:val="fr-CH"/>
        </w:rPr>
        <w:tab/>
      </w:r>
      <w:r w:rsidRPr="0081017D">
        <w:t>(a)</w:t>
      </w:r>
      <w:r w:rsidRPr="0081017D">
        <w:tab/>
        <w:t xml:space="preserve">The necessity to solve the inconsistency of </w:t>
      </w:r>
      <w:r w:rsidRPr="0081017D">
        <w:rPr>
          <w:lang w:val="en-US"/>
        </w:rPr>
        <w:t>paragraph 2.1.2.1.1 of the Model Regulations on the Transport of Dangerous Goods while it states that the 1.4S classification code can be assigned in case of:</w:t>
      </w:r>
    </w:p>
    <w:p w:rsidR="00C17715" w:rsidRPr="0081017D" w:rsidRDefault="00C17715" w:rsidP="00C17715">
      <w:pPr>
        <w:spacing w:after="120"/>
        <w:ind w:left="1701" w:right="1134"/>
        <w:jc w:val="both"/>
      </w:pPr>
      <w:r w:rsidRPr="0081017D">
        <w:t xml:space="preserve">“ </w:t>
      </w:r>
      <w:r w:rsidRPr="0081017D">
        <w:rPr>
          <w:i/>
        </w:rPr>
        <w:t xml:space="preserve">…….. </w:t>
      </w:r>
      <w:r w:rsidRPr="0081017D">
        <w:rPr>
          <w:i/>
          <w:lang w:val="en-US"/>
        </w:rPr>
        <w:t xml:space="preserve">Substances or items packed in such a way as to confine any dangerous explosive </w:t>
      </w:r>
      <w:proofErr w:type="gramStart"/>
      <w:r w:rsidRPr="0081017D">
        <w:rPr>
          <w:i/>
          <w:lang w:val="en-US"/>
        </w:rPr>
        <w:t>effect,</w:t>
      </w:r>
      <w:proofErr w:type="gramEnd"/>
      <w:r w:rsidRPr="0081017D">
        <w:rPr>
          <w:i/>
          <w:lang w:val="en-US"/>
        </w:rPr>
        <w:t xml:space="preserve"> caused by an accidental operation, within the package itself, therefore those items or materials can be assigned the 1.4S classification code</w:t>
      </w:r>
      <w:r w:rsidRPr="0081017D">
        <w:rPr>
          <w:i/>
        </w:rPr>
        <w:t xml:space="preserve">.” </w:t>
      </w:r>
    </w:p>
    <w:p w:rsidR="00D7764E" w:rsidRDefault="00D7764E">
      <w:pPr>
        <w:suppressAutoHyphens w:val="0"/>
        <w:spacing w:line="240" w:lineRule="auto"/>
      </w:pPr>
      <w:r>
        <w:br w:type="page"/>
      </w:r>
    </w:p>
    <w:p w:rsidR="00C17715" w:rsidRDefault="00C17715" w:rsidP="00C17715">
      <w:pPr>
        <w:spacing w:after="120"/>
        <w:ind w:left="1134" w:right="1134" w:firstLine="567"/>
        <w:jc w:val="both"/>
      </w:pPr>
      <w:bookmarkStart w:id="0" w:name="_GoBack"/>
      <w:bookmarkEnd w:id="0"/>
      <w:proofErr w:type="gramStart"/>
      <w:r w:rsidRPr="0081017D">
        <w:lastRenderedPageBreak/>
        <w:t>when</w:t>
      </w:r>
      <w:proofErr w:type="gramEnd"/>
      <w:r w:rsidRPr="0081017D">
        <w:t xml:space="preserve"> such procedure is applied to N.O.S entries. </w:t>
      </w:r>
    </w:p>
    <w:p w:rsidR="00C17715" w:rsidRPr="0081017D" w:rsidRDefault="00C17715" w:rsidP="00C17715">
      <w:pPr>
        <w:spacing w:after="120"/>
        <w:ind w:left="1701" w:right="1134" w:hanging="567"/>
        <w:jc w:val="both"/>
      </w:pPr>
      <w:r w:rsidRPr="0081017D">
        <w:rPr>
          <w:lang w:val="fr-CH"/>
        </w:rPr>
        <w:tab/>
      </w:r>
      <w:r w:rsidRPr="0081017D">
        <w:t>(</w:t>
      </w:r>
      <w:proofErr w:type="gramStart"/>
      <w:r w:rsidRPr="0081017D">
        <w:t>b</w:t>
      </w:r>
      <w:proofErr w:type="gramEnd"/>
      <w:r w:rsidRPr="0081017D">
        <w:t>)</w:t>
      </w:r>
      <w:r w:rsidRPr="0081017D">
        <w:tab/>
        <w:t>As far as concern the applicability of the security provisions (requirements laid down in Chapter 1.4), the necessity to maintain the same conditions applicable to the original items.</w:t>
      </w:r>
    </w:p>
    <w:p w:rsidR="00C17715" w:rsidRPr="0081017D" w:rsidRDefault="00C17715" w:rsidP="00C17715">
      <w:pPr>
        <w:spacing w:after="120"/>
        <w:ind w:left="1701" w:right="1134"/>
        <w:jc w:val="both"/>
        <w:rPr>
          <w:lang w:val="en-US"/>
        </w:rPr>
      </w:pPr>
      <w:r>
        <w:t xml:space="preserve">During the debate an example </w:t>
      </w:r>
      <w:r w:rsidRPr="0081017D">
        <w:t xml:space="preserve">was presented related </w:t>
      </w:r>
      <w:r w:rsidRPr="0081017D">
        <w:rPr>
          <w:lang w:val="en-US"/>
        </w:rPr>
        <w:t xml:space="preserve">to UN 0349 ARTICLES, EXPLOSIVE, N.O.S with the 1.4S classification code, assigned to items originally classified as UN 0279 CHARGES PROPELLING FOR CANNON, </w:t>
      </w:r>
      <w:smartTag w:uri="urn:schemas-microsoft-com:office:smarttags" w:element="metricconverter">
        <w:smartTagPr>
          <w:attr w:name="ProductID" w:val="1.1C"/>
        </w:smartTagPr>
        <w:r w:rsidRPr="0081017D">
          <w:rPr>
            <w:lang w:val="en-US"/>
          </w:rPr>
          <w:t>1.1C</w:t>
        </w:r>
      </w:smartTag>
      <w:r w:rsidRPr="0081017D">
        <w:rPr>
          <w:lang w:val="en-US"/>
        </w:rPr>
        <w:t xml:space="preserve"> but enclosed in an adequate packaging (designed and built with respect of the Test series 6 of the Manual of Tests and Criteria). While UN 0279 shall be subjected to security provisions, UN 0349 is not because it is not mentioned in the Table 1.4.1. </w:t>
      </w:r>
    </w:p>
    <w:p w:rsidR="00C17715" w:rsidRPr="0081017D" w:rsidRDefault="00C17715" w:rsidP="00C17715">
      <w:pPr>
        <w:spacing w:after="120"/>
        <w:ind w:left="1701" w:right="1134" w:hanging="567"/>
        <w:jc w:val="both"/>
      </w:pPr>
      <w:r w:rsidRPr="0081017D">
        <w:rPr>
          <w:lang w:val="fr-CH"/>
        </w:rPr>
        <w:tab/>
      </w:r>
      <w:r w:rsidRPr="0081017D">
        <w:t>(c)</w:t>
      </w:r>
      <w:r w:rsidRPr="0081017D">
        <w:tab/>
        <w:t xml:space="preserve">The necessity to find a </w:t>
      </w:r>
      <w:r w:rsidRPr="0081017D">
        <w:rPr>
          <w:u w:val="single"/>
        </w:rPr>
        <w:t xml:space="preserve">urgent solution </w:t>
      </w:r>
      <w:r w:rsidRPr="0081017D">
        <w:t xml:space="preserve">because the National Authority received a request of classification in that </w:t>
      </w:r>
      <w:proofErr w:type="gramStart"/>
      <w:r w:rsidRPr="0081017D">
        <w:t>sense</w:t>
      </w:r>
      <w:r>
        <w:t xml:space="preserve"> </w:t>
      </w:r>
      <w:r w:rsidRPr="0081017D">
        <w:t>.</w:t>
      </w:r>
      <w:proofErr w:type="gramEnd"/>
    </w:p>
    <w:p w:rsidR="00C17715" w:rsidRPr="0081017D" w:rsidRDefault="00C17715" w:rsidP="00C17715">
      <w:pPr>
        <w:spacing w:after="120"/>
        <w:ind w:left="1134" w:right="1134"/>
        <w:jc w:val="both"/>
      </w:pPr>
      <w:r w:rsidRPr="0081017D">
        <w:t>2.</w:t>
      </w:r>
      <w:r w:rsidRPr="0081017D">
        <w:tab/>
        <w:t>The Working Group on Explosives concluded the following (excerpt from report: see informal document INF 53):</w:t>
      </w:r>
    </w:p>
    <w:p w:rsidR="00C17715" w:rsidRDefault="00C17715" w:rsidP="00C17715">
      <w:pPr>
        <w:spacing w:after="120"/>
        <w:ind w:left="1134" w:right="1134"/>
        <w:jc w:val="both"/>
        <w:rPr>
          <w:i/>
          <w:lang w:val="en-US"/>
        </w:rPr>
      </w:pPr>
      <w:r w:rsidRPr="0081017D">
        <w:rPr>
          <w:i/>
          <w:u w:val="single"/>
          <w:lang w:val="en-US"/>
        </w:rPr>
        <w:t>“Conclusion:</w:t>
      </w:r>
      <w:r w:rsidRPr="0081017D">
        <w:rPr>
          <w:i/>
          <w:lang w:val="en-US"/>
        </w:rPr>
        <w:t xml:space="preserve">  While there was sympathy for the problem described by </w:t>
      </w:r>
      <w:smartTag w:uri="urn:schemas-microsoft-com:office:smarttags" w:element="country-region">
        <w:smartTag w:uri="urn:schemas-microsoft-com:office:smarttags" w:element="place">
          <w:r w:rsidRPr="0081017D">
            <w:rPr>
              <w:i/>
              <w:lang w:val="en-US"/>
            </w:rPr>
            <w:t>Italy</w:t>
          </w:r>
        </w:smartTag>
      </w:smartTag>
      <w:r w:rsidRPr="0081017D">
        <w:rPr>
          <w:i/>
          <w:lang w:val="en-US"/>
        </w:rPr>
        <w:t xml:space="preserve"> in 2014/86 and INF.47, opinions in the working group were divided and it could not come up with a consensus.  </w:t>
      </w:r>
      <w:smartTag w:uri="urn:schemas-microsoft-com:office:smarttags" w:element="country-region">
        <w:smartTag w:uri="urn:schemas-microsoft-com:office:smarttags" w:element="place">
          <w:r w:rsidRPr="0081017D">
            <w:rPr>
              <w:i/>
              <w:lang w:val="en-US"/>
            </w:rPr>
            <w:t>Italy</w:t>
          </w:r>
        </w:smartTag>
      </w:smartTag>
      <w:r w:rsidRPr="0081017D">
        <w:rPr>
          <w:i/>
          <w:lang w:val="en-US"/>
        </w:rPr>
        <w:t xml:space="preserve"> would like clear instructions from the sub-committee as to how to proceed next.”</w:t>
      </w:r>
    </w:p>
    <w:p w:rsidR="00C17715" w:rsidRDefault="00C17715" w:rsidP="00C17715">
      <w:pPr>
        <w:spacing w:after="120"/>
        <w:ind w:left="1134" w:right="1134"/>
        <w:jc w:val="both"/>
        <w:rPr>
          <w:lang w:val="en-US"/>
        </w:rPr>
      </w:pPr>
      <w:r>
        <w:rPr>
          <w:lang w:val="en-US"/>
        </w:rPr>
        <w:t>3.</w:t>
      </w:r>
      <w:r>
        <w:rPr>
          <w:lang w:val="en-US"/>
        </w:rPr>
        <w:tab/>
      </w:r>
      <w:r w:rsidRPr="00634032">
        <w:rPr>
          <w:lang w:val="en-US"/>
        </w:rPr>
        <w:t xml:space="preserve">Meanwhile </w:t>
      </w:r>
      <w:r>
        <w:rPr>
          <w:lang w:val="en-US"/>
        </w:rPr>
        <w:t>a document</w:t>
      </w:r>
      <w:r w:rsidRPr="00634032">
        <w:rPr>
          <w:lang w:val="en-US"/>
        </w:rPr>
        <w:t xml:space="preserve"> </w:t>
      </w:r>
      <w:r>
        <w:rPr>
          <w:lang w:val="en-US"/>
        </w:rPr>
        <w:t xml:space="preserve">from </w:t>
      </w:r>
      <w:r w:rsidRPr="00634032">
        <w:rPr>
          <w:lang w:val="en-US"/>
        </w:rPr>
        <w:t xml:space="preserve">the </w:t>
      </w:r>
      <w:smartTag w:uri="urn:schemas-microsoft-com:office:smarttags" w:element="country-region">
        <w:smartTag w:uri="urn:schemas-microsoft-com:office:smarttags" w:element="place">
          <w:r w:rsidRPr="00634032">
            <w:rPr>
              <w:lang w:val="en-US"/>
            </w:rPr>
            <w:t>United Kingdom</w:t>
          </w:r>
        </w:smartTag>
      </w:smartTag>
      <w:r w:rsidRPr="00634032">
        <w:rPr>
          <w:lang w:val="en-US"/>
        </w:rPr>
        <w:t xml:space="preserve"> (2015/47 + INF17) </w:t>
      </w:r>
      <w:r>
        <w:rPr>
          <w:lang w:val="en-US"/>
        </w:rPr>
        <w:t xml:space="preserve">was presented in the same context, suggesting three </w:t>
      </w:r>
      <w:r w:rsidRPr="00634032">
        <w:rPr>
          <w:lang w:val="en-US"/>
        </w:rPr>
        <w:t>alternatives</w:t>
      </w:r>
      <w:r>
        <w:rPr>
          <w:lang w:val="en-US"/>
        </w:rPr>
        <w:t xml:space="preserve"> solutions, highlighting </w:t>
      </w:r>
      <w:r w:rsidRPr="000A306F">
        <w:rPr>
          <w:lang w:val="en-US"/>
        </w:rPr>
        <w:t>advantages and disadvantages for each</w:t>
      </w:r>
      <w:r>
        <w:rPr>
          <w:lang w:val="en-US"/>
        </w:rPr>
        <w:t xml:space="preserve"> of these</w:t>
      </w:r>
      <w:r w:rsidRPr="000A306F">
        <w:rPr>
          <w:lang w:val="en-US"/>
        </w:rPr>
        <w:t>.</w:t>
      </w:r>
    </w:p>
    <w:p w:rsidR="00C17715" w:rsidRPr="004E7071" w:rsidRDefault="00C17715" w:rsidP="00C17715">
      <w:pPr>
        <w:spacing w:after="120"/>
        <w:ind w:left="1134" w:right="1134"/>
        <w:jc w:val="both"/>
      </w:pPr>
      <w:r>
        <w:rPr>
          <w:lang w:val="en-US"/>
        </w:rPr>
        <w:t>4.</w:t>
      </w:r>
      <w:r>
        <w:rPr>
          <w:lang w:val="en-US"/>
        </w:rPr>
        <w:tab/>
        <w:t xml:space="preserve">It is an aim of this document by the expert of </w:t>
      </w:r>
      <w:smartTag w:uri="urn:schemas-microsoft-com:office:smarttags" w:element="metricconverter">
        <w:smartTagPr>
          <w:attr w:name="ProductID" w:val="1.4”"/>
        </w:smartTagPr>
        <w:r w:rsidRPr="003B5EA3">
          <w:rPr>
            <w:lang w:val="en-US"/>
          </w:rPr>
          <w:t>Italy</w:t>
        </w:r>
      </w:smartTag>
      <w:r w:rsidRPr="003B5EA3">
        <w:rPr>
          <w:lang w:val="en-US"/>
        </w:rPr>
        <w:t xml:space="preserve"> </w:t>
      </w:r>
      <w:r>
        <w:rPr>
          <w:lang w:val="en-US"/>
        </w:rPr>
        <w:t xml:space="preserve">both on one hand to explain the position on the proposals from the </w:t>
      </w:r>
      <w:smartTag w:uri="urn:schemas-microsoft-com:office:smarttags" w:element="metricconverter">
        <w:smartTagPr>
          <w:attr w:name="ProductID" w:val="1.4”"/>
        </w:smartTagPr>
        <w:r>
          <w:rPr>
            <w:lang w:val="en-US"/>
          </w:rPr>
          <w:t>UK</w:t>
        </w:r>
      </w:smartTag>
      <w:r>
        <w:rPr>
          <w:lang w:val="en-US"/>
        </w:rPr>
        <w:t xml:space="preserve"> and on the other to finalize with a revised proposal the solution for the raised problem.</w:t>
      </w:r>
    </w:p>
    <w:p w:rsidR="00C17715" w:rsidRDefault="00C17715" w:rsidP="00C17715">
      <w:pPr>
        <w:pStyle w:val="HChG"/>
        <w:rPr>
          <w:lang w:val="en-US"/>
        </w:rPr>
      </w:pPr>
      <w:r>
        <w:rPr>
          <w:lang w:val="en-US"/>
        </w:rPr>
        <w:tab/>
      </w:r>
      <w:r>
        <w:rPr>
          <w:lang w:val="en-US"/>
        </w:rPr>
        <w:tab/>
      </w:r>
      <w:r w:rsidRPr="0081017D">
        <w:rPr>
          <w:lang w:val="en-US"/>
        </w:rPr>
        <w:t>Comments to ST/SG/AC.10/C.3/2015/47 (U</w:t>
      </w:r>
      <w:r>
        <w:rPr>
          <w:lang w:val="en-US"/>
        </w:rPr>
        <w:t xml:space="preserve">nited Kingdom) and </w:t>
      </w:r>
      <w:r w:rsidRPr="0081017D">
        <w:rPr>
          <w:lang w:val="en-US"/>
        </w:rPr>
        <w:t>INF.17 (U</w:t>
      </w:r>
      <w:r>
        <w:rPr>
          <w:lang w:val="en-US"/>
        </w:rPr>
        <w:t>nited Kingdom</w:t>
      </w:r>
      <w:r w:rsidRPr="0081017D">
        <w:rPr>
          <w:lang w:val="en-US"/>
        </w:rPr>
        <w:t xml:space="preserve">) </w:t>
      </w:r>
    </w:p>
    <w:p w:rsidR="00C17715" w:rsidRPr="001F47A8" w:rsidRDefault="00C17715" w:rsidP="00C17715">
      <w:pPr>
        <w:spacing w:after="120"/>
        <w:ind w:left="1134" w:right="1134"/>
        <w:jc w:val="both"/>
      </w:pPr>
      <w:r w:rsidRPr="001F47A8">
        <w:t>5.</w:t>
      </w:r>
      <w:r w:rsidRPr="001F47A8">
        <w:tab/>
      </w:r>
      <w:r>
        <w:t xml:space="preserve">With reference to Proposal I </w:t>
      </w:r>
      <w:proofErr w:type="gramStart"/>
      <w:r>
        <w:t>( ref</w:t>
      </w:r>
      <w:proofErr w:type="gramEnd"/>
      <w:r>
        <w:t>. INF 17 par. 6.I )</w:t>
      </w:r>
    </w:p>
    <w:p w:rsidR="00C17715" w:rsidRPr="00B3290A" w:rsidRDefault="00C17715" w:rsidP="00C17715">
      <w:pPr>
        <w:spacing w:after="120"/>
        <w:ind w:left="1134" w:right="1134"/>
        <w:jc w:val="both"/>
        <w:rPr>
          <w:i/>
          <w:lang w:val="en-US"/>
        </w:rPr>
      </w:pPr>
      <w:r w:rsidRPr="00B3290A">
        <w:rPr>
          <w:i/>
          <w:lang w:val="en-US"/>
        </w:rPr>
        <w:t>“</w:t>
      </w:r>
      <w:r w:rsidRPr="00B3290A">
        <w:rPr>
          <w:i/>
          <w:u w:val="single"/>
          <w:lang w:val="en-US"/>
        </w:rPr>
        <w:t>Add</w:t>
      </w:r>
      <w:r w:rsidRPr="00B3290A">
        <w:rPr>
          <w:i/>
          <w:lang w:val="en-US"/>
        </w:rPr>
        <w:t xml:space="preserve"> all the Explosives N.O.S entries to the High Consequence Dangerous Goods List provided in Table 1.4.1 of the Model Regulations.”</w:t>
      </w:r>
    </w:p>
    <w:p w:rsidR="00C17715" w:rsidRDefault="00C17715" w:rsidP="00C17715">
      <w:pPr>
        <w:spacing w:after="120"/>
        <w:ind w:left="1134" w:right="1134"/>
        <w:jc w:val="both"/>
        <w:rPr>
          <w:lang w:val="en-US"/>
        </w:rPr>
      </w:pPr>
      <w:r>
        <w:rPr>
          <w:lang w:val="en-US"/>
        </w:rPr>
        <w:t>It is evident</w:t>
      </w:r>
      <w:r w:rsidRPr="001F47A8">
        <w:rPr>
          <w:lang w:val="en-US"/>
        </w:rPr>
        <w:t xml:space="preserve"> that this proposal would require the application of security measures to all NOS even those who</w:t>
      </w:r>
      <w:r>
        <w:rPr>
          <w:lang w:val="en-US"/>
        </w:rPr>
        <w:t xml:space="preserve"> </w:t>
      </w:r>
      <w:r w:rsidRPr="001F47A8">
        <w:rPr>
          <w:lang w:val="en-US"/>
        </w:rPr>
        <w:t>do not require (</w:t>
      </w:r>
      <w:r>
        <w:rPr>
          <w:lang w:val="en-US"/>
        </w:rPr>
        <w:t>some of them</w:t>
      </w:r>
      <w:r w:rsidRPr="001F47A8">
        <w:rPr>
          <w:lang w:val="en-US"/>
        </w:rPr>
        <w:t xml:space="preserve"> do not have the characteristics to be considered "High consequence dangerous good" for transport)</w:t>
      </w:r>
      <w:r>
        <w:rPr>
          <w:lang w:val="en-US"/>
        </w:rPr>
        <w:t xml:space="preserve">. The </w:t>
      </w:r>
      <w:r w:rsidRPr="000A306F">
        <w:rPr>
          <w:lang w:val="en-US"/>
        </w:rPr>
        <w:t>disadvantage</w:t>
      </w:r>
      <w:r>
        <w:rPr>
          <w:lang w:val="en-US"/>
        </w:rPr>
        <w:t xml:space="preserve"> </w:t>
      </w:r>
      <w:r w:rsidRPr="00C75AD3">
        <w:rPr>
          <w:lang w:val="en-US"/>
        </w:rPr>
        <w:t>has been</w:t>
      </w:r>
      <w:r>
        <w:rPr>
          <w:lang w:val="en-US"/>
        </w:rPr>
        <w:t xml:space="preserve"> </w:t>
      </w:r>
      <w:r w:rsidRPr="00C75AD3">
        <w:rPr>
          <w:lang w:val="en-US"/>
        </w:rPr>
        <w:t xml:space="preserve">rightly </w:t>
      </w:r>
      <w:r>
        <w:rPr>
          <w:lang w:val="en-US"/>
        </w:rPr>
        <w:t>also</w:t>
      </w:r>
      <w:r w:rsidRPr="00C75AD3">
        <w:rPr>
          <w:lang w:val="en-US"/>
        </w:rPr>
        <w:t xml:space="preserve"> pointed out by </w:t>
      </w:r>
      <w:r w:rsidRPr="001F47A8">
        <w:rPr>
          <w:lang w:val="en-US"/>
        </w:rPr>
        <w:t>the</w:t>
      </w:r>
      <w:r>
        <w:rPr>
          <w:lang w:val="en-US"/>
        </w:rPr>
        <w:t xml:space="preserve"> expert from the</w:t>
      </w:r>
      <w:r w:rsidRPr="001F47A8">
        <w:rPr>
          <w:lang w:val="en-US"/>
        </w:rPr>
        <w:t xml:space="preserve"> </w:t>
      </w:r>
      <w:smartTag w:uri="urn:schemas-microsoft-com:office:smarttags" w:element="metricconverter">
        <w:smartTagPr>
          <w:attr w:name="ProductID" w:val="1.4”"/>
        </w:smartTagPr>
        <w:r w:rsidRPr="001F47A8">
          <w:rPr>
            <w:lang w:val="en-US"/>
          </w:rPr>
          <w:t>UK</w:t>
        </w:r>
      </w:smartTag>
      <w:r w:rsidRPr="001F47A8">
        <w:rPr>
          <w:lang w:val="en-US"/>
        </w:rPr>
        <w:t xml:space="preserve"> (see par. .......).</w:t>
      </w:r>
    </w:p>
    <w:p w:rsidR="00C17715" w:rsidRDefault="00C17715" w:rsidP="00C17715">
      <w:pPr>
        <w:spacing w:after="120"/>
        <w:ind w:left="1134" w:right="1134"/>
        <w:jc w:val="both"/>
      </w:pPr>
      <w:r>
        <w:rPr>
          <w:lang w:val="en-US"/>
        </w:rPr>
        <w:t>6.</w:t>
      </w:r>
      <w:r>
        <w:rPr>
          <w:lang w:val="en-US"/>
        </w:rPr>
        <w:tab/>
      </w:r>
      <w:r>
        <w:t>With reference</w:t>
      </w:r>
      <w:r w:rsidRPr="001F47A8">
        <w:t xml:space="preserve"> to Proposal I</w:t>
      </w:r>
      <w:r>
        <w:t>I</w:t>
      </w:r>
      <w:r w:rsidRPr="001F47A8">
        <w:t xml:space="preserve"> </w:t>
      </w:r>
      <w:proofErr w:type="gramStart"/>
      <w:r w:rsidRPr="001F47A8">
        <w:t>(</w:t>
      </w:r>
      <w:r>
        <w:t xml:space="preserve"> ref</w:t>
      </w:r>
      <w:proofErr w:type="gramEnd"/>
      <w:r>
        <w:t xml:space="preserve">. </w:t>
      </w:r>
      <w:r w:rsidRPr="00F335A0">
        <w:t xml:space="preserve">INF 17 par. </w:t>
      </w:r>
      <w:r>
        <w:t xml:space="preserve">6.II </w:t>
      </w:r>
      <w:r w:rsidRPr="00F335A0">
        <w:t>)</w:t>
      </w:r>
    </w:p>
    <w:p w:rsidR="00C17715" w:rsidRPr="00B3290A" w:rsidRDefault="00C17715" w:rsidP="00C17715">
      <w:pPr>
        <w:spacing w:after="120"/>
        <w:ind w:left="1134" w:right="1134"/>
        <w:jc w:val="both"/>
        <w:rPr>
          <w:i/>
        </w:rPr>
      </w:pPr>
      <w:r w:rsidRPr="00B3290A">
        <w:rPr>
          <w:i/>
        </w:rPr>
        <w:t>“</w:t>
      </w:r>
      <w:r w:rsidRPr="00B3290A">
        <w:rPr>
          <w:i/>
          <w:u w:val="single"/>
        </w:rPr>
        <w:t>Revise</w:t>
      </w:r>
      <w:r w:rsidRPr="00B3290A">
        <w:rPr>
          <w:i/>
        </w:rPr>
        <w:t xml:space="preserve"> Special Provision 178 to require the Competent Authority to specify whether or not the item classified is subject to the security provisions required in 1.4.3.2 of the Model Regulations; and </w:t>
      </w:r>
    </w:p>
    <w:p w:rsidR="00C17715" w:rsidRPr="00B3290A" w:rsidRDefault="00C17715" w:rsidP="00C17715">
      <w:pPr>
        <w:spacing w:after="120"/>
        <w:ind w:left="1134" w:right="1134"/>
        <w:jc w:val="both"/>
        <w:rPr>
          <w:i/>
        </w:rPr>
      </w:pPr>
      <w:proofErr w:type="gramStart"/>
      <w:r w:rsidRPr="00B3290A">
        <w:rPr>
          <w:i/>
          <w:u w:val="single"/>
        </w:rPr>
        <w:t>require</w:t>
      </w:r>
      <w:proofErr w:type="gramEnd"/>
      <w:r w:rsidRPr="00B3290A">
        <w:rPr>
          <w:i/>
        </w:rPr>
        <w:t xml:space="preserve"> the transport documents for articles and substances so identified to be clearly marked “High Consequence Dangerous Goods”; and </w:t>
      </w:r>
    </w:p>
    <w:p w:rsidR="00C17715" w:rsidRDefault="00C17715" w:rsidP="00C17715">
      <w:pPr>
        <w:spacing w:after="120"/>
        <w:ind w:left="1134" w:right="1134"/>
        <w:jc w:val="both"/>
      </w:pPr>
      <w:proofErr w:type="gramStart"/>
      <w:r w:rsidRPr="00B3290A">
        <w:rPr>
          <w:i/>
          <w:u w:val="single"/>
        </w:rPr>
        <w:t>amend</w:t>
      </w:r>
      <w:proofErr w:type="gramEnd"/>
      <w:r w:rsidRPr="00B3290A">
        <w:rPr>
          <w:i/>
        </w:rPr>
        <w:t xml:space="preserve"> the Indicative list in Table 1.4.1 to capture articles and substances identified by the Competent Authority as high consequence as part of the classification procedure”</w:t>
      </w:r>
    </w:p>
    <w:p w:rsidR="00C17715" w:rsidRDefault="00C17715" w:rsidP="00C17715">
      <w:pPr>
        <w:spacing w:after="120"/>
        <w:ind w:left="1134" w:right="1134"/>
        <w:jc w:val="both"/>
      </w:pPr>
      <w:r w:rsidRPr="00E21231">
        <w:t xml:space="preserve">Taking into account biennial updating of the UN Model Regulations, a specific request by a Competent Authority regarding a UN number to add to the Indicative List </w:t>
      </w:r>
      <w:proofErr w:type="spellStart"/>
      <w:r w:rsidRPr="00E21231">
        <w:t>oh</w:t>
      </w:r>
      <w:proofErr w:type="spellEnd"/>
      <w:r w:rsidRPr="00E21231">
        <w:t xml:space="preserve"> High </w:t>
      </w:r>
      <w:r w:rsidRPr="00E21231">
        <w:lastRenderedPageBreak/>
        <w:t>Consequence Dangerous Goods (Table 1.4.1) would take effect in the next edition of the Recommendations thus with an average delay of two years, causing significant delays in practice enforcement.</w:t>
      </w:r>
    </w:p>
    <w:p w:rsidR="00C17715" w:rsidRDefault="00C17715" w:rsidP="00C17715">
      <w:pPr>
        <w:spacing w:after="120"/>
        <w:ind w:left="1134" w:right="1134"/>
        <w:jc w:val="both"/>
      </w:pPr>
      <w:r>
        <w:t xml:space="preserve">On the other hand a “national” view of the concept of the </w:t>
      </w:r>
      <w:r w:rsidRPr="00E21231">
        <w:t>High Consequence Dangerous Goods</w:t>
      </w:r>
      <w:r>
        <w:t xml:space="preserve"> not in line with the Table 1.4.1 as published into the current edition UN Model regulations </w:t>
      </w:r>
      <w:r w:rsidRPr="002C18F0">
        <w:t>would raise problems for international transport</w:t>
      </w:r>
      <w:r>
        <w:t xml:space="preserve">. </w:t>
      </w:r>
    </w:p>
    <w:p w:rsidR="00C17715" w:rsidRPr="00E21231" w:rsidRDefault="00C17715" w:rsidP="00C17715">
      <w:pPr>
        <w:spacing w:after="120"/>
        <w:ind w:left="1134" w:right="1134"/>
        <w:jc w:val="both"/>
      </w:pPr>
      <w:r w:rsidRPr="00AC50A4">
        <w:t>Regarding the possib</w:t>
      </w:r>
      <w:r>
        <w:t>ility to put a phrase</w:t>
      </w:r>
      <w:r w:rsidRPr="00AC50A4">
        <w:t xml:space="preserve"> in </w:t>
      </w:r>
      <w:r>
        <w:t xml:space="preserve">the </w:t>
      </w:r>
      <w:r w:rsidRPr="00AC50A4">
        <w:t xml:space="preserve">transport </w:t>
      </w:r>
      <w:r>
        <w:t>document as “High Consequence Dangerous Goods</w:t>
      </w:r>
      <w:r w:rsidRPr="00AC50A4">
        <w:t>"</w:t>
      </w:r>
      <w:r>
        <w:t xml:space="preserve">, </w:t>
      </w:r>
      <w:smartTag w:uri="urn:schemas-microsoft-com:office:smarttags" w:element="metricconverter">
        <w:smartTagPr>
          <w:attr w:name="ProductID" w:val="1.4”"/>
        </w:smartTagPr>
        <w:r w:rsidRPr="00AC50A4">
          <w:t>Italy</w:t>
        </w:r>
      </w:smartTag>
      <w:r w:rsidRPr="00AC50A4">
        <w:t xml:space="preserve"> considers it inappropriate </w:t>
      </w:r>
      <w:r>
        <w:t xml:space="preserve">and </w:t>
      </w:r>
      <w:r w:rsidRPr="00AC50A4">
        <w:t xml:space="preserve">contrary to the principle of confidentiality of information when carrying </w:t>
      </w:r>
      <w:r>
        <w:t xml:space="preserve">such kind of </w:t>
      </w:r>
      <w:r w:rsidRPr="00AC50A4">
        <w:t>substances / objects</w:t>
      </w:r>
      <w:r>
        <w:t xml:space="preserve">. </w:t>
      </w:r>
    </w:p>
    <w:p w:rsidR="00C17715" w:rsidRDefault="00C17715" w:rsidP="00C17715">
      <w:pPr>
        <w:spacing w:after="120"/>
        <w:ind w:left="1134" w:right="1134"/>
        <w:jc w:val="both"/>
      </w:pPr>
      <w:r>
        <w:t>7.</w:t>
      </w:r>
      <w:r>
        <w:tab/>
        <w:t>With reference</w:t>
      </w:r>
      <w:r w:rsidRPr="001F47A8">
        <w:t xml:space="preserve"> to Proposal I</w:t>
      </w:r>
      <w:r>
        <w:t>II</w:t>
      </w:r>
      <w:r w:rsidRPr="001F47A8">
        <w:t xml:space="preserve"> </w:t>
      </w:r>
      <w:proofErr w:type="gramStart"/>
      <w:r w:rsidRPr="001F47A8">
        <w:t>(</w:t>
      </w:r>
      <w:r>
        <w:t xml:space="preserve"> ref</w:t>
      </w:r>
      <w:proofErr w:type="gramEnd"/>
      <w:r>
        <w:t xml:space="preserve">. </w:t>
      </w:r>
      <w:r w:rsidRPr="00F335A0">
        <w:t xml:space="preserve">INF 17 par. </w:t>
      </w:r>
      <w:r>
        <w:t>6.III</w:t>
      </w:r>
      <w:r w:rsidRPr="00F335A0">
        <w:t>)</w:t>
      </w:r>
    </w:p>
    <w:p w:rsidR="00C17715" w:rsidRPr="00B3290A" w:rsidRDefault="00C17715" w:rsidP="00C17715">
      <w:pPr>
        <w:spacing w:after="120"/>
        <w:ind w:left="1134" w:right="1134"/>
        <w:jc w:val="both"/>
        <w:rPr>
          <w:i/>
        </w:rPr>
      </w:pPr>
      <w:r w:rsidRPr="00B3290A">
        <w:rPr>
          <w:i/>
        </w:rPr>
        <w:t>“</w:t>
      </w:r>
      <w:r w:rsidRPr="00B3290A">
        <w:rPr>
          <w:i/>
          <w:u w:val="single"/>
        </w:rPr>
        <w:t>Add</w:t>
      </w:r>
      <w:r w:rsidRPr="00B3290A">
        <w:rPr>
          <w:i/>
        </w:rPr>
        <w:t xml:space="preserve"> new UN numbers for all Explosives N.O.S entries in the Dangerous Goods List to differentiate between those that are considered to be of high consequence (and therefore attract the security provisions in 1.4.3.2), from those that are not. </w:t>
      </w:r>
    </w:p>
    <w:p w:rsidR="00C17715" w:rsidRDefault="00C17715" w:rsidP="00C17715">
      <w:pPr>
        <w:spacing w:after="120"/>
        <w:ind w:left="1134" w:right="1134"/>
        <w:jc w:val="both"/>
      </w:pPr>
      <w:proofErr w:type="gramStart"/>
      <w:r w:rsidRPr="00B3290A">
        <w:rPr>
          <w:i/>
          <w:u w:val="single"/>
        </w:rPr>
        <w:t>Update</w:t>
      </w:r>
      <w:r w:rsidRPr="00B3290A">
        <w:rPr>
          <w:i/>
        </w:rPr>
        <w:t xml:space="preserve"> Table 1.4.1 to include all the new entries.”</w:t>
      </w:r>
      <w:proofErr w:type="gramEnd"/>
    </w:p>
    <w:p w:rsidR="00C17715" w:rsidRDefault="00C17715" w:rsidP="00C17715">
      <w:pPr>
        <w:spacing w:after="120"/>
        <w:ind w:left="1134" w:right="1134"/>
        <w:jc w:val="both"/>
      </w:pPr>
      <w:r w:rsidRPr="00541A69">
        <w:t>It is clear this proposal that would generate for each Explosives NOS entry a twin to be subject to the security rules, would add to the Dangerous Good List more than thirty new lines.</w:t>
      </w:r>
    </w:p>
    <w:p w:rsidR="00C17715" w:rsidRPr="00541A69" w:rsidRDefault="00C17715" w:rsidP="00C17715">
      <w:pPr>
        <w:spacing w:after="120"/>
        <w:ind w:left="1134" w:right="1134"/>
        <w:jc w:val="both"/>
      </w:pPr>
      <w:r w:rsidRPr="00541A69">
        <w:t>This proposal is similar to the Italian one but seems to be more complicated.</w:t>
      </w:r>
      <w:r>
        <w:t xml:space="preserve"> </w:t>
      </w:r>
      <w:r w:rsidRPr="00541A69">
        <w:t>In fact following the proposal de</w:t>
      </w:r>
      <w:r>
        <w:t>s</w:t>
      </w:r>
      <w:r w:rsidRPr="00541A69">
        <w:t xml:space="preserve">cribed in doc. 2014/86, </w:t>
      </w:r>
      <w:r w:rsidRPr="00C701CA">
        <w:rPr>
          <w:u w:val="single"/>
        </w:rPr>
        <w:t>only two new UN numbers</w:t>
      </w:r>
      <w:r w:rsidRPr="00541A69">
        <w:t xml:space="preserve"> would be generated. </w:t>
      </w:r>
      <w:proofErr w:type="gramStart"/>
      <w:r w:rsidRPr="00541A69">
        <w:t xml:space="preserve">This two new "Jolly numbers" to be used </w:t>
      </w:r>
      <w:r w:rsidRPr="00AA1DCA">
        <w:rPr>
          <w:b/>
          <w:u w:val="single"/>
        </w:rPr>
        <w:t>only</w:t>
      </w:r>
      <w:r>
        <w:t xml:space="preserve"> </w:t>
      </w:r>
      <w:r w:rsidRPr="00541A69">
        <w:t>in the case of article or explosive substance NOS to be subjected to the security rules.</w:t>
      </w:r>
      <w:proofErr w:type="gramEnd"/>
    </w:p>
    <w:p w:rsidR="00C17715" w:rsidRPr="00AA1DCA" w:rsidRDefault="00C17715" w:rsidP="00C17715">
      <w:pPr>
        <w:spacing w:after="120"/>
        <w:ind w:left="1134" w:right="1134"/>
        <w:jc w:val="both"/>
      </w:pPr>
      <w:r>
        <w:t>8.</w:t>
      </w:r>
      <w:r>
        <w:tab/>
      </w:r>
      <w:r w:rsidRPr="00AA1DCA">
        <w:t xml:space="preserve">For that reasons it is the opinion of the expert of </w:t>
      </w:r>
      <w:smartTag w:uri="urn:schemas-microsoft-com:office:smarttags" w:element="metricconverter">
        <w:smartTagPr>
          <w:attr w:name="ProductID" w:val="1.4”"/>
        </w:smartTagPr>
        <w:r w:rsidRPr="00AA1DCA">
          <w:t>Italy</w:t>
        </w:r>
      </w:smartTag>
      <w:r w:rsidRPr="00AA1DCA">
        <w:t xml:space="preserve"> to confirm the validity of the proposal already presented during the previous sessions of the Sub-Committee of Expert on TDG.</w:t>
      </w:r>
    </w:p>
    <w:p w:rsidR="00C17715" w:rsidRPr="00AA1DCA" w:rsidRDefault="00C17715" w:rsidP="00C17715">
      <w:pPr>
        <w:spacing w:after="120"/>
        <w:ind w:left="1134" w:right="1134"/>
        <w:jc w:val="both"/>
      </w:pPr>
      <w:r w:rsidRPr="00AA1DCA">
        <w:t>The proposal, that is summarized in the following paragraphs, has been updated with the addition of "</w:t>
      </w:r>
      <w:r w:rsidRPr="006D29AD">
        <w:rPr>
          <w:highlight w:val="yellow"/>
        </w:rPr>
        <w:t>PACKED</w:t>
      </w:r>
      <w:r w:rsidRPr="00AA1DCA">
        <w:t>" in the "Name and description" to avoid redundancy in the proper shipping name; the specific issue was raised by some experts during previous debates.</w:t>
      </w:r>
      <w:r>
        <w:t xml:space="preserve"> (</w:t>
      </w:r>
      <w:proofErr w:type="gramStart"/>
      <w:r w:rsidRPr="0081017D">
        <w:rPr>
          <w:lang w:val="en-US"/>
        </w:rPr>
        <w:t>paragraph</w:t>
      </w:r>
      <w:proofErr w:type="gramEnd"/>
      <w:r w:rsidRPr="0081017D">
        <w:rPr>
          <w:lang w:val="en-US"/>
        </w:rPr>
        <w:t xml:space="preserve"> 2.1.2.1.1 of the Model Regulations</w:t>
      </w:r>
      <w:r>
        <w:rPr>
          <w:lang w:val="en-US"/>
        </w:rPr>
        <w:t xml:space="preserve"> states </w:t>
      </w:r>
      <w:r w:rsidRPr="00AA1DCA">
        <w:rPr>
          <w:i/>
          <w:lang w:val="en-US"/>
        </w:rPr>
        <w:t>“</w:t>
      </w:r>
      <w:r>
        <w:rPr>
          <w:i/>
          <w:lang w:val="en-US"/>
        </w:rPr>
        <w:t>……</w:t>
      </w:r>
      <w:r w:rsidRPr="00AA1DCA">
        <w:rPr>
          <w:i/>
          <w:lang w:val="en-US"/>
        </w:rPr>
        <w:t>Substances</w:t>
      </w:r>
      <w:r w:rsidRPr="0081017D">
        <w:rPr>
          <w:i/>
          <w:lang w:val="en-US"/>
        </w:rPr>
        <w:t xml:space="preserve"> or items </w:t>
      </w:r>
      <w:r w:rsidRPr="006E2D77">
        <w:rPr>
          <w:i/>
          <w:highlight w:val="yellow"/>
          <w:u w:val="single"/>
          <w:lang w:val="en-US"/>
        </w:rPr>
        <w:t>packed</w:t>
      </w:r>
      <w:r w:rsidRPr="0081017D">
        <w:rPr>
          <w:i/>
          <w:lang w:val="en-US"/>
        </w:rPr>
        <w:t xml:space="preserve"> in such a way as to confine any dangerous explosive effect, caused by an accidental operation, within the package itself, therefore those items or materials can be assigned the 1.4S classification code</w:t>
      </w:r>
      <w:r>
        <w:rPr>
          <w:i/>
          <w:lang w:val="en-US"/>
        </w:rPr>
        <w:t>”</w:t>
      </w:r>
      <w:r>
        <w:rPr>
          <w:lang w:val="en-US"/>
        </w:rPr>
        <w:t xml:space="preserve"> )</w:t>
      </w:r>
    </w:p>
    <w:p w:rsidR="00C17715" w:rsidRPr="0081017D" w:rsidRDefault="00C17715" w:rsidP="00C17715">
      <w:pPr>
        <w:pStyle w:val="HChG"/>
      </w:pPr>
      <w:r>
        <w:tab/>
      </w:r>
      <w:r>
        <w:tab/>
      </w:r>
      <w:r w:rsidRPr="0081017D">
        <w:t>Proposal</w:t>
      </w:r>
    </w:p>
    <w:p w:rsidR="00A27F89" w:rsidRPr="0081017D" w:rsidRDefault="00A27F89" w:rsidP="00A27F89">
      <w:pPr>
        <w:spacing w:after="120"/>
        <w:ind w:left="1134" w:right="1134"/>
      </w:pPr>
      <w:r>
        <w:t>9</w:t>
      </w:r>
      <w:r w:rsidRPr="0081017D">
        <w:t>.</w:t>
      </w:r>
      <w:r w:rsidRPr="0081017D">
        <w:tab/>
      </w:r>
      <w:r w:rsidRPr="0081017D">
        <w:rPr>
          <w:u w:val="single"/>
        </w:rPr>
        <w:t>Add</w:t>
      </w:r>
      <w:r w:rsidRPr="0081017D">
        <w:t xml:space="preserve"> two new entries in the dangerous goods list (Chapter 3.2) as follows:</w:t>
      </w:r>
    </w:p>
    <w:p w:rsidR="00A27F89" w:rsidRPr="0081017D" w:rsidRDefault="00A27F89" w:rsidP="00A27F89">
      <w:pPr>
        <w:spacing w:after="120"/>
        <w:ind w:left="1701" w:right="567"/>
        <w:rPr>
          <w:b/>
        </w:rPr>
      </w:pPr>
      <w:r w:rsidRPr="0081017D">
        <w:rPr>
          <w:b/>
        </w:rPr>
        <w:t xml:space="preserve">UN 0XXA SUBSTANCES, EXPLOSIVE, </w:t>
      </w:r>
      <w:r w:rsidRPr="0081017D">
        <w:rPr>
          <w:b/>
          <w:i/>
          <w:highlight w:val="yellow"/>
        </w:rPr>
        <w:t>PACKED</w:t>
      </w:r>
      <w:r>
        <w:rPr>
          <w:b/>
        </w:rPr>
        <w:t xml:space="preserve">, N.O.S. 1.4S      </w:t>
      </w:r>
      <w:r>
        <w:rPr>
          <w:b/>
        </w:rPr>
        <w:tab/>
        <w:t>SP 178, SP </w:t>
      </w:r>
      <w:r w:rsidRPr="0081017D">
        <w:rPr>
          <w:b/>
        </w:rPr>
        <w:t xml:space="preserve">274, SP 347, </w:t>
      </w:r>
      <w:proofErr w:type="spellStart"/>
      <w:r w:rsidRPr="0081017D">
        <w:rPr>
          <w:b/>
        </w:rPr>
        <w:t>SPyyy</w:t>
      </w:r>
      <w:proofErr w:type="spellEnd"/>
    </w:p>
    <w:p w:rsidR="00A27F89" w:rsidRPr="0081017D" w:rsidRDefault="00A27F89" w:rsidP="00A27F89">
      <w:pPr>
        <w:spacing w:after="120"/>
        <w:ind w:left="1701" w:right="567"/>
        <w:rPr>
          <w:b/>
        </w:rPr>
      </w:pPr>
      <w:r w:rsidRPr="0081017D">
        <w:rPr>
          <w:b/>
        </w:rPr>
        <w:t xml:space="preserve">UN 0XXB ARTICLES, EXPLOSIVE, </w:t>
      </w:r>
      <w:r w:rsidRPr="0081017D">
        <w:rPr>
          <w:b/>
          <w:i/>
          <w:highlight w:val="yellow"/>
        </w:rPr>
        <w:t>PACKED</w:t>
      </w:r>
      <w:r w:rsidRPr="0081017D">
        <w:rPr>
          <w:b/>
        </w:rPr>
        <w:t>, N.O</w:t>
      </w:r>
      <w:r>
        <w:rPr>
          <w:b/>
        </w:rPr>
        <w:t xml:space="preserve">.S. 1.4S            </w:t>
      </w:r>
      <w:r>
        <w:rPr>
          <w:b/>
        </w:rPr>
        <w:tab/>
        <w:t>SP 178, SP </w:t>
      </w:r>
      <w:r w:rsidRPr="0081017D">
        <w:rPr>
          <w:b/>
        </w:rPr>
        <w:t xml:space="preserve">274, SP 347, </w:t>
      </w:r>
      <w:proofErr w:type="spellStart"/>
      <w:r w:rsidRPr="0081017D">
        <w:rPr>
          <w:b/>
        </w:rPr>
        <w:t>SPyyy</w:t>
      </w:r>
      <w:proofErr w:type="spellEnd"/>
    </w:p>
    <w:p w:rsidR="00A27F89" w:rsidRPr="0081017D" w:rsidRDefault="00A27F89" w:rsidP="00A27F89">
      <w:pPr>
        <w:pStyle w:val="SingleTxtG"/>
      </w:pPr>
      <w:r>
        <w:t>10</w:t>
      </w:r>
      <w:r w:rsidRPr="0081017D">
        <w:t>.</w:t>
      </w:r>
      <w:r w:rsidRPr="0081017D">
        <w:tab/>
      </w:r>
      <w:proofErr w:type="gramStart"/>
      <w:r w:rsidRPr="0081017D">
        <w:rPr>
          <w:u w:val="single"/>
        </w:rPr>
        <w:t>Add</w:t>
      </w:r>
      <w:r w:rsidRPr="0081017D">
        <w:t xml:space="preserve">  a</w:t>
      </w:r>
      <w:proofErr w:type="gramEnd"/>
      <w:r w:rsidRPr="0081017D">
        <w:t xml:space="preserve"> new special provision in Chapter 3.3 as follows:</w:t>
      </w:r>
    </w:p>
    <w:p w:rsidR="00A27F89" w:rsidRPr="0081017D" w:rsidRDefault="00A27F89" w:rsidP="00A27F89">
      <w:pPr>
        <w:tabs>
          <w:tab w:val="left" w:pos="2127"/>
          <w:tab w:val="left" w:pos="2552"/>
        </w:tabs>
        <w:ind w:left="1701" w:right="992"/>
        <w:jc w:val="both"/>
        <w:rPr>
          <w:b/>
        </w:rPr>
      </w:pPr>
      <w:proofErr w:type="spellStart"/>
      <w:r w:rsidRPr="0081017D">
        <w:rPr>
          <w:b/>
        </w:rPr>
        <w:t>SPyyy</w:t>
      </w:r>
      <w:proofErr w:type="spellEnd"/>
      <w:r w:rsidRPr="0081017D">
        <w:rPr>
          <w:b/>
        </w:rPr>
        <w:t xml:space="preserve"> </w:t>
      </w:r>
      <w:r w:rsidRPr="0081017D">
        <w:rPr>
          <w:b/>
        </w:rPr>
        <w:tab/>
        <w:t>This entry applies only when the security provisions of Chapter 1.4 have to be fulfilled.</w:t>
      </w:r>
    </w:p>
    <w:p w:rsidR="00A27F89" w:rsidRPr="0081017D" w:rsidRDefault="00A27F89" w:rsidP="00A27F89">
      <w:pPr>
        <w:spacing w:before="120" w:after="120"/>
        <w:ind w:left="1134" w:right="1134"/>
        <w:jc w:val="both"/>
      </w:pPr>
      <w:r>
        <w:t>11</w:t>
      </w:r>
      <w:r w:rsidRPr="0081017D">
        <w:t>.</w:t>
      </w:r>
      <w:r w:rsidRPr="0081017D">
        <w:tab/>
      </w:r>
      <w:r w:rsidRPr="0081017D">
        <w:rPr>
          <w:u w:val="single"/>
        </w:rPr>
        <w:t>Add</w:t>
      </w:r>
      <w:r w:rsidRPr="0081017D">
        <w:t xml:space="preserve"> to the Table 1.4.1 of Chapter 1.4 against “Class 1, Division </w:t>
      </w:r>
      <w:smartTag w:uri="urn:schemas-microsoft-com:office:smarttags" w:element="metricconverter">
        <w:smartTagPr>
          <w:attr w:name="ProductID" w:val="1.4”"/>
        </w:smartTagPr>
        <w:r w:rsidRPr="0081017D">
          <w:t>1.4”</w:t>
        </w:r>
      </w:smartTag>
      <w:r w:rsidRPr="0081017D">
        <w:t xml:space="preserve"> the new </w:t>
      </w:r>
      <w:r w:rsidRPr="0081017D">
        <w:tab/>
        <w:t xml:space="preserve">UN numbers 0XXA and 0XXB </w:t>
      </w:r>
    </w:p>
    <w:p w:rsidR="00A27F89" w:rsidRPr="0081017D" w:rsidRDefault="00A27F89" w:rsidP="00A27F89">
      <w:pPr>
        <w:ind w:left="1134" w:right="1134"/>
        <w:jc w:val="both"/>
      </w:pPr>
      <w:r>
        <w:t>12</w:t>
      </w:r>
      <w:r w:rsidRPr="0081017D">
        <w:t>.</w:t>
      </w:r>
      <w:r w:rsidRPr="0081017D">
        <w:tab/>
      </w:r>
      <w:r w:rsidRPr="0081017D">
        <w:rPr>
          <w:u w:val="single"/>
        </w:rPr>
        <w:t>Add</w:t>
      </w:r>
      <w:r w:rsidRPr="0081017D">
        <w:t xml:space="preserve"> a new special provision in Chapter 3.3 as follows:</w:t>
      </w:r>
    </w:p>
    <w:p w:rsidR="00A27F89" w:rsidRPr="0081017D" w:rsidRDefault="00A27F89" w:rsidP="00A27F89">
      <w:pPr>
        <w:spacing w:before="120"/>
        <w:ind w:left="1701" w:right="992" w:hanging="567"/>
        <w:jc w:val="both"/>
        <w:rPr>
          <w:b/>
        </w:rPr>
      </w:pPr>
      <w:r w:rsidRPr="0081017D">
        <w:rPr>
          <w:b/>
        </w:rPr>
        <w:lastRenderedPageBreak/>
        <w:tab/>
      </w:r>
      <w:proofErr w:type="spellStart"/>
      <w:r w:rsidRPr="0081017D">
        <w:rPr>
          <w:b/>
        </w:rPr>
        <w:t>SPzzz</w:t>
      </w:r>
      <w:proofErr w:type="spellEnd"/>
      <w:r w:rsidRPr="0081017D">
        <w:rPr>
          <w:b/>
        </w:rPr>
        <w:tab/>
        <w:t xml:space="preserve"> This entry shall not be used when the security provisions of Chapter 1.4 have to be fulfilled.</w:t>
      </w:r>
    </w:p>
    <w:p w:rsidR="00A27F89" w:rsidRPr="0081017D" w:rsidRDefault="00A27F89" w:rsidP="00A27F89">
      <w:pPr>
        <w:spacing w:before="120"/>
        <w:ind w:left="1701" w:right="1134" w:hanging="567"/>
        <w:jc w:val="both"/>
      </w:pPr>
      <w:r>
        <w:t>13</w:t>
      </w:r>
      <w:r w:rsidRPr="0081017D">
        <w:t>.</w:t>
      </w:r>
      <w:r>
        <w:t xml:space="preserve"> </w:t>
      </w:r>
      <w:r>
        <w:tab/>
      </w:r>
      <w:r w:rsidRPr="0081017D">
        <w:rPr>
          <w:u w:val="single"/>
        </w:rPr>
        <w:t>Add</w:t>
      </w:r>
      <w:r w:rsidRPr="0081017D">
        <w:t xml:space="preserve"> the new </w:t>
      </w:r>
      <w:proofErr w:type="spellStart"/>
      <w:r w:rsidRPr="0081017D">
        <w:t>SPzzz</w:t>
      </w:r>
      <w:proofErr w:type="spellEnd"/>
      <w:r w:rsidRPr="0081017D">
        <w:t xml:space="preserve"> in Column (6) of the Dangerous Goods List of Chapter 3.2 against UN 0349 and UN 0481.</w:t>
      </w:r>
    </w:p>
    <w:p w:rsidR="00A27F89" w:rsidRPr="006E2D77" w:rsidRDefault="00A27F89" w:rsidP="00D91034">
      <w:pPr>
        <w:spacing w:before="120" w:after="240"/>
        <w:ind w:left="1701" w:right="1134" w:hanging="567"/>
        <w:jc w:val="both"/>
      </w:pPr>
      <w:r>
        <w:t>14.</w:t>
      </w:r>
      <w:r>
        <w:tab/>
      </w:r>
      <w:r w:rsidRPr="006E2D77">
        <w:t xml:space="preserve">The amendments contained in paragraphs </w:t>
      </w:r>
      <w:r>
        <w:t>10 and 12</w:t>
      </w:r>
      <w:r w:rsidRPr="006E2D77">
        <w:t xml:space="preserve">. </w:t>
      </w:r>
      <w:r>
        <w:t>14</w:t>
      </w:r>
      <w:r w:rsidRPr="006E2D77">
        <w:t xml:space="preserve">. </w:t>
      </w:r>
      <w:proofErr w:type="gramStart"/>
      <w:r>
        <w:t>above</w:t>
      </w:r>
      <w:proofErr w:type="gramEnd"/>
      <w:r w:rsidRPr="006E2D77">
        <w:t xml:space="preserve"> have as result </w:t>
      </w:r>
      <w:r>
        <w:t xml:space="preserve">in </w:t>
      </w:r>
      <w:r w:rsidRPr="006E2D77">
        <w:t>the D</w:t>
      </w:r>
      <w:r>
        <w:t xml:space="preserve">angerous </w:t>
      </w:r>
      <w:r w:rsidRPr="006E2D77">
        <w:t>G</w:t>
      </w:r>
      <w:r>
        <w:t xml:space="preserve">oods </w:t>
      </w:r>
      <w:r w:rsidRPr="006E2D77">
        <w:t>L</w:t>
      </w:r>
      <w:r>
        <w:t>ist</w:t>
      </w:r>
      <w:r w:rsidRPr="006E2D77">
        <w:t xml:space="preserve"> </w:t>
      </w:r>
      <w:r>
        <w:t>the</w:t>
      </w:r>
      <w:r w:rsidRPr="006E2D77">
        <w:t xml:space="preserve"> </w:t>
      </w:r>
      <w:r>
        <w:t>following</w:t>
      </w:r>
      <w:r w:rsidRPr="006E2D77">
        <w:t xml:space="preserve"> </w:t>
      </w:r>
      <w:r>
        <w:t xml:space="preserve">modifications </w:t>
      </w:r>
      <w:r w:rsidRPr="006E2D77">
        <w:t>(new text underlined)</w:t>
      </w:r>
      <w:r>
        <w:t>.</w:t>
      </w:r>
    </w:p>
    <w:tbl>
      <w:tblPr>
        <w:tblW w:w="864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5"/>
        <w:gridCol w:w="2855"/>
        <w:gridCol w:w="450"/>
        <w:gridCol w:w="721"/>
        <w:gridCol w:w="776"/>
        <w:gridCol w:w="771"/>
        <w:gridCol w:w="599"/>
        <w:gridCol w:w="625"/>
        <w:gridCol w:w="1264"/>
      </w:tblGrid>
      <w:tr w:rsidR="00D91034" w:rsidRPr="0081017D" w:rsidTr="001942F2">
        <w:trPr>
          <w:trHeight w:val="720"/>
          <w:jc w:val="center"/>
        </w:trPr>
        <w:tc>
          <w:tcPr>
            <w:tcW w:w="585" w:type="dxa"/>
            <w:vAlign w:val="center"/>
          </w:tcPr>
          <w:p w:rsidR="00D91034" w:rsidRPr="0081017D" w:rsidRDefault="00D91034" w:rsidP="001942F2">
            <w:pPr>
              <w:jc w:val="center"/>
              <w:rPr>
                <w:b/>
                <w:i/>
                <w:sz w:val="18"/>
                <w:szCs w:val="18"/>
                <w:lang w:eastAsia="ko-KR"/>
              </w:rPr>
            </w:pPr>
            <w:r w:rsidRPr="0081017D">
              <w:rPr>
                <w:b/>
                <w:i/>
                <w:sz w:val="18"/>
                <w:szCs w:val="18"/>
                <w:lang w:eastAsia="ko-KR"/>
              </w:rPr>
              <w:t xml:space="preserve">UN </w:t>
            </w:r>
          </w:p>
          <w:p w:rsidR="00D91034" w:rsidRPr="0081017D" w:rsidRDefault="00D91034" w:rsidP="001942F2">
            <w:pPr>
              <w:jc w:val="center"/>
              <w:rPr>
                <w:b/>
                <w:i/>
                <w:sz w:val="18"/>
                <w:szCs w:val="18"/>
                <w:lang w:eastAsia="ko-KR"/>
              </w:rPr>
            </w:pPr>
            <w:r w:rsidRPr="0081017D">
              <w:rPr>
                <w:b/>
                <w:i/>
                <w:sz w:val="18"/>
                <w:szCs w:val="18"/>
                <w:lang w:eastAsia="ko-KR"/>
              </w:rPr>
              <w:t>No.</w:t>
            </w:r>
          </w:p>
        </w:tc>
        <w:tc>
          <w:tcPr>
            <w:tcW w:w="2855" w:type="dxa"/>
            <w:vAlign w:val="center"/>
          </w:tcPr>
          <w:p w:rsidR="00D91034" w:rsidRPr="0081017D" w:rsidRDefault="00D91034" w:rsidP="001942F2">
            <w:pPr>
              <w:jc w:val="center"/>
              <w:rPr>
                <w:b/>
                <w:i/>
                <w:sz w:val="18"/>
                <w:szCs w:val="18"/>
                <w:lang w:eastAsia="ko-KR"/>
              </w:rPr>
            </w:pPr>
            <w:r w:rsidRPr="0081017D">
              <w:rPr>
                <w:b/>
                <w:i/>
                <w:sz w:val="18"/>
                <w:szCs w:val="18"/>
                <w:lang w:eastAsia="ko-KR"/>
              </w:rPr>
              <w:t>Name and description</w:t>
            </w:r>
          </w:p>
        </w:tc>
        <w:tc>
          <w:tcPr>
            <w:tcW w:w="450" w:type="dxa"/>
            <w:vAlign w:val="center"/>
          </w:tcPr>
          <w:p w:rsidR="00D91034" w:rsidRPr="0081017D" w:rsidRDefault="00D91034" w:rsidP="001942F2">
            <w:pPr>
              <w:jc w:val="center"/>
              <w:rPr>
                <w:b/>
                <w:i/>
                <w:sz w:val="18"/>
                <w:szCs w:val="18"/>
                <w:lang w:eastAsia="ko-KR"/>
              </w:rPr>
            </w:pPr>
            <w:r w:rsidRPr="0081017D">
              <w:rPr>
                <w:b/>
                <w:i/>
                <w:sz w:val="18"/>
                <w:szCs w:val="18"/>
                <w:lang w:eastAsia="ko-KR"/>
              </w:rPr>
              <w:t>Class</w:t>
            </w:r>
          </w:p>
        </w:tc>
        <w:tc>
          <w:tcPr>
            <w:tcW w:w="721" w:type="dxa"/>
            <w:vAlign w:val="center"/>
          </w:tcPr>
          <w:p w:rsidR="00D91034" w:rsidRPr="0081017D" w:rsidRDefault="00D91034" w:rsidP="001942F2">
            <w:pPr>
              <w:jc w:val="center"/>
              <w:rPr>
                <w:b/>
                <w:i/>
                <w:sz w:val="18"/>
                <w:szCs w:val="18"/>
                <w:lang w:eastAsia="ko-KR"/>
              </w:rPr>
            </w:pPr>
            <w:r w:rsidRPr="0081017D">
              <w:rPr>
                <w:b/>
                <w:i/>
                <w:sz w:val="18"/>
                <w:szCs w:val="18"/>
                <w:lang w:eastAsia="ko-KR"/>
              </w:rPr>
              <w:t>Sub</w:t>
            </w:r>
          </w:p>
          <w:p w:rsidR="00D91034" w:rsidRPr="0081017D" w:rsidRDefault="00D91034" w:rsidP="001942F2">
            <w:pPr>
              <w:jc w:val="center"/>
              <w:rPr>
                <w:b/>
                <w:i/>
                <w:sz w:val="18"/>
                <w:szCs w:val="18"/>
                <w:lang w:eastAsia="ko-KR"/>
              </w:rPr>
            </w:pPr>
            <w:proofErr w:type="spellStart"/>
            <w:r w:rsidRPr="0081017D">
              <w:rPr>
                <w:b/>
                <w:i/>
                <w:sz w:val="18"/>
                <w:szCs w:val="18"/>
                <w:lang w:eastAsia="ko-KR"/>
              </w:rPr>
              <w:t>Sidiary</w:t>
            </w:r>
            <w:proofErr w:type="spellEnd"/>
          </w:p>
          <w:p w:rsidR="00D91034" w:rsidRPr="0081017D" w:rsidRDefault="00D91034" w:rsidP="001942F2">
            <w:pPr>
              <w:jc w:val="center"/>
              <w:rPr>
                <w:b/>
                <w:i/>
                <w:sz w:val="18"/>
                <w:szCs w:val="18"/>
                <w:lang w:eastAsia="ko-KR"/>
              </w:rPr>
            </w:pPr>
            <w:r w:rsidRPr="0081017D">
              <w:rPr>
                <w:b/>
                <w:i/>
                <w:sz w:val="18"/>
                <w:szCs w:val="18"/>
                <w:lang w:eastAsia="ko-KR"/>
              </w:rPr>
              <w:t>risk</w:t>
            </w:r>
          </w:p>
        </w:tc>
        <w:tc>
          <w:tcPr>
            <w:tcW w:w="776" w:type="dxa"/>
            <w:vAlign w:val="center"/>
          </w:tcPr>
          <w:p w:rsidR="00D91034" w:rsidRPr="0081017D" w:rsidRDefault="00D91034" w:rsidP="001942F2">
            <w:pPr>
              <w:jc w:val="center"/>
              <w:rPr>
                <w:b/>
                <w:i/>
                <w:sz w:val="18"/>
                <w:szCs w:val="18"/>
                <w:lang w:eastAsia="ko-KR"/>
              </w:rPr>
            </w:pPr>
            <w:r w:rsidRPr="0081017D">
              <w:rPr>
                <w:b/>
                <w:i/>
                <w:sz w:val="18"/>
                <w:szCs w:val="18"/>
                <w:lang w:eastAsia="ko-KR"/>
              </w:rPr>
              <w:t>UN</w:t>
            </w:r>
          </w:p>
          <w:p w:rsidR="00D91034" w:rsidRPr="0081017D" w:rsidRDefault="00D91034" w:rsidP="001942F2">
            <w:pPr>
              <w:jc w:val="center"/>
              <w:rPr>
                <w:b/>
                <w:i/>
                <w:sz w:val="18"/>
                <w:szCs w:val="18"/>
                <w:lang w:eastAsia="ko-KR"/>
              </w:rPr>
            </w:pPr>
            <w:r w:rsidRPr="0081017D">
              <w:rPr>
                <w:b/>
                <w:i/>
                <w:sz w:val="18"/>
                <w:szCs w:val="18"/>
                <w:lang w:eastAsia="ko-KR"/>
              </w:rPr>
              <w:t>packing</w:t>
            </w:r>
          </w:p>
          <w:p w:rsidR="00D91034" w:rsidRPr="0081017D" w:rsidRDefault="00D91034" w:rsidP="001942F2">
            <w:pPr>
              <w:jc w:val="center"/>
              <w:rPr>
                <w:b/>
                <w:i/>
                <w:sz w:val="18"/>
                <w:szCs w:val="18"/>
                <w:lang w:eastAsia="ko-KR"/>
              </w:rPr>
            </w:pPr>
            <w:r w:rsidRPr="0081017D">
              <w:rPr>
                <w:b/>
                <w:i/>
                <w:sz w:val="18"/>
                <w:szCs w:val="18"/>
                <w:lang w:eastAsia="ko-KR"/>
              </w:rPr>
              <w:t>group</w:t>
            </w:r>
          </w:p>
        </w:tc>
        <w:tc>
          <w:tcPr>
            <w:tcW w:w="771" w:type="dxa"/>
            <w:vAlign w:val="center"/>
          </w:tcPr>
          <w:p w:rsidR="00D91034" w:rsidRPr="0081017D" w:rsidRDefault="00D91034" w:rsidP="001942F2">
            <w:pPr>
              <w:jc w:val="center"/>
              <w:rPr>
                <w:b/>
                <w:i/>
                <w:sz w:val="18"/>
                <w:szCs w:val="18"/>
                <w:lang w:eastAsia="ko-KR"/>
              </w:rPr>
            </w:pPr>
            <w:r w:rsidRPr="0081017D">
              <w:rPr>
                <w:b/>
                <w:i/>
                <w:sz w:val="18"/>
                <w:szCs w:val="18"/>
                <w:lang w:eastAsia="ko-KR"/>
              </w:rPr>
              <w:t>Special</w:t>
            </w:r>
          </w:p>
          <w:p w:rsidR="00D91034" w:rsidRPr="0081017D" w:rsidRDefault="00D91034" w:rsidP="001942F2">
            <w:pPr>
              <w:jc w:val="center"/>
              <w:rPr>
                <w:b/>
                <w:i/>
                <w:sz w:val="18"/>
                <w:szCs w:val="18"/>
                <w:lang w:eastAsia="ko-KR"/>
              </w:rPr>
            </w:pPr>
            <w:r w:rsidRPr="0081017D">
              <w:rPr>
                <w:b/>
                <w:i/>
                <w:sz w:val="18"/>
                <w:szCs w:val="18"/>
                <w:lang w:eastAsia="ko-KR"/>
              </w:rPr>
              <w:t>provisions</w:t>
            </w:r>
          </w:p>
        </w:tc>
        <w:tc>
          <w:tcPr>
            <w:tcW w:w="1224" w:type="dxa"/>
            <w:gridSpan w:val="2"/>
            <w:vAlign w:val="center"/>
          </w:tcPr>
          <w:p w:rsidR="00D91034" w:rsidRPr="0081017D" w:rsidRDefault="00D91034" w:rsidP="001942F2">
            <w:pPr>
              <w:jc w:val="center"/>
              <w:rPr>
                <w:b/>
                <w:i/>
                <w:sz w:val="18"/>
                <w:szCs w:val="18"/>
                <w:lang w:eastAsia="ko-KR"/>
              </w:rPr>
            </w:pPr>
            <w:r w:rsidRPr="0081017D">
              <w:rPr>
                <w:b/>
                <w:i/>
                <w:sz w:val="18"/>
                <w:szCs w:val="18"/>
                <w:lang w:eastAsia="ko-KR"/>
              </w:rPr>
              <w:t>Limited and excepted quantities</w:t>
            </w:r>
          </w:p>
        </w:tc>
        <w:tc>
          <w:tcPr>
            <w:tcW w:w="1264" w:type="dxa"/>
            <w:vAlign w:val="center"/>
          </w:tcPr>
          <w:p w:rsidR="00D91034" w:rsidRPr="0081017D" w:rsidRDefault="00D91034" w:rsidP="001942F2">
            <w:pPr>
              <w:ind w:right="-88"/>
              <w:jc w:val="center"/>
              <w:rPr>
                <w:b/>
                <w:i/>
                <w:sz w:val="18"/>
                <w:szCs w:val="18"/>
                <w:lang w:eastAsia="ko-KR"/>
              </w:rPr>
            </w:pPr>
            <w:r w:rsidRPr="0081017D">
              <w:rPr>
                <w:b/>
                <w:i/>
                <w:sz w:val="18"/>
                <w:szCs w:val="18"/>
                <w:lang w:eastAsia="ko-KR"/>
              </w:rPr>
              <w:t>Packing instruction</w:t>
            </w:r>
          </w:p>
        </w:tc>
      </w:tr>
      <w:tr w:rsidR="00D91034" w:rsidRPr="0081017D" w:rsidTr="001942F2">
        <w:trPr>
          <w:trHeight w:val="174"/>
          <w:jc w:val="center"/>
        </w:trPr>
        <w:tc>
          <w:tcPr>
            <w:tcW w:w="585" w:type="dxa"/>
            <w:vAlign w:val="center"/>
          </w:tcPr>
          <w:p w:rsidR="00D91034" w:rsidRPr="0081017D" w:rsidRDefault="00D91034" w:rsidP="001942F2">
            <w:pPr>
              <w:jc w:val="center"/>
              <w:rPr>
                <w:b/>
                <w:i/>
                <w:sz w:val="16"/>
                <w:szCs w:val="16"/>
                <w:lang w:eastAsia="ko-KR"/>
              </w:rPr>
            </w:pPr>
            <w:r w:rsidRPr="0081017D">
              <w:rPr>
                <w:b/>
                <w:i/>
                <w:sz w:val="16"/>
                <w:szCs w:val="16"/>
                <w:lang w:eastAsia="ko-KR"/>
              </w:rPr>
              <w:t>(1)</w:t>
            </w:r>
          </w:p>
        </w:tc>
        <w:tc>
          <w:tcPr>
            <w:tcW w:w="2855" w:type="dxa"/>
            <w:vAlign w:val="center"/>
          </w:tcPr>
          <w:p w:rsidR="00D91034" w:rsidRPr="0081017D" w:rsidRDefault="00D91034" w:rsidP="001942F2">
            <w:pPr>
              <w:jc w:val="center"/>
              <w:rPr>
                <w:b/>
                <w:i/>
                <w:sz w:val="16"/>
                <w:szCs w:val="16"/>
                <w:lang w:eastAsia="ko-KR"/>
              </w:rPr>
            </w:pPr>
            <w:r w:rsidRPr="0081017D">
              <w:rPr>
                <w:b/>
                <w:i/>
                <w:sz w:val="16"/>
                <w:szCs w:val="16"/>
                <w:lang w:eastAsia="ko-KR"/>
              </w:rPr>
              <w:t>(2)</w:t>
            </w:r>
          </w:p>
        </w:tc>
        <w:tc>
          <w:tcPr>
            <w:tcW w:w="450" w:type="dxa"/>
            <w:vAlign w:val="center"/>
          </w:tcPr>
          <w:p w:rsidR="00D91034" w:rsidRPr="0081017D" w:rsidRDefault="00D91034" w:rsidP="001942F2">
            <w:pPr>
              <w:jc w:val="center"/>
              <w:rPr>
                <w:b/>
                <w:i/>
                <w:sz w:val="16"/>
                <w:szCs w:val="16"/>
                <w:lang w:eastAsia="ko-KR"/>
              </w:rPr>
            </w:pPr>
            <w:r w:rsidRPr="0081017D">
              <w:rPr>
                <w:b/>
                <w:i/>
                <w:sz w:val="16"/>
                <w:szCs w:val="16"/>
                <w:lang w:eastAsia="ko-KR"/>
              </w:rPr>
              <w:t>(3)</w:t>
            </w:r>
          </w:p>
        </w:tc>
        <w:tc>
          <w:tcPr>
            <w:tcW w:w="721" w:type="dxa"/>
            <w:vAlign w:val="center"/>
          </w:tcPr>
          <w:p w:rsidR="00D91034" w:rsidRPr="0081017D" w:rsidRDefault="00D91034" w:rsidP="001942F2">
            <w:pPr>
              <w:jc w:val="center"/>
              <w:rPr>
                <w:b/>
                <w:i/>
                <w:sz w:val="16"/>
                <w:szCs w:val="16"/>
                <w:lang w:eastAsia="ko-KR"/>
              </w:rPr>
            </w:pPr>
            <w:r w:rsidRPr="0081017D">
              <w:rPr>
                <w:b/>
                <w:i/>
                <w:sz w:val="16"/>
                <w:szCs w:val="16"/>
                <w:lang w:eastAsia="ko-KR"/>
              </w:rPr>
              <w:t>(4)</w:t>
            </w:r>
          </w:p>
        </w:tc>
        <w:tc>
          <w:tcPr>
            <w:tcW w:w="776" w:type="dxa"/>
            <w:vAlign w:val="center"/>
          </w:tcPr>
          <w:p w:rsidR="00D91034" w:rsidRPr="0081017D" w:rsidRDefault="00D91034" w:rsidP="001942F2">
            <w:pPr>
              <w:jc w:val="center"/>
              <w:rPr>
                <w:b/>
                <w:i/>
                <w:sz w:val="16"/>
                <w:szCs w:val="16"/>
                <w:lang w:eastAsia="ko-KR"/>
              </w:rPr>
            </w:pPr>
            <w:r w:rsidRPr="0081017D">
              <w:rPr>
                <w:b/>
                <w:i/>
                <w:sz w:val="16"/>
                <w:szCs w:val="16"/>
                <w:lang w:eastAsia="ko-KR"/>
              </w:rPr>
              <w:t>(5)</w:t>
            </w:r>
          </w:p>
        </w:tc>
        <w:tc>
          <w:tcPr>
            <w:tcW w:w="771" w:type="dxa"/>
            <w:vAlign w:val="center"/>
          </w:tcPr>
          <w:p w:rsidR="00D91034" w:rsidRPr="0081017D" w:rsidRDefault="00D91034" w:rsidP="001942F2">
            <w:pPr>
              <w:jc w:val="center"/>
              <w:rPr>
                <w:b/>
                <w:i/>
                <w:sz w:val="16"/>
                <w:szCs w:val="16"/>
                <w:lang w:eastAsia="ko-KR"/>
              </w:rPr>
            </w:pPr>
            <w:r w:rsidRPr="0081017D">
              <w:rPr>
                <w:b/>
                <w:i/>
                <w:sz w:val="16"/>
                <w:szCs w:val="16"/>
                <w:lang w:eastAsia="ko-KR"/>
              </w:rPr>
              <w:t>(6)</w:t>
            </w:r>
          </w:p>
        </w:tc>
        <w:tc>
          <w:tcPr>
            <w:tcW w:w="599" w:type="dxa"/>
          </w:tcPr>
          <w:p w:rsidR="00D91034" w:rsidRPr="0081017D" w:rsidRDefault="00D91034" w:rsidP="001942F2">
            <w:pPr>
              <w:jc w:val="center"/>
              <w:rPr>
                <w:b/>
                <w:i/>
                <w:sz w:val="16"/>
                <w:szCs w:val="16"/>
                <w:lang w:eastAsia="ko-KR"/>
              </w:rPr>
            </w:pPr>
            <w:r w:rsidRPr="0081017D">
              <w:rPr>
                <w:b/>
                <w:i/>
                <w:sz w:val="16"/>
                <w:szCs w:val="16"/>
                <w:lang w:eastAsia="ko-KR"/>
              </w:rPr>
              <w:t>(7a)</w:t>
            </w:r>
          </w:p>
        </w:tc>
        <w:tc>
          <w:tcPr>
            <w:tcW w:w="625" w:type="dxa"/>
          </w:tcPr>
          <w:p w:rsidR="00D91034" w:rsidRPr="0081017D" w:rsidRDefault="00D91034" w:rsidP="001942F2">
            <w:pPr>
              <w:jc w:val="center"/>
              <w:rPr>
                <w:b/>
                <w:i/>
                <w:sz w:val="16"/>
                <w:szCs w:val="16"/>
                <w:lang w:eastAsia="ko-KR"/>
              </w:rPr>
            </w:pPr>
            <w:r w:rsidRPr="0081017D">
              <w:rPr>
                <w:b/>
                <w:i/>
                <w:sz w:val="16"/>
                <w:szCs w:val="16"/>
                <w:lang w:eastAsia="ko-KR"/>
              </w:rPr>
              <w:t>(7b)</w:t>
            </w:r>
          </w:p>
        </w:tc>
        <w:tc>
          <w:tcPr>
            <w:tcW w:w="1264" w:type="dxa"/>
          </w:tcPr>
          <w:p w:rsidR="00D91034" w:rsidRPr="0081017D" w:rsidRDefault="00D91034" w:rsidP="001942F2">
            <w:pPr>
              <w:jc w:val="center"/>
              <w:rPr>
                <w:b/>
                <w:i/>
                <w:sz w:val="16"/>
                <w:szCs w:val="16"/>
                <w:lang w:eastAsia="ko-KR"/>
              </w:rPr>
            </w:pPr>
            <w:r w:rsidRPr="0081017D">
              <w:rPr>
                <w:b/>
                <w:i/>
                <w:sz w:val="16"/>
                <w:szCs w:val="16"/>
                <w:lang w:eastAsia="ko-KR"/>
              </w:rPr>
              <w:t>(8)</w:t>
            </w:r>
          </w:p>
        </w:tc>
      </w:tr>
      <w:tr w:rsidR="00D91034" w:rsidRPr="0081017D" w:rsidTr="001942F2">
        <w:trPr>
          <w:trHeight w:val="199"/>
          <w:jc w:val="center"/>
        </w:trPr>
        <w:tc>
          <w:tcPr>
            <w:tcW w:w="585" w:type="dxa"/>
            <w:vAlign w:val="center"/>
          </w:tcPr>
          <w:p w:rsidR="00D91034" w:rsidRPr="0081017D" w:rsidRDefault="00D91034" w:rsidP="001942F2">
            <w:pPr>
              <w:jc w:val="center"/>
              <w:rPr>
                <w:b/>
                <w:i/>
                <w:sz w:val="16"/>
                <w:szCs w:val="16"/>
                <w:lang w:eastAsia="ko-KR"/>
              </w:rPr>
            </w:pPr>
            <w:r w:rsidRPr="0081017D">
              <w:rPr>
                <w:b/>
                <w:i/>
                <w:sz w:val="16"/>
                <w:szCs w:val="16"/>
                <w:lang w:eastAsia="ko-KR"/>
              </w:rPr>
              <w:t>-</w:t>
            </w:r>
          </w:p>
        </w:tc>
        <w:tc>
          <w:tcPr>
            <w:tcW w:w="2855" w:type="dxa"/>
            <w:vAlign w:val="center"/>
          </w:tcPr>
          <w:p w:rsidR="00D91034" w:rsidRPr="0081017D" w:rsidRDefault="00D91034" w:rsidP="001942F2">
            <w:pPr>
              <w:jc w:val="center"/>
              <w:rPr>
                <w:b/>
                <w:i/>
                <w:sz w:val="16"/>
                <w:szCs w:val="16"/>
                <w:lang w:eastAsia="ko-KR"/>
              </w:rPr>
            </w:pPr>
            <w:r w:rsidRPr="0081017D">
              <w:rPr>
                <w:b/>
                <w:i/>
                <w:sz w:val="16"/>
                <w:szCs w:val="16"/>
                <w:lang w:eastAsia="ko-KR"/>
              </w:rPr>
              <w:t>3.1.2</w:t>
            </w:r>
          </w:p>
        </w:tc>
        <w:tc>
          <w:tcPr>
            <w:tcW w:w="450" w:type="dxa"/>
            <w:vAlign w:val="center"/>
          </w:tcPr>
          <w:p w:rsidR="00D91034" w:rsidRPr="0081017D" w:rsidRDefault="00D91034" w:rsidP="001942F2">
            <w:pPr>
              <w:jc w:val="center"/>
              <w:rPr>
                <w:b/>
                <w:i/>
                <w:sz w:val="16"/>
                <w:szCs w:val="16"/>
                <w:lang w:eastAsia="ko-KR"/>
              </w:rPr>
            </w:pPr>
            <w:r w:rsidRPr="0081017D">
              <w:rPr>
                <w:b/>
                <w:i/>
                <w:sz w:val="16"/>
                <w:szCs w:val="16"/>
                <w:lang w:eastAsia="ko-KR"/>
              </w:rPr>
              <w:t>2.0</w:t>
            </w:r>
          </w:p>
        </w:tc>
        <w:tc>
          <w:tcPr>
            <w:tcW w:w="721" w:type="dxa"/>
            <w:vAlign w:val="center"/>
          </w:tcPr>
          <w:p w:rsidR="00D91034" w:rsidRPr="0081017D" w:rsidRDefault="00D91034" w:rsidP="001942F2">
            <w:pPr>
              <w:jc w:val="center"/>
              <w:rPr>
                <w:b/>
                <w:i/>
                <w:sz w:val="16"/>
                <w:szCs w:val="16"/>
                <w:lang w:eastAsia="ko-KR"/>
              </w:rPr>
            </w:pPr>
            <w:r w:rsidRPr="0081017D">
              <w:rPr>
                <w:b/>
                <w:i/>
                <w:sz w:val="16"/>
                <w:szCs w:val="16"/>
                <w:lang w:eastAsia="ko-KR"/>
              </w:rPr>
              <w:t>2.0</w:t>
            </w:r>
          </w:p>
        </w:tc>
        <w:tc>
          <w:tcPr>
            <w:tcW w:w="776" w:type="dxa"/>
            <w:vAlign w:val="center"/>
          </w:tcPr>
          <w:p w:rsidR="00D91034" w:rsidRPr="0081017D" w:rsidRDefault="00D91034" w:rsidP="001942F2">
            <w:pPr>
              <w:jc w:val="center"/>
              <w:rPr>
                <w:b/>
                <w:i/>
                <w:sz w:val="16"/>
                <w:szCs w:val="16"/>
                <w:lang w:eastAsia="ko-KR"/>
              </w:rPr>
            </w:pPr>
            <w:r w:rsidRPr="0081017D">
              <w:rPr>
                <w:b/>
                <w:i/>
                <w:sz w:val="16"/>
                <w:szCs w:val="16"/>
                <w:lang w:eastAsia="ko-KR"/>
              </w:rPr>
              <w:t>2.0.1.3</w:t>
            </w:r>
          </w:p>
        </w:tc>
        <w:tc>
          <w:tcPr>
            <w:tcW w:w="771" w:type="dxa"/>
            <w:vAlign w:val="center"/>
          </w:tcPr>
          <w:p w:rsidR="00D91034" w:rsidRPr="0081017D" w:rsidRDefault="00D91034" w:rsidP="001942F2">
            <w:pPr>
              <w:jc w:val="center"/>
              <w:rPr>
                <w:b/>
                <w:i/>
                <w:sz w:val="16"/>
                <w:szCs w:val="16"/>
                <w:lang w:eastAsia="ko-KR"/>
              </w:rPr>
            </w:pPr>
            <w:r w:rsidRPr="0081017D">
              <w:rPr>
                <w:b/>
                <w:i/>
                <w:sz w:val="16"/>
                <w:szCs w:val="16"/>
                <w:lang w:eastAsia="ko-KR"/>
              </w:rPr>
              <w:t>3.3</w:t>
            </w:r>
          </w:p>
        </w:tc>
        <w:tc>
          <w:tcPr>
            <w:tcW w:w="599" w:type="dxa"/>
          </w:tcPr>
          <w:p w:rsidR="00D91034" w:rsidRPr="0081017D" w:rsidRDefault="00D91034" w:rsidP="001942F2">
            <w:pPr>
              <w:jc w:val="center"/>
              <w:rPr>
                <w:b/>
                <w:i/>
                <w:sz w:val="16"/>
                <w:szCs w:val="16"/>
                <w:lang w:eastAsia="ko-KR"/>
              </w:rPr>
            </w:pPr>
            <w:r w:rsidRPr="0081017D">
              <w:rPr>
                <w:b/>
                <w:i/>
                <w:sz w:val="16"/>
                <w:szCs w:val="16"/>
                <w:lang w:eastAsia="ko-KR"/>
              </w:rPr>
              <w:t>3.4</w:t>
            </w:r>
          </w:p>
        </w:tc>
        <w:tc>
          <w:tcPr>
            <w:tcW w:w="625" w:type="dxa"/>
          </w:tcPr>
          <w:p w:rsidR="00D91034" w:rsidRPr="0081017D" w:rsidRDefault="00D91034" w:rsidP="001942F2">
            <w:pPr>
              <w:jc w:val="center"/>
              <w:rPr>
                <w:b/>
                <w:i/>
                <w:sz w:val="16"/>
                <w:szCs w:val="16"/>
                <w:lang w:eastAsia="ko-KR"/>
              </w:rPr>
            </w:pPr>
            <w:r w:rsidRPr="0081017D">
              <w:rPr>
                <w:b/>
                <w:i/>
                <w:sz w:val="16"/>
                <w:szCs w:val="16"/>
                <w:lang w:eastAsia="ko-KR"/>
              </w:rPr>
              <w:t>3.5</w:t>
            </w:r>
          </w:p>
        </w:tc>
        <w:tc>
          <w:tcPr>
            <w:tcW w:w="1264" w:type="dxa"/>
          </w:tcPr>
          <w:p w:rsidR="00D91034" w:rsidRPr="0081017D" w:rsidRDefault="00D91034" w:rsidP="001942F2">
            <w:pPr>
              <w:jc w:val="center"/>
              <w:rPr>
                <w:b/>
                <w:i/>
                <w:sz w:val="16"/>
                <w:szCs w:val="16"/>
                <w:lang w:eastAsia="ko-KR"/>
              </w:rPr>
            </w:pPr>
            <w:r w:rsidRPr="0081017D">
              <w:rPr>
                <w:b/>
                <w:i/>
                <w:sz w:val="16"/>
                <w:szCs w:val="16"/>
                <w:lang w:eastAsia="ko-KR"/>
              </w:rPr>
              <w:t>4.1.4</w:t>
            </w:r>
          </w:p>
        </w:tc>
      </w:tr>
      <w:tr w:rsidR="00D91034" w:rsidRPr="0081017D" w:rsidTr="001942F2">
        <w:trPr>
          <w:trHeight w:val="1010"/>
          <w:jc w:val="center"/>
        </w:trPr>
        <w:tc>
          <w:tcPr>
            <w:tcW w:w="585"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0XXA</w:t>
            </w:r>
          </w:p>
        </w:tc>
        <w:tc>
          <w:tcPr>
            <w:tcW w:w="2855" w:type="dxa"/>
            <w:vAlign w:val="center"/>
          </w:tcPr>
          <w:p w:rsidR="00D91034" w:rsidRPr="0081017D" w:rsidRDefault="00D91034" w:rsidP="001942F2">
            <w:pPr>
              <w:jc w:val="center"/>
              <w:rPr>
                <w:sz w:val="18"/>
                <w:szCs w:val="18"/>
                <w:u w:val="single"/>
                <w:lang w:val="en-US" w:eastAsia="ko-KR"/>
              </w:rPr>
            </w:pPr>
            <w:r w:rsidRPr="0081017D">
              <w:rPr>
                <w:sz w:val="18"/>
                <w:szCs w:val="18"/>
                <w:u w:val="single"/>
                <w:lang w:val="en-US" w:eastAsia="ko-KR"/>
              </w:rPr>
              <w:t>SUBSTANCES, EXPLOSIVE, PAC</w:t>
            </w:r>
            <w:r w:rsidRPr="0081017D">
              <w:rPr>
                <w:i/>
                <w:sz w:val="18"/>
                <w:szCs w:val="18"/>
                <w:u w:val="single"/>
                <w:lang w:val="en-US" w:eastAsia="ko-KR"/>
              </w:rPr>
              <w:t>KED</w:t>
            </w:r>
            <w:r w:rsidRPr="0081017D">
              <w:rPr>
                <w:sz w:val="18"/>
                <w:szCs w:val="18"/>
                <w:u w:val="single"/>
                <w:lang w:val="en-US" w:eastAsia="ko-KR"/>
              </w:rPr>
              <w:t>, N.O.S.</w:t>
            </w:r>
          </w:p>
        </w:tc>
        <w:tc>
          <w:tcPr>
            <w:tcW w:w="450"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1.4S</w:t>
            </w:r>
          </w:p>
        </w:tc>
        <w:tc>
          <w:tcPr>
            <w:tcW w:w="721"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6"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1"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178</w:t>
            </w:r>
          </w:p>
          <w:p w:rsidR="00D91034" w:rsidRPr="0081017D" w:rsidRDefault="00D91034" w:rsidP="001942F2">
            <w:pPr>
              <w:jc w:val="center"/>
              <w:rPr>
                <w:sz w:val="18"/>
                <w:szCs w:val="18"/>
                <w:u w:val="single"/>
                <w:lang w:eastAsia="ko-KR"/>
              </w:rPr>
            </w:pPr>
            <w:r w:rsidRPr="0081017D">
              <w:rPr>
                <w:sz w:val="18"/>
                <w:szCs w:val="18"/>
                <w:u w:val="single"/>
                <w:lang w:eastAsia="ko-KR"/>
              </w:rPr>
              <w:t>274</w:t>
            </w:r>
          </w:p>
          <w:p w:rsidR="00D91034" w:rsidRPr="0081017D" w:rsidRDefault="00D91034" w:rsidP="001942F2">
            <w:pPr>
              <w:jc w:val="center"/>
              <w:rPr>
                <w:sz w:val="18"/>
                <w:szCs w:val="18"/>
                <w:u w:val="single"/>
                <w:lang w:eastAsia="ko-KR"/>
              </w:rPr>
            </w:pPr>
            <w:r w:rsidRPr="0081017D">
              <w:rPr>
                <w:sz w:val="18"/>
                <w:szCs w:val="18"/>
                <w:u w:val="single"/>
                <w:lang w:eastAsia="ko-KR"/>
              </w:rPr>
              <w:t>347</w:t>
            </w:r>
          </w:p>
          <w:p w:rsidR="00D91034" w:rsidRPr="0081017D" w:rsidRDefault="00D91034" w:rsidP="001942F2">
            <w:pPr>
              <w:jc w:val="center"/>
              <w:rPr>
                <w:sz w:val="18"/>
                <w:szCs w:val="18"/>
                <w:u w:val="single"/>
                <w:lang w:eastAsia="ko-KR"/>
              </w:rPr>
            </w:pPr>
            <w:proofErr w:type="spellStart"/>
            <w:r w:rsidRPr="0081017D">
              <w:rPr>
                <w:sz w:val="18"/>
                <w:szCs w:val="18"/>
                <w:u w:val="single"/>
                <w:lang w:eastAsia="ko-KR"/>
              </w:rPr>
              <w:t>yyy</w:t>
            </w:r>
            <w:proofErr w:type="spellEnd"/>
          </w:p>
        </w:tc>
        <w:tc>
          <w:tcPr>
            <w:tcW w:w="599"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0</w:t>
            </w:r>
          </w:p>
        </w:tc>
        <w:tc>
          <w:tcPr>
            <w:tcW w:w="625"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E0</w:t>
            </w:r>
          </w:p>
        </w:tc>
        <w:tc>
          <w:tcPr>
            <w:tcW w:w="1264"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P101</w:t>
            </w:r>
          </w:p>
        </w:tc>
      </w:tr>
      <w:tr w:rsidR="00D91034" w:rsidRPr="0081017D" w:rsidTr="001942F2">
        <w:trPr>
          <w:trHeight w:val="1066"/>
          <w:jc w:val="center"/>
        </w:trPr>
        <w:tc>
          <w:tcPr>
            <w:tcW w:w="585"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0XXB</w:t>
            </w:r>
          </w:p>
        </w:tc>
        <w:tc>
          <w:tcPr>
            <w:tcW w:w="2855" w:type="dxa"/>
            <w:vAlign w:val="center"/>
          </w:tcPr>
          <w:p w:rsidR="00D91034" w:rsidRPr="0081017D" w:rsidRDefault="00D91034" w:rsidP="001942F2">
            <w:pPr>
              <w:jc w:val="center"/>
              <w:rPr>
                <w:sz w:val="18"/>
                <w:szCs w:val="18"/>
                <w:u w:val="single"/>
                <w:lang w:val="en-US" w:eastAsia="ko-KR"/>
              </w:rPr>
            </w:pPr>
            <w:r w:rsidRPr="0081017D">
              <w:rPr>
                <w:sz w:val="18"/>
                <w:szCs w:val="18"/>
                <w:u w:val="single"/>
                <w:lang w:val="en-US" w:eastAsia="ko-KR"/>
              </w:rPr>
              <w:t xml:space="preserve">ARTICLES, EXPLOSIVE, </w:t>
            </w:r>
            <w:r w:rsidRPr="0081017D">
              <w:rPr>
                <w:i/>
                <w:sz w:val="18"/>
                <w:szCs w:val="18"/>
                <w:u w:val="single"/>
                <w:lang w:val="en-US" w:eastAsia="ko-KR"/>
              </w:rPr>
              <w:t>PACKED</w:t>
            </w:r>
            <w:r w:rsidRPr="0081017D">
              <w:rPr>
                <w:sz w:val="18"/>
                <w:szCs w:val="18"/>
                <w:u w:val="single"/>
                <w:lang w:val="en-US" w:eastAsia="ko-KR"/>
              </w:rPr>
              <w:t>, N.O.S.</w:t>
            </w:r>
          </w:p>
        </w:tc>
        <w:tc>
          <w:tcPr>
            <w:tcW w:w="450"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1.4S</w:t>
            </w:r>
          </w:p>
        </w:tc>
        <w:tc>
          <w:tcPr>
            <w:tcW w:w="721"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6"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1"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178</w:t>
            </w:r>
          </w:p>
          <w:p w:rsidR="00D91034" w:rsidRPr="0081017D" w:rsidRDefault="00D91034" w:rsidP="001942F2">
            <w:pPr>
              <w:jc w:val="center"/>
              <w:rPr>
                <w:sz w:val="18"/>
                <w:szCs w:val="18"/>
                <w:u w:val="single"/>
                <w:lang w:eastAsia="ko-KR"/>
              </w:rPr>
            </w:pPr>
            <w:r w:rsidRPr="0081017D">
              <w:rPr>
                <w:sz w:val="18"/>
                <w:szCs w:val="18"/>
                <w:u w:val="single"/>
                <w:lang w:eastAsia="ko-KR"/>
              </w:rPr>
              <w:t>274</w:t>
            </w:r>
          </w:p>
          <w:p w:rsidR="00D91034" w:rsidRPr="0081017D" w:rsidRDefault="00D91034" w:rsidP="001942F2">
            <w:pPr>
              <w:jc w:val="center"/>
              <w:rPr>
                <w:sz w:val="18"/>
                <w:szCs w:val="18"/>
                <w:u w:val="single"/>
                <w:lang w:eastAsia="ko-KR"/>
              </w:rPr>
            </w:pPr>
            <w:r w:rsidRPr="0081017D">
              <w:rPr>
                <w:sz w:val="18"/>
                <w:szCs w:val="18"/>
                <w:u w:val="single"/>
                <w:lang w:eastAsia="ko-KR"/>
              </w:rPr>
              <w:t>347</w:t>
            </w:r>
          </w:p>
          <w:p w:rsidR="00D91034" w:rsidRPr="0081017D" w:rsidRDefault="00D91034" w:rsidP="001942F2">
            <w:pPr>
              <w:jc w:val="center"/>
              <w:rPr>
                <w:sz w:val="18"/>
                <w:szCs w:val="18"/>
                <w:u w:val="single"/>
                <w:lang w:eastAsia="ko-KR"/>
              </w:rPr>
            </w:pPr>
            <w:proofErr w:type="spellStart"/>
            <w:r w:rsidRPr="0081017D">
              <w:rPr>
                <w:sz w:val="18"/>
                <w:szCs w:val="18"/>
                <w:u w:val="single"/>
                <w:lang w:eastAsia="ko-KR"/>
              </w:rPr>
              <w:t>yyy</w:t>
            </w:r>
            <w:proofErr w:type="spellEnd"/>
          </w:p>
        </w:tc>
        <w:tc>
          <w:tcPr>
            <w:tcW w:w="599"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0</w:t>
            </w:r>
          </w:p>
        </w:tc>
        <w:tc>
          <w:tcPr>
            <w:tcW w:w="625"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E0</w:t>
            </w:r>
          </w:p>
        </w:tc>
        <w:tc>
          <w:tcPr>
            <w:tcW w:w="1264" w:type="dxa"/>
            <w:vAlign w:val="center"/>
          </w:tcPr>
          <w:p w:rsidR="00D91034" w:rsidRPr="0081017D" w:rsidRDefault="00D91034" w:rsidP="001942F2">
            <w:pPr>
              <w:jc w:val="center"/>
              <w:rPr>
                <w:sz w:val="18"/>
                <w:szCs w:val="18"/>
                <w:u w:val="single"/>
                <w:lang w:eastAsia="ko-KR"/>
              </w:rPr>
            </w:pPr>
            <w:r w:rsidRPr="0081017D">
              <w:rPr>
                <w:sz w:val="18"/>
                <w:szCs w:val="18"/>
                <w:u w:val="single"/>
                <w:lang w:eastAsia="ko-KR"/>
              </w:rPr>
              <w:t>P101</w:t>
            </w:r>
          </w:p>
        </w:tc>
      </w:tr>
      <w:tr w:rsidR="00D91034" w:rsidRPr="0081017D" w:rsidTr="001942F2">
        <w:trPr>
          <w:trHeight w:val="987"/>
          <w:jc w:val="center"/>
        </w:trPr>
        <w:tc>
          <w:tcPr>
            <w:tcW w:w="585" w:type="dxa"/>
            <w:vAlign w:val="center"/>
          </w:tcPr>
          <w:p w:rsidR="00D91034" w:rsidRPr="0081017D" w:rsidRDefault="00D91034" w:rsidP="001942F2">
            <w:pPr>
              <w:jc w:val="center"/>
              <w:rPr>
                <w:sz w:val="18"/>
                <w:szCs w:val="18"/>
                <w:lang w:eastAsia="ko-KR"/>
              </w:rPr>
            </w:pPr>
            <w:r w:rsidRPr="0081017D">
              <w:rPr>
                <w:sz w:val="18"/>
                <w:szCs w:val="18"/>
                <w:lang w:eastAsia="ko-KR"/>
              </w:rPr>
              <w:t>0349</w:t>
            </w:r>
          </w:p>
        </w:tc>
        <w:tc>
          <w:tcPr>
            <w:tcW w:w="2855" w:type="dxa"/>
            <w:vAlign w:val="center"/>
          </w:tcPr>
          <w:p w:rsidR="00D91034" w:rsidRPr="0081017D" w:rsidRDefault="00D91034" w:rsidP="001942F2">
            <w:pPr>
              <w:jc w:val="center"/>
              <w:rPr>
                <w:sz w:val="18"/>
                <w:szCs w:val="18"/>
                <w:lang w:val="en-US" w:eastAsia="ko-KR"/>
              </w:rPr>
            </w:pPr>
            <w:r w:rsidRPr="0081017D">
              <w:rPr>
                <w:sz w:val="18"/>
                <w:szCs w:val="18"/>
                <w:lang w:val="en-US" w:eastAsia="ko-KR"/>
              </w:rPr>
              <w:t>ARTICLES, EXPLOSIVE, N.O.S.</w:t>
            </w:r>
          </w:p>
        </w:tc>
        <w:tc>
          <w:tcPr>
            <w:tcW w:w="450" w:type="dxa"/>
            <w:vAlign w:val="center"/>
          </w:tcPr>
          <w:p w:rsidR="00D91034" w:rsidRPr="0081017D" w:rsidRDefault="00D91034" w:rsidP="001942F2">
            <w:pPr>
              <w:jc w:val="center"/>
              <w:rPr>
                <w:sz w:val="18"/>
                <w:szCs w:val="18"/>
                <w:lang w:eastAsia="ko-KR"/>
              </w:rPr>
            </w:pPr>
            <w:r w:rsidRPr="0081017D">
              <w:rPr>
                <w:sz w:val="18"/>
                <w:szCs w:val="18"/>
                <w:lang w:eastAsia="ko-KR"/>
              </w:rPr>
              <w:t>1.4S</w:t>
            </w:r>
          </w:p>
        </w:tc>
        <w:tc>
          <w:tcPr>
            <w:tcW w:w="721"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6"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1" w:type="dxa"/>
            <w:vAlign w:val="center"/>
          </w:tcPr>
          <w:p w:rsidR="00D91034" w:rsidRPr="0081017D" w:rsidRDefault="00D91034" w:rsidP="001942F2">
            <w:pPr>
              <w:jc w:val="center"/>
              <w:rPr>
                <w:sz w:val="18"/>
                <w:szCs w:val="18"/>
                <w:lang w:eastAsia="ko-KR"/>
              </w:rPr>
            </w:pPr>
            <w:r w:rsidRPr="0081017D">
              <w:rPr>
                <w:sz w:val="18"/>
                <w:szCs w:val="18"/>
                <w:lang w:eastAsia="ko-KR"/>
              </w:rPr>
              <w:t>178</w:t>
            </w:r>
          </w:p>
          <w:p w:rsidR="00D91034" w:rsidRPr="0081017D" w:rsidRDefault="00D91034" w:rsidP="001942F2">
            <w:pPr>
              <w:jc w:val="center"/>
              <w:rPr>
                <w:sz w:val="18"/>
                <w:szCs w:val="18"/>
                <w:lang w:eastAsia="ko-KR"/>
              </w:rPr>
            </w:pPr>
            <w:r w:rsidRPr="0081017D">
              <w:rPr>
                <w:sz w:val="18"/>
                <w:szCs w:val="18"/>
                <w:lang w:eastAsia="ko-KR"/>
              </w:rPr>
              <w:t>274</w:t>
            </w:r>
          </w:p>
          <w:p w:rsidR="00D91034" w:rsidRPr="0081017D" w:rsidRDefault="00D91034" w:rsidP="001942F2">
            <w:pPr>
              <w:jc w:val="center"/>
              <w:rPr>
                <w:sz w:val="18"/>
                <w:szCs w:val="18"/>
                <w:u w:val="single"/>
                <w:lang w:eastAsia="ko-KR"/>
              </w:rPr>
            </w:pPr>
            <w:proofErr w:type="spellStart"/>
            <w:r w:rsidRPr="0081017D">
              <w:rPr>
                <w:sz w:val="18"/>
                <w:szCs w:val="18"/>
                <w:u w:val="single"/>
                <w:lang w:eastAsia="ko-KR"/>
              </w:rPr>
              <w:t>zzz</w:t>
            </w:r>
            <w:proofErr w:type="spellEnd"/>
          </w:p>
        </w:tc>
        <w:tc>
          <w:tcPr>
            <w:tcW w:w="599" w:type="dxa"/>
            <w:vAlign w:val="center"/>
          </w:tcPr>
          <w:p w:rsidR="00D91034" w:rsidRPr="0081017D" w:rsidRDefault="00D91034" w:rsidP="001942F2">
            <w:pPr>
              <w:jc w:val="center"/>
              <w:rPr>
                <w:sz w:val="18"/>
                <w:szCs w:val="18"/>
                <w:lang w:eastAsia="ko-KR"/>
              </w:rPr>
            </w:pPr>
            <w:r w:rsidRPr="0081017D">
              <w:rPr>
                <w:sz w:val="18"/>
                <w:szCs w:val="18"/>
                <w:lang w:eastAsia="ko-KR"/>
              </w:rPr>
              <w:t>0</w:t>
            </w:r>
          </w:p>
        </w:tc>
        <w:tc>
          <w:tcPr>
            <w:tcW w:w="625" w:type="dxa"/>
            <w:vAlign w:val="center"/>
          </w:tcPr>
          <w:p w:rsidR="00D91034" w:rsidRPr="0081017D" w:rsidRDefault="00D91034" w:rsidP="001942F2">
            <w:pPr>
              <w:jc w:val="center"/>
              <w:rPr>
                <w:sz w:val="18"/>
                <w:szCs w:val="18"/>
                <w:lang w:eastAsia="ko-KR"/>
              </w:rPr>
            </w:pPr>
            <w:r w:rsidRPr="0081017D">
              <w:rPr>
                <w:sz w:val="18"/>
                <w:szCs w:val="18"/>
                <w:lang w:eastAsia="ko-KR"/>
              </w:rPr>
              <w:t>E0</w:t>
            </w:r>
          </w:p>
        </w:tc>
        <w:tc>
          <w:tcPr>
            <w:tcW w:w="1264" w:type="dxa"/>
            <w:vAlign w:val="center"/>
          </w:tcPr>
          <w:p w:rsidR="00D91034" w:rsidRPr="0081017D" w:rsidRDefault="00D91034" w:rsidP="001942F2">
            <w:pPr>
              <w:jc w:val="center"/>
              <w:rPr>
                <w:sz w:val="18"/>
                <w:szCs w:val="18"/>
                <w:lang w:eastAsia="ko-KR"/>
              </w:rPr>
            </w:pPr>
            <w:r w:rsidRPr="0081017D">
              <w:rPr>
                <w:sz w:val="18"/>
                <w:szCs w:val="18"/>
                <w:lang w:eastAsia="ko-KR"/>
              </w:rPr>
              <w:t>P101</w:t>
            </w:r>
          </w:p>
        </w:tc>
      </w:tr>
      <w:tr w:rsidR="00D91034" w:rsidRPr="0081017D" w:rsidTr="001942F2">
        <w:trPr>
          <w:trHeight w:val="973"/>
          <w:jc w:val="center"/>
        </w:trPr>
        <w:tc>
          <w:tcPr>
            <w:tcW w:w="585" w:type="dxa"/>
            <w:vAlign w:val="center"/>
          </w:tcPr>
          <w:p w:rsidR="00D91034" w:rsidRPr="0081017D" w:rsidRDefault="00D91034" w:rsidP="001942F2">
            <w:pPr>
              <w:jc w:val="center"/>
              <w:rPr>
                <w:sz w:val="18"/>
                <w:szCs w:val="18"/>
                <w:lang w:eastAsia="ko-KR"/>
              </w:rPr>
            </w:pPr>
            <w:r w:rsidRPr="0081017D">
              <w:rPr>
                <w:sz w:val="18"/>
                <w:szCs w:val="18"/>
                <w:lang w:eastAsia="ko-KR"/>
              </w:rPr>
              <w:t>0481</w:t>
            </w:r>
          </w:p>
        </w:tc>
        <w:tc>
          <w:tcPr>
            <w:tcW w:w="2855" w:type="dxa"/>
            <w:vAlign w:val="center"/>
          </w:tcPr>
          <w:p w:rsidR="00D91034" w:rsidRPr="0081017D" w:rsidRDefault="00D91034" w:rsidP="001942F2">
            <w:pPr>
              <w:jc w:val="center"/>
              <w:rPr>
                <w:sz w:val="18"/>
                <w:szCs w:val="18"/>
                <w:lang w:val="en-US" w:eastAsia="ko-KR"/>
              </w:rPr>
            </w:pPr>
            <w:r w:rsidRPr="0081017D">
              <w:rPr>
                <w:sz w:val="18"/>
                <w:szCs w:val="18"/>
                <w:lang w:val="en-US" w:eastAsia="ko-KR"/>
              </w:rPr>
              <w:t>SUBSTANCES, EXPLOSIVE, N.O.S.</w:t>
            </w:r>
          </w:p>
        </w:tc>
        <w:tc>
          <w:tcPr>
            <w:tcW w:w="450" w:type="dxa"/>
            <w:vAlign w:val="center"/>
          </w:tcPr>
          <w:p w:rsidR="00D91034" w:rsidRPr="0081017D" w:rsidRDefault="00D91034" w:rsidP="001942F2">
            <w:pPr>
              <w:jc w:val="center"/>
              <w:rPr>
                <w:sz w:val="18"/>
                <w:szCs w:val="18"/>
                <w:lang w:eastAsia="ko-KR"/>
              </w:rPr>
            </w:pPr>
            <w:r w:rsidRPr="0081017D">
              <w:rPr>
                <w:sz w:val="18"/>
                <w:szCs w:val="18"/>
                <w:lang w:eastAsia="ko-KR"/>
              </w:rPr>
              <w:t>1.4S</w:t>
            </w:r>
          </w:p>
        </w:tc>
        <w:tc>
          <w:tcPr>
            <w:tcW w:w="721"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6" w:type="dxa"/>
            <w:vAlign w:val="center"/>
          </w:tcPr>
          <w:p w:rsidR="00D91034" w:rsidRPr="0081017D" w:rsidRDefault="00D91034" w:rsidP="001942F2">
            <w:pPr>
              <w:jc w:val="center"/>
              <w:rPr>
                <w:sz w:val="18"/>
                <w:szCs w:val="18"/>
                <w:lang w:eastAsia="ko-KR"/>
              </w:rPr>
            </w:pPr>
            <w:r w:rsidRPr="0081017D">
              <w:rPr>
                <w:sz w:val="18"/>
                <w:szCs w:val="18"/>
                <w:lang w:eastAsia="ko-KR"/>
              </w:rPr>
              <w:t>-</w:t>
            </w:r>
          </w:p>
        </w:tc>
        <w:tc>
          <w:tcPr>
            <w:tcW w:w="771" w:type="dxa"/>
            <w:vAlign w:val="center"/>
          </w:tcPr>
          <w:p w:rsidR="00D91034" w:rsidRPr="0081017D" w:rsidRDefault="00D91034" w:rsidP="001942F2">
            <w:pPr>
              <w:jc w:val="center"/>
              <w:rPr>
                <w:sz w:val="18"/>
                <w:szCs w:val="18"/>
                <w:lang w:eastAsia="ko-KR"/>
              </w:rPr>
            </w:pPr>
            <w:r w:rsidRPr="0081017D">
              <w:rPr>
                <w:sz w:val="18"/>
                <w:szCs w:val="18"/>
                <w:lang w:eastAsia="ko-KR"/>
              </w:rPr>
              <w:t>178</w:t>
            </w:r>
          </w:p>
          <w:p w:rsidR="00D91034" w:rsidRPr="0081017D" w:rsidRDefault="00D91034" w:rsidP="001942F2">
            <w:pPr>
              <w:jc w:val="center"/>
              <w:rPr>
                <w:sz w:val="18"/>
                <w:szCs w:val="18"/>
                <w:lang w:eastAsia="ko-KR"/>
              </w:rPr>
            </w:pPr>
            <w:r w:rsidRPr="0081017D">
              <w:rPr>
                <w:sz w:val="18"/>
                <w:szCs w:val="18"/>
                <w:lang w:eastAsia="ko-KR"/>
              </w:rPr>
              <w:t>274</w:t>
            </w:r>
          </w:p>
          <w:p w:rsidR="00D91034" w:rsidRPr="0081017D" w:rsidRDefault="00D91034" w:rsidP="001942F2">
            <w:pPr>
              <w:jc w:val="center"/>
              <w:rPr>
                <w:sz w:val="18"/>
                <w:szCs w:val="18"/>
                <w:u w:val="single"/>
                <w:lang w:eastAsia="ko-KR"/>
              </w:rPr>
            </w:pPr>
            <w:proofErr w:type="spellStart"/>
            <w:r w:rsidRPr="0081017D">
              <w:rPr>
                <w:sz w:val="18"/>
                <w:szCs w:val="18"/>
                <w:u w:val="single"/>
                <w:lang w:eastAsia="ko-KR"/>
              </w:rPr>
              <w:t>zzz</w:t>
            </w:r>
            <w:proofErr w:type="spellEnd"/>
          </w:p>
        </w:tc>
        <w:tc>
          <w:tcPr>
            <w:tcW w:w="599" w:type="dxa"/>
            <w:vAlign w:val="center"/>
          </w:tcPr>
          <w:p w:rsidR="00D91034" w:rsidRPr="0081017D" w:rsidRDefault="00D91034" w:rsidP="001942F2">
            <w:pPr>
              <w:jc w:val="center"/>
              <w:rPr>
                <w:sz w:val="18"/>
                <w:szCs w:val="18"/>
                <w:lang w:eastAsia="ko-KR"/>
              </w:rPr>
            </w:pPr>
            <w:r w:rsidRPr="0081017D">
              <w:rPr>
                <w:sz w:val="18"/>
                <w:szCs w:val="18"/>
                <w:lang w:eastAsia="ko-KR"/>
              </w:rPr>
              <w:t>0</w:t>
            </w:r>
          </w:p>
        </w:tc>
        <w:tc>
          <w:tcPr>
            <w:tcW w:w="625" w:type="dxa"/>
            <w:vAlign w:val="center"/>
          </w:tcPr>
          <w:p w:rsidR="00D91034" w:rsidRPr="0081017D" w:rsidRDefault="00D91034" w:rsidP="001942F2">
            <w:pPr>
              <w:jc w:val="center"/>
              <w:rPr>
                <w:sz w:val="18"/>
                <w:szCs w:val="18"/>
                <w:lang w:eastAsia="ko-KR"/>
              </w:rPr>
            </w:pPr>
            <w:r w:rsidRPr="0081017D">
              <w:rPr>
                <w:sz w:val="18"/>
                <w:szCs w:val="18"/>
                <w:lang w:eastAsia="ko-KR"/>
              </w:rPr>
              <w:t>E0</w:t>
            </w:r>
          </w:p>
        </w:tc>
        <w:tc>
          <w:tcPr>
            <w:tcW w:w="1264" w:type="dxa"/>
            <w:vAlign w:val="center"/>
          </w:tcPr>
          <w:p w:rsidR="00D91034" w:rsidRPr="0081017D" w:rsidRDefault="00D91034" w:rsidP="001942F2">
            <w:pPr>
              <w:jc w:val="center"/>
              <w:rPr>
                <w:sz w:val="18"/>
                <w:szCs w:val="18"/>
                <w:lang w:eastAsia="ko-KR"/>
              </w:rPr>
            </w:pPr>
            <w:r w:rsidRPr="0081017D">
              <w:rPr>
                <w:sz w:val="18"/>
                <w:szCs w:val="18"/>
                <w:lang w:eastAsia="ko-KR"/>
              </w:rPr>
              <w:t>P101</w:t>
            </w:r>
          </w:p>
        </w:tc>
      </w:tr>
    </w:tbl>
    <w:p w:rsidR="00D91034" w:rsidRPr="006E2D77" w:rsidRDefault="00D91034" w:rsidP="00D91034">
      <w:pPr>
        <w:pStyle w:val="HChG"/>
      </w:pPr>
      <w:r>
        <w:tab/>
      </w:r>
      <w:r>
        <w:tab/>
      </w:r>
      <w:r w:rsidRPr="006E2D77">
        <w:t>Justification</w:t>
      </w:r>
    </w:p>
    <w:p w:rsidR="00D91034" w:rsidRDefault="00D91034" w:rsidP="00D91034">
      <w:pPr>
        <w:pStyle w:val="SingleTxtG"/>
        <w:tabs>
          <w:tab w:val="left" w:pos="1701"/>
        </w:tabs>
      </w:pPr>
      <w:r w:rsidRPr="006E2D77">
        <w:t>Better deta</w:t>
      </w:r>
      <w:r>
        <w:t xml:space="preserve">ils of the proposal. </w:t>
      </w:r>
      <w:proofErr w:type="gramStart"/>
      <w:r>
        <w:t>Comments on</w:t>
      </w:r>
      <w:r w:rsidRPr="006E2D77">
        <w:t xml:space="preserve"> related documents and proposals.</w:t>
      </w:r>
      <w:proofErr w:type="gramEnd"/>
    </w:p>
    <w:p w:rsidR="00C1703D" w:rsidRPr="00D91034" w:rsidRDefault="00D91034" w:rsidP="00D91034">
      <w:pPr>
        <w:pStyle w:val="SingleTxtG"/>
        <w:spacing w:before="240" w:after="0"/>
        <w:jc w:val="center"/>
        <w:rPr>
          <w:u w:val="single"/>
        </w:rPr>
      </w:pPr>
      <w:r>
        <w:rPr>
          <w:u w:val="single"/>
        </w:rPr>
        <w:tab/>
      </w:r>
      <w:r>
        <w:rPr>
          <w:u w:val="single"/>
        </w:rPr>
        <w:tab/>
      </w:r>
      <w:r>
        <w:rPr>
          <w:u w:val="single"/>
        </w:rPr>
        <w:tab/>
      </w:r>
    </w:p>
    <w:p w:rsidR="00C17715" w:rsidRDefault="00C17715" w:rsidP="00C17715"/>
    <w:p w:rsidR="00C17715" w:rsidRDefault="00C17715" w:rsidP="00C17715"/>
    <w:p w:rsidR="00C17715" w:rsidRPr="00C17715" w:rsidRDefault="00C17715" w:rsidP="00C17715"/>
    <w:sectPr w:rsidR="00C17715" w:rsidRPr="00C17715" w:rsidSect="00F31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98" w:rsidRDefault="00503798"/>
  </w:endnote>
  <w:endnote w:type="continuationSeparator" w:id="0">
    <w:p w:rsidR="00503798" w:rsidRDefault="00503798"/>
  </w:endnote>
  <w:endnote w:type="continuationNotice" w:id="1">
    <w:p w:rsidR="00503798" w:rsidRDefault="0050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587799" w:rsidRDefault="00503798">
    <w:pPr>
      <w:pStyle w:val="Footer"/>
      <w:rPr>
        <w:b/>
      </w:rPr>
    </w:pPr>
    <w:r w:rsidRPr="00587799">
      <w:rPr>
        <w:b/>
      </w:rPr>
      <w:fldChar w:fldCharType="begin"/>
    </w:r>
    <w:r w:rsidRPr="00587799">
      <w:rPr>
        <w:b/>
      </w:rPr>
      <w:instrText xml:space="preserve"> PAGE   \* MERGEFORMAT </w:instrText>
    </w:r>
    <w:r w:rsidRPr="00587799">
      <w:rPr>
        <w:b/>
      </w:rPr>
      <w:fldChar w:fldCharType="separate"/>
    </w:r>
    <w:r w:rsidR="00D7764E">
      <w:rPr>
        <w:b/>
        <w:noProof/>
      </w:rPr>
      <w:t>4</w:t>
    </w:r>
    <w:r w:rsidRPr="00587799">
      <w:rPr>
        <w:b/>
        <w:noProof/>
      </w:rPr>
      <w:fldChar w:fldCharType="end"/>
    </w:r>
  </w:p>
  <w:p w:rsidR="00503798" w:rsidRDefault="0050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Pr="00D352FD" w:rsidRDefault="00503798"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D7764E">
      <w:rPr>
        <w:b/>
        <w:noProof/>
        <w:sz w:val="18"/>
      </w:rPr>
      <w:t>3</w:t>
    </w:r>
    <w:r w:rsidRPr="00D352FD">
      <w:rPr>
        <w:b/>
        <w:sz w:val="18"/>
      </w:rPr>
      <w:fldChar w:fldCharType="end"/>
    </w:r>
  </w:p>
  <w:p w:rsidR="00503798" w:rsidRDefault="00503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pPr>
      <w:pStyle w:val="Footer"/>
    </w:pPr>
    <w:r>
      <w:rPr>
        <w:noProof/>
        <w:lang w:eastAsia="en-GB"/>
      </w:rPr>
      <w:drawing>
        <wp:anchor distT="0" distB="0" distL="114300" distR="114300" simplePos="0" relativeHeight="251657728" behindDoc="0" locked="1" layoutInCell="1" allowOverlap="1" wp14:anchorId="36CB43F0" wp14:editId="2EFA1C0A">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798" w:rsidRPr="00D352FD" w:rsidRDefault="0050379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98" w:rsidRPr="000B175B" w:rsidRDefault="00503798" w:rsidP="000B175B">
      <w:pPr>
        <w:tabs>
          <w:tab w:val="right" w:pos="2155"/>
        </w:tabs>
        <w:spacing w:after="80"/>
        <w:ind w:left="680"/>
        <w:rPr>
          <w:u w:val="single"/>
        </w:rPr>
      </w:pPr>
      <w:r>
        <w:rPr>
          <w:u w:val="single"/>
        </w:rPr>
        <w:tab/>
      </w:r>
    </w:p>
  </w:footnote>
  <w:footnote w:type="continuationSeparator" w:id="0">
    <w:p w:rsidR="00503798" w:rsidRPr="00FC68B7" w:rsidRDefault="00503798" w:rsidP="00FC68B7">
      <w:pPr>
        <w:tabs>
          <w:tab w:val="left" w:pos="2155"/>
        </w:tabs>
        <w:spacing w:after="80"/>
        <w:ind w:left="680"/>
        <w:rPr>
          <w:u w:val="single"/>
        </w:rPr>
      </w:pPr>
      <w:r>
        <w:rPr>
          <w:u w:val="single"/>
        </w:rPr>
        <w:tab/>
      </w:r>
    </w:p>
  </w:footnote>
  <w:footnote w:type="continuationNotice" w:id="1">
    <w:p w:rsidR="00503798" w:rsidRDefault="00503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rsidP="00C1703D">
    <w:pPr>
      <w:pStyle w:val="Header"/>
    </w:pPr>
    <w:r>
      <w:rPr>
        <w:lang w:val="es-ES"/>
      </w:rPr>
      <w:t>UN/SCETDG/48/INF.</w:t>
    </w:r>
    <w:r w:rsidR="00D91034">
      <w:rPr>
        <w:lang w:val="es-ES"/>
      </w:rPr>
      <w:t>44</w:t>
    </w:r>
  </w:p>
  <w:p w:rsidR="00503798" w:rsidRPr="00D214CA" w:rsidRDefault="00503798">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98" w:rsidRDefault="00503798" w:rsidP="00C1703D">
    <w:pPr>
      <w:pStyle w:val="Header"/>
      <w:jc w:val="right"/>
    </w:pPr>
    <w:r>
      <w:rPr>
        <w:lang w:val="es-ES"/>
      </w:rPr>
      <w:t>UN/SCETDG/48/INF.</w:t>
    </w:r>
    <w:r w:rsidR="00C17715">
      <w:rPr>
        <w:lang w:val="es-ES"/>
      </w:rPr>
      <w:t>44</w:t>
    </w:r>
  </w:p>
  <w:p w:rsidR="00503798" w:rsidRPr="00D214CA" w:rsidRDefault="00503798"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307749"/>
    <w:multiLevelType w:val="hybridMultilevel"/>
    <w:tmpl w:val="D1CAB7BC"/>
    <w:lvl w:ilvl="0" w:tplc="A6F219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6">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8">
    <w:nsid w:val="46DF12DC"/>
    <w:multiLevelType w:val="multilevel"/>
    <w:tmpl w:val="79CABB00"/>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80F3245"/>
    <w:multiLevelType w:val="multilevel"/>
    <w:tmpl w:val="32C2850C"/>
    <w:lvl w:ilvl="0">
      <w:start w:val="1"/>
      <w:numFmt w:val="decimal"/>
      <w:pStyle w:val="1Heading-A2"/>
      <w:lvlText w:val="2.%1"/>
      <w:lvlJc w:val="left"/>
      <w:pPr>
        <w:tabs>
          <w:tab w:val="num" w:pos="720"/>
        </w:tabs>
        <w:ind w:left="720" w:hanging="720"/>
      </w:pPr>
      <w:rPr>
        <w:rFonts w:ascii="Times New Roman" w:hAnsi="Times New Roman" w:cs="Times New Roman"/>
        <w:b w:val="0"/>
        <w:sz w:val="22"/>
      </w:rPr>
    </w:lvl>
    <w:lvl w:ilvl="1">
      <w:start w:val="1"/>
      <w:numFmt w:val="decimal"/>
      <w:pStyle w:val="2Para-A2"/>
      <w:lvlText w:val="2.%1.%2"/>
      <w:lvlJc w:val="left"/>
      <w:pPr>
        <w:tabs>
          <w:tab w:val="num" w:pos="0"/>
        </w:tabs>
        <w:ind w:left="0" w:firstLine="0"/>
      </w:pPr>
      <w:rPr>
        <w:rFonts w:ascii="Times New Roman" w:hAnsi="Times New Roman" w:cs="Times New Roman"/>
        <w:b w:val="0"/>
        <w:i w:val="0"/>
        <w:sz w:val="22"/>
      </w:rPr>
    </w:lvl>
    <w:lvl w:ilvl="2">
      <w:start w:val="1"/>
      <w:numFmt w:val="decimal"/>
      <w:pStyle w:val="3Para-A2"/>
      <w:lvlText w:val="2.%1.%2.%3"/>
      <w:lvlJc w:val="left"/>
      <w:pPr>
        <w:tabs>
          <w:tab w:val="num" w:pos="0"/>
        </w:tabs>
        <w:ind w:left="0" w:firstLine="0"/>
      </w:pPr>
      <w:rPr>
        <w:rFonts w:ascii="Times New Roman" w:hAnsi="Times New Roman" w:cs="Times New Roman"/>
        <w:b w:val="0"/>
        <w:sz w:val="22"/>
      </w:rPr>
    </w:lvl>
    <w:lvl w:ilvl="3">
      <w:start w:val="1"/>
      <w:numFmt w:val="decimal"/>
      <w:pStyle w:val="4Para-A2"/>
      <w:lvlText w:val="2.%1.%2.%3.%4"/>
      <w:lvlJc w:val="left"/>
      <w:pPr>
        <w:tabs>
          <w:tab w:val="num" w:pos="0"/>
        </w:tabs>
        <w:ind w:left="0" w:firstLine="0"/>
      </w:pPr>
      <w:rPr>
        <w:rFonts w:ascii="Times New Roman" w:hAnsi="Times New Roman" w:cs="Times New Roman"/>
        <w:b w:val="0"/>
        <w:sz w:val="22"/>
      </w:rPr>
    </w:lvl>
    <w:lvl w:ilvl="4">
      <w:start w:val="1"/>
      <w:numFmt w:val="decimal"/>
      <w:pStyle w:val="5Para-A2"/>
      <w:lvlText w:val="2.%1.%2.%3.%4.%5"/>
      <w:lvlJc w:val="left"/>
      <w:pPr>
        <w:tabs>
          <w:tab w:val="num" w:pos="0"/>
        </w:tabs>
        <w:ind w:left="0" w:firstLine="0"/>
      </w:pPr>
      <w:rPr>
        <w:rFonts w:ascii="Times New Roman" w:hAnsi="Times New Roman" w:cs="Times New Roman"/>
        <w:b w:val="0"/>
        <w:sz w:val="22"/>
      </w:rPr>
    </w:lvl>
    <w:lvl w:ilvl="5">
      <w:start w:val="1"/>
      <w:numFmt w:val="decimal"/>
      <w:pStyle w:val="6Para-A2"/>
      <w:lvlText w:val="2.%1.%2.%3.%4.%5.%6"/>
      <w:lvlJc w:val="left"/>
      <w:pPr>
        <w:tabs>
          <w:tab w:val="num" w:pos="0"/>
        </w:tabs>
        <w:ind w:left="0" w:firstLine="0"/>
      </w:pPr>
      <w:rPr>
        <w:rFonts w:ascii="Times New Roman" w:hAnsi="Times New Roman" w:cs="Times New Roman"/>
        <w:b w:val="0"/>
        <w:sz w:val="22"/>
      </w:rPr>
    </w:lvl>
    <w:lvl w:ilvl="6">
      <w:start w:val="1"/>
      <w:numFmt w:val="decimal"/>
      <w:pStyle w:val="7Para-A2"/>
      <w:lvlText w:val="2.%1.%2.%3.%4.%5.%6.%7"/>
      <w:lvlJc w:val="left"/>
      <w:pPr>
        <w:tabs>
          <w:tab w:val="num" w:pos="0"/>
        </w:tabs>
        <w:ind w:left="0" w:firstLine="0"/>
      </w:pPr>
      <w:rPr>
        <w:rFonts w:ascii="Times New Roman" w:hAnsi="Times New Roman" w:cs="Times New Roman"/>
        <w:b w:val="0"/>
        <w:sz w:val="22"/>
      </w:rPr>
    </w:lvl>
    <w:lvl w:ilvl="7">
      <w:start w:val="1"/>
      <w:numFmt w:val="decimal"/>
      <w:pStyle w:val="8Para-A2"/>
      <w:lvlText w:val="2.%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0">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0">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3">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0"/>
  </w:num>
  <w:num w:numId="14">
    <w:abstractNumId w:val="25"/>
  </w:num>
  <w:num w:numId="15">
    <w:abstractNumId w:val="28"/>
  </w:num>
  <w:num w:numId="16">
    <w:abstractNumId w:val="16"/>
  </w:num>
  <w:num w:numId="17">
    <w:abstractNumId w:val="26"/>
  </w:num>
  <w:num w:numId="18">
    <w:abstractNumId w:val="34"/>
  </w:num>
  <w:num w:numId="19">
    <w:abstractNumId w:val="21"/>
  </w:num>
  <w:num w:numId="20">
    <w:abstractNumId w:val="23"/>
  </w:num>
  <w:num w:numId="21">
    <w:abstractNumId w:val="32"/>
  </w:num>
  <w:num w:numId="22">
    <w:abstractNumId w:val="17"/>
  </w:num>
  <w:num w:numId="23">
    <w:abstractNumId w:val="29"/>
  </w:num>
  <w:num w:numId="24">
    <w:abstractNumId w:val="14"/>
  </w:num>
  <w:num w:numId="25">
    <w:abstractNumId w:val="31"/>
  </w:num>
  <w:num w:numId="26">
    <w:abstractNumId w:val="30"/>
  </w:num>
  <w:num w:numId="27">
    <w:abstractNumId w:val="33"/>
  </w:num>
  <w:num w:numId="28">
    <w:abstractNumId w:val="27"/>
  </w:num>
  <w:num w:numId="29">
    <w:abstractNumId w:val="20"/>
  </w:num>
  <w:num w:numId="30">
    <w:abstractNumId w:val="15"/>
  </w:num>
  <w:num w:numId="31">
    <w:abstractNumId w:val="12"/>
  </w:num>
  <w:num w:numId="32">
    <w:abstractNumId w:val="11"/>
  </w:num>
  <w:num w:numId="33">
    <w:abstractNumId w:val="18"/>
  </w:num>
  <w:num w:numId="34">
    <w:abstractNumId w:val="22"/>
  </w:num>
  <w:num w:numId="35">
    <w:abstractNumId w:val="19"/>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1442"/>
    <w:rsid w:val="00025256"/>
    <w:rsid w:val="00026390"/>
    <w:rsid w:val="00027110"/>
    <w:rsid w:val="000273EE"/>
    <w:rsid w:val="00027F96"/>
    <w:rsid w:val="00030E15"/>
    <w:rsid w:val="00040E21"/>
    <w:rsid w:val="00050F6B"/>
    <w:rsid w:val="000525D6"/>
    <w:rsid w:val="00060080"/>
    <w:rsid w:val="00064E6C"/>
    <w:rsid w:val="0006667B"/>
    <w:rsid w:val="00070795"/>
    <w:rsid w:val="00072C8C"/>
    <w:rsid w:val="000763CA"/>
    <w:rsid w:val="00077F85"/>
    <w:rsid w:val="0008550C"/>
    <w:rsid w:val="00091419"/>
    <w:rsid w:val="000931C0"/>
    <w:rsid w:val="000940DC"/>
    <w:rsid w:val="000A363F"/>
    <w:rsid w:val="000B175B"/>
    <w:rsid w:val="000B1C33"/>
    <w:rsid w:val="000B3A0F"/>
    <w:rsid w:val="000B5C94"/>
    <w:rsid w:val="000C35D4"/>
    <w:rsid w:val="000C7A13"/>
    <w:rsid w:val="000D1D11"/>
    <w:rsid w:val="000D698F"/>
    <w:rsid w:val="000D700D"/>
    <w:rsid w:val="000E0415"/>
    <w:rsid w:val="000E3CBC"/>
    <w:rsid w:val="000E3E09"/>
    <w:rsid w:val="000E6FC9"/>
    <w:rsid w:val="000F5DD8"/>
    <w:rsid w:val="000F641A"/>
    <w:rsid w:val="000F7D68"/>
    <w:rsid w:val="0010483E"/>
    <w:rsid w:val="001053BC"/>
    <w:rsid w:val="00111B27"/>
    <w:rsid w:val="00112884"/>
    <w:rsid w:val="00112F02"/>
    <w:rsid w:val="00116226"/>
    <w:rsid w:val="0011688B"/>
    <w:rsid w:val="00117787"/>
    <w:rsid w:val="0012195D"/>
    <w:rsid w:val="001248E7"/>
    <w:rsid w:val="0012717F"/>
    <w:rsid w:val="00131D42"/>
    <w:rsid w:val="001350DA"/>
    <w:rsid w:val="00136D16"/>
    <w:rsid w:val="00136EE5"/>
    <w:rsid w:val="001450B5"/>
    <w:rsid w:val="001500EA"/>
    <w:rsid w:val="0015326E"/>
    <w:rsid w:val="001543A5"/>
    <w:rsid w:val="001633FB"/>
    <w:rsid w:val="0016659E"/>
    <w:rsid w:val="00171FC6"/>
    <w:rsid w:val="001748B3"/>
    <w:rsid w:val="00174DC2"/>
    <w:rsid w:val="001755C2"/>
    <w:rsid w:val="0018325A"/>
    <w:rsid w:val="001907FB"/>
    <w:rsid w:val="00190DE0"/>
    <w:rsid w:val="0019356C"/>
    <w:rsid w:val="0019389A"/>
    <w:rsid w:val="00195CD1"/>
    <w:rsid w:val="0019627D"/>
    <w:rsid w:val="001A2809"/>
    <w:rsid w:val="001A3C06"/>
    <w:rsid w:val="001A4BC7"/>
    <w:rsid w:val="001A6EC1"/>
    <w:rsid w:val="001B1039"/>
    <w:rsid w:val="001B36E1"/>
    <w:rsid w:val="001B4B04"/>
    <w:rsid w:val="001C0A92"/>
    <w:rsid w:val="001C6663"/>
    <w:rsid w:val="001C7895"/>
    <w:rsid w:val="001D26DF"/>
    <w:rsid w:val="001D2FDC"/>
    <w:rsid w:val="001D324A"/>
    <w:rsid w:val="001D3309"/>
    <w:rsid w:val="001D3887"/>
    <w:rsid w:val="001D4B7D"/>
    <w:rsid w:val="001E1608"/>
    <w:rsid w:val="001E1F95"/>
    <w:rsid w:val="001E3689"/>
    <w:rsid w:val="00206125"/>
    <w:rsid w:val="00211E0B"/>
    <w:rsid w:val="0021549E"/>
    <w:rsid w:val="00221BEE"/>
    <w:rsid w:val="00222A65"/>
    <w:rsid w:val="002309A7"/>
    <w:rsid w:val="00231DCE"/>
    <w:rsid w:val="00233C96"/>
    <w:rsid w:val="002344CD"/>
    <w:rsid w:val="00235678"/>
    <w:rsid w:val="00237785"/>
    <w:rsid w:val="00241466"/>
    <w:rsid w:val="002454FD"/>
    <w:rsid w:val="00245DA0"/>
    <w:rsid w:val="00246621"/>
    <w:rsid w:val="00246C32"/>
    <w:rsid w:val="0026552D"/>
    <w:rsid w:val="00266C3D"/>
    <w:rsid w:val="002725CA"/>
    <w:rsid w:val="00273219"/>
    <w:rsid w:val="00280105"/>
    <w:rsid w:val="00280EB7"/>
    <w:rsid w:val="00281EDF"/>
    <w:rsid w:val="00296E02"/>
    <w:rsid w:val="002A11A8"/>
    <w:rsid w:val="002A1F97"/>
    <w:rsid w:val="002A43E5"/>
    <w:rsid w:val="002A5848"/>
    <w:rsid w:val="002B1CDA"/>
    <w:rsid w:val="002B5B24"/>
    <w:rsid w:val="002C13A6"/>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C0A"/>
    <w:rsid w:val="00302D74"/>
    <w:rsid w:val="00304E20"/>
    <w:rsid w:val="003065AA"/>
    <w:rsid w:val="00307115"/>
    <w:rsid w:val="003073BE"/>
    <w:rsid w:val="003107FA"/>
    <w:rsid w:val="003113A4"/>
    <w:rsid w:val="0031210B"/>
    <w:rsid w:val="0031261E"/>
    <w:rsid w:val="00313AEE"/>
    <w:rsid w:val="00314BF3"/>
    <w:rsid w:val="0031738D"/>
    <w:rsid w:val="003207D1"/>
    <w:rsid w:val="003229D8"/>
    <w:rsid w:val="00324F41"/>
    <w:rsid w:val="00325D96"/>
    <w:rsid w:val="0033078E"/>
    <w:rsid w:val="003310A6"/>
    <w:rsid w:val="003327D8"/>
    <w:rsid w:val="00336D59"/>
    <w:rsid w:val="0034100F"/>
    <w:rsid w:val="00343B80"/>
    <w:rsid w:val="00343C5F"/>
    <w:rsid w:val="00344DB3"/>
    <w:rsid w:val="0035093F"/>
    <w:rsid w:val="0035378F"/>
    <w:rsid w:val="0036086B"/>
    <w:rsid w:val="00361486"/>
    <w:rsid w:val="00362A80"/>
    <w:rsid w:val="0036414B"/>
    <w:rsid w:val="00366F3D"/>
    <w:rsid w:val="0036710F"/>
    <w:rsid w:val="00382BE7"/>
    <w:rsid w:val="0039277A"/>
    <w:rsid w:val="00392B57"/>
    <w:rsid w:val="00394A4A"/>
    <w:rsid w:val="003972E0"/>
    <w:rsid w:val="003977C2"/>
    <w:rsid w:val="003A07E5"/>
    <w:rsid w:val="003A2EEA"/>
    <w:rsid w:val="003B02FF"/>
    <w:rsid w:val="003B109A"/>
    <w:rsid w:val="003C21DB"/>
    <w:rsid w:val="003C2CC4"/>
    <w:rsid w:val="003C323B"/>
    <w:rsid w:val="003C5566"/>
    <w:rsid w:val="003C6103"/>
    <w:rsid w:val="003D3D2C"/>
    <w:rsid w:val="003D4B23"/>
    <w:rsid w:val="003D6D01"/>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0DA5"/>
    <w:rsid w:val="00432011"/>
    <w:rsid w:val="004325CB"/>
    <w:rsid w:val="004345E0"/>
    <w:rsid w:val="00437E46"/>
    <w:rsid w:val="00437F3F"/>
    <w:rsid w:val="004420E4"/>
    <w:rsid w:val="00446DE4"/>
    <w:rsid w:val="00447967"/>
    <w:rsid w:val="00452D7D"/>
    <w:rsid w:val="00454036"/>
    <w:rsid w:val="00455263"/>
    <w:rsid w:val="0045790C"/>
    <w:rsid w:val="00460958"/>
    <w:rsid w:val="00461C3B"/>
    <w:rsid w:val="00462B5A"/>
    <w:rsid w:val="004645EA"/>
    <w:rsid w:val="00471292"/>
    <w:rsid w:val="00477677"/>
    <w:rsid w:val="004800E7"/>
    <w:rsid w:val="00480B9E"/>
    <w:rsid w:val="0048196A"/>
    <w:rsid w:val="0048372B"/>
    <w:rsid w:val="00492426"/>
    <w:rsid w:val="00492832"/>
    <w:rsid w:val="004962B4"/>
    <w:rsid w:val="00496FCF"/>
    <w:rsid w:val="0049730E"/>
    <w:rsid w:val="004A143F"/>
    <w:rsid w:val="004B01B8"/>
    <w:rsid w:val="004B2C9D"/>
    <w:rsid w:val="004C04BC"/>
    <w:rsid w:val="004C52AC"/>
    <w:rsid w:val="004C6C73"/>
    <w:rsid w:val="004C74AE"/>
    <w:rsid w:val="004C7C9C"/>
    <w:rsid w:val="004D4897"/>
    <w:rsid w:val="004D574F"/>
    <w:rsid w:val="004D60B4"/>
    <w:rsid w:val="004D631D"/>
    <w:rsid w:val="004E286E"/>
    <w:rsid w:val="004E4CCC"/>
    <w:rsid w:val="004E7252"/>
    <w:rsid w:val="004F44EC"/>
    <w:rsid w:val="004F45B6"/>
    <w:rsid w:val="00503798"/>
    <w:rsid w:val="00504E59"/>
    <w:rsid w:val="005054EE"/>
    <w:rsid w:val="00511255"/>
    <w:rsid w:val="005165FE"/>
    <w:rsid w:val="00517A3F"/>
    <w:rsid w:val="00520033"/>
    <w:rsid w:val="005201AE"/>
    <w:rsid w:val="00520847"/>
    <w:rsid w:val="00523059"/>
    <w:rsid w:val="00523965"/>
    <w:rsid w:val="00523D26"/>
    <w:rsid w:val="005240B4"/>
    <w:rsid w:val="0052436D"/>
    <w:rsid w:val="00527910"/>
    <w:rsid w:val="005355FB"/>
    <w:rsid w:val="00537105"/>
    <w:rsid w:val="005420F2"/>
    <w:rsid w:val="0054543E"/>
    <w:rsid w:val="00545561"/>
    <w:rsid w:val="005504CE"/>
    <w:rsid w:val="00557CAC"/>
    <w:rsid w:val="00570BD2"/>
    <w:rsid w:val="00575156"/>
    <w:rsid w:val="0057581A"/>
    <w:rsid w:val="005761C0"/>
    <w:rsid w:val="00576D2F"/>
    <w:rsid w:val="00577FFB"/>
    <w:rsid w:val="00582B84"/>
    <w:rsid w:val="0058567E"/>
    <w:rsid w:val="00586D1A"/>
    <w:rsid w:val="0058720B"/>
    <w:rsid w:val="00587799"/>
    <w:rsid w:val="00590144"/>
    <w:rsid w:val="00597262"/>
    <w:rsid w:val="005A4308"/>
    <w:rsid w:val="005B11B6"/>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5807"/>
    <w:rsid w:val="006176FB"/>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2A7A"/>
    <w:rsid w:val="00692BBF"/>
    <w:rsid w:val="00693528"/>
    <w:rsid w:val="00694BDB"/>
    <w:rsid w:val="00694DB9"/>
    <w:rsid w:val="006964E2"/>
    <w:rsid w:val="006A31E7"/>
    <w:rsid w:val="006A4FF4"/>
    <w:rsid w:val="006A7392"/>
    <w:rsid w:val="006A7886"/>
    <w:rsid w:val="006B2614"/>
    <w:rsid w:val="006B54B0"/>
    <w:rsid w:val="006C0D34"/>
    <w:rsid w:val="006C19F2"/>
    <w:rsid w:val="006C7261"/>
    <w:rsid w:val="006C7E11"/>
    <w:rsid w:val="006E4568"/>
    <w:rsid w:val="006E564B"/>
    <w:rsid w:val="006F1AFD"/>
    <w:rsid w:val="006F3E5A"/>
    <w:rsid w:val="00703434"/>
    <w:rsid w:val="00706CF0"/>
    <w:rsid w:val="00713695"/>
    <w:rsid w:val="00714353"/>
    <w:rsid w:val="0071612E"/>
    <w:rsid w:val="007215CA"/>
    <w:rsid w:val="0072632A"/>
    <w:rsid w:val="00731080"/>
    <w:rsid w:val="00733D54"/>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3A50"/>
    <w:rsid w:val="00787151"/>
    <w:rsid w:val="00790791"/>
    <w:rsid w:val="007907C5"/>
    <w:rsid w:val="00790B4D"/>
    <w:rsid w:val="0079308F"/>
    <w:rsid w:val="00796199"/>
    <w:rsid w:val="007979F3"/>
    <w:rsid w:val="007A6660"/>
    <w:rsid w:val="007B20A9"/>
    <w:rsid w:val="007B2AE6"/>
    <w:rsid w:val="007B2B56"/>
    <w:rsid w:val="007B6BA5"/>
    <w:rsid w:val="007C3390"/>
    <w:rsid w:val="007C4F4B"/>
    <w:rsid w:val="007C56D2"/>
    <w:rsid w:val="007C7159"/>
    <w:rsid w:val="007E2266"/>
    <w:rsid w:val="007E25DE"/>
    <w:rsid w:val="007E650F"/>
    <w:rsid w:val="007E7DDA"/>
    <w:rsid w:val="007E7E3F"/>
    <w:rsid w:val="007F2402"/>
    <w:rsid w:val="007F3A4D"/>
    <w:rsid w:val="007F55FD"/>
    <w:rsid w:val="007F6611"/>
    <w:rsid w:val="007F66F9"/>
    <w:rsid w:val="00801547"/>
    <w:rsid w:val="008016A5"/>
    <w:rsid w:val="00801882"/>
    <w:rsid w:val="008028C7"/>
    <w:rsid w:val="008175E9"/>
    <w:rsid w:val="0082011D"/>
    <w:rsid w:val="00820C9B"/>
    <w:rsid w:val="008229C9"/>
    <w:rsid w:val="00823A99"/>
    <w:rsid w:val="008242D7"/>
    <w:rsid w:val="00827667"/>
    <w:rsid w:val="008309A5"/>
    <w:rsid w:val="00832A9A"/>
    <w:rsid w:val="008463F9"/>
    <w:rsid w:val="0085128E"/>
    <w:rsid w:val="008555F2"/>
    <w:rsid w:val="00862825"/>
    <w:rsid w:val="008644B5"/>
    <w:rsid w:val="00871FD5"/>
    <w:rsid w:val="008734C7"/>
    <w:rsid w:val="00873CC0"/>
    <w:rsid w:val="00886778"/>
    <w:rsid w:val="008979B1"/>
    <w:rsid w:val="008A6B25"/>
    <w:rsid w:val="008A6C4F"/>
    <w:rsid w:val="008A7D7C"/>
    <w:rsid w:val="008B57C5"/>
    <w:rsid w:val="008B5AD2"/>
    <w:rsid w:val="008B7671"/>
    <w:rsid w:val="008B7AF9"/>
    <w:rsid w:val="008C4BA9"/>
    <w:rsid w:val="008D4349"/>
    <w:rsid w:val="008D7089"/>
    <w:rsid w:val="008D7684"/>
    <w:rsid w:val="008E0E46"/>
    <w:rsid w:val="008F16EF"/>
    <w:rsid w:val="008F3A21"/>
    <w:rsid w:val="008F7198"/>
    <w:rsid w:val="009027C8"/>
    <w:rsid w:val="00905146"/>
    <w:rsid w:val="00915907"/>
    <w:rsid w:val="009203DB"/>
    <w:rsid w:val="009359B7"/>
    <w:rsid w:val="00936083"/>
    <w:rsid w:val="0094224B"/>
    <w:rsid w:val="00943370"/>
    <w:rsid w:val="00944344"/>
    <w:rsid w:val="00945A5D"/>
    <w:rsid w:val="0095044B"/>
    <w:rsid w:val="00955D36"/>
    <w:rsid w:val="00957678"/>
    <w:rsid w:val="00960293"/>
    <w:rsid w:val="00962788"/>
    <w:rsid w:val="00963CBA"/>
    <w:rsid w:val="009660D3"/>
    <w:rsid w:val="009667C3"/>
    <w:rsid w:val="00972515"/>
    <w:rsid w:val="00980555"/>
    <w:rsid w:val="00980BA4"/>
    <w:rsid w:val="0099124E"/>
    <w:rsid w:val="00991261"/>
    <w:rsid w:val="00992928"/>
    <w:rsid w:val="00996B55"/>
    <w:rsid w:val="0099739B"/>
    <w:rsid w:val="009A0CCA"/>
    <w:rsid w:val="009A22A1"/>
    <w:rsid w:val="009A2A17"/>
    <w:rsid w:val="009A41DC"/>
    <w:rsid w:val="009B2A5D"/>
    <w:rsid w:val="009B36B1"/>
    <w:rsid w:val="009C3671"/>
    <w:rsid w:val="009C5E41"/>
    <w:rsid w:val="009C6AA8"/>
    <w:rsid w:val="009D47CE"/>
    <w:rsid w:val="009D49A7"/>
    <w:rsid w:val="009E07F3"/>
    <w:rsid w:val="009E1FFD"/>
    <w:rsid w:val="009E3D2F"/>
    <w:rsid w:val="009F0508"/>
    <w:rsid w:val="009F0F06"/>
    <w:rsid w:val="009F2BD9"/>
    <w:rsid w:val="00A02A90"/>
    <w:rsid w:val="00A11225"/>
    <w:rsid w:val="00A1306F"/>
    <w:rsid w:val="00A1424E"/>
    <w:rsid w:val="00A1427D"/>
    <w:rsid w:val="00A16E62"/>
    <w:rsid w:val="00A23AD3"/>
    <w:rsid w:val="00A243A4"/>
    <w:rsid w:val="00A27F89"/>
    <w:rsid w:val="00A3644D"/>
    <w:rsid w:val="00A4133A"/>
    <w:rsid w:val="00A4528A"/>
    <w:rsid w:val="00A46900"/>
    <w:rsid w:val="00A523CD"/>
    <w:rsid w:val="00A52C53"/>
    <w:rsid w:val="00A575B7"/>
    <w:rsid w:val="00A650BC"/>
    <w:rsid w:val="00A70FBE"/>
    <w:rsid w:val="00A719BB"/>
    <w:rsid w:val="00A71E9E"/>
    <w:rsid w:val="00A72F22"/>
    <w:rsid w:val="00A748A6"/>
    <w:rsid w:val="00A75112"/>
    <w:rsid w:val="00A75EC9"/>
    <w:rsid w:val="00A81A51"/>
    <w:rsid w:val="00A83E8F"/>
    <w:rsid w:val="00A84BCE"/>
    <w:rsid w:val="00A85CE2"/>
    <w:rsid w:val="00A86A59"/>
    <w:rsid w:val="00A879A4"/>
    <w:rsid w:val="00A9410D"/>
    <w:rsid w:val="00AA086A"/>
    <w:rsid w:val="00AA255E"/>
    <w:rsid w:val="00AA3259"/>
    <w:rsid w:val="00AB33F7"/>
    <w:rsid w:val="00AB5F1C"/>
    <w:rsid w:val="00AC0B01"/>
    <w:rsid w:val="00AC0F0F"/>
    <w:rsid w:val="00AC1437"/>
    <w:rsid w:val="00AC7BAB"/>
    <w:rsid w:val="00AD34CF"/>
    <w:rsid w:val="00AE14FD"/>
    <w:rsid w:val="00AE15DC"/>
    <w:rsid w:val="00AE19F6"/>
    <w:rsid w:val="00AE1EFD"/>
    <w:rsid w:val="00AE2E7A"/>
    <w:rsid w:val="00AE737D"/>
    <w:rsid w:val="00AF014B"/>
    <w:rsid w:val="00AF36F5"/>
    <w:rsid w:val="00AF70E1"/>
    <w:rsid w:val="00B10932"/>
    <w:rsid w:val="00B15BBF"/>
    <w:rsid w:val="00B1765A"/>
    <w:rsid w:val="00B30179"/>
    <w:rsid w:val="00B3018A"/>
    <w:rsid w:val="00B326C3"/>
    <w:rsid w:val="00B3317B"/>
    <w:rsid w:val="00B37311"/>
    <w:rsid w:val="00B45F8C"/>
    <w:rsid w:val="00B509EA"/>
    <w:rsid w:val="00B54D63"/>
    <w:rsid w:val="00B62775"/>
    <w:rsid w:val="00B81E12"/>
    <w:rsid w:val="00B86229"/>
    <w:rsid w:val="00B87CDF"/>
    <w:rsid w:val="00B92AE4"/>
    <w:rsid w:val="00B93068"/>
    <w:rsid w:val="00B93A09"/>
    <w:rsid w:val="00BA0B17"/>
    <w:rsid w:val="00BA1C8B"/>
    <w:rsid w:val="00BA270E"/>
    <w:rsid w:val="00BB08BA"/>
    <w:rsid w:val="00BB7EA7"/>
    <w:rsid w:val="00BC03A3"/>
    <w:rsid w:val="00BC1A2E"/>
    <w:rsid w:val="00BC74E9"/>
    <w:rsid w:val="00BD3815"/>
    <w:rsid w:val="00BD44F1"/>
    <w:rsid w:val="00BD50CF"/>
    <w:rsid w:val="00BD5A29"/>
    <w:rsid w:val="00BD6746"/>
    <w:rsid w:val="00BD790F"/>
    <w:rsid w:val="00BE0E4C"/>
    <w:rsid w:val="00BE18CC"/>
    <w:rsid w:val="00BE409E"/>
    <w:rsid w:val="00BE618E"/>
    <w:rsid w:val="00BE7529"/>
    <w:rsid w:val="00BF0A10"/>
    <w:rsid w:val="00BF252E"/>
    <w:rsid w:val="00BF4D09"/>
    <w:rsid w:val="00BF4E49"/>
    <w:rsid w:val="00C024CA"/>
    <w:rsid w:val="00C07A9E"/>
    <w:rsid w:val="00C11334"/>
    <w:rsid w:val="00C140EE"/>
    <w:rsid w:val="00C1703D"/>
    <w:rsid w:val="00C17715"/>
    <w:rsid w:val="00C201A3"/>
    <w:rsid w:val="00C26DFA"/>
    <w:rsid w:val="00C27477"/>
    <w:rsid w:val="00C27632"/>
    <w:rsid w:val="00C306AC"/>
    <w:rsid w:val="00C321F7"/>
    <w:rsid w:val="00C3356A"/>
    <w:rsid w:val="00C40934"/>
    <w:rsid w:val="00C429BE"/>
    <w:rsid w:val="00C463DD"/>
    <w:rsid w:val="00C46F02"/>
    <w:rsid w:val="00C502A4"/>
    <w:rsid w:val="00C52F16"/>
    <w:rsid w:val="00C569E3"/>
    <w:rsid w:val="00C62F76"/>
    <w:rsid w:val="00C64167"/>
    <w:rsid w:val="00C67A5F"/>
    <w:rsid w:val="00C70453"/>
    <w:rsid w:val="00C70FF3"/>
    <w:rsid w:val="00C73CF5"/>
    <w:rsid w:val="00C740E4"/>
    <w:rsid w:val="00C745C3"/>
    <w:rsid w:val="00C74F57"/>
    <w:rsid w:val="00C83FAC"/>
    <w:rsid w:val="00C8442A"/>
    <w:rsid w:val="00C8475A"/>
    <w:rsid w:val="00C95089"/>
    <w:rsid w:val="00C97FC3"/>
    <w:rsid w:val="00CA1296"/>
    <w:rsid w:val="00CA698B"/>
    <w:rsid w:val="00CB1B28"/>
    <w:rsid w:val="00CB42D6"/>
    <w:rsid w:val="00CB7A6C"/>
    <w:rsid w:val="00CC503F"/>
    <w:rsid w:val="00CD3225"/>
    <w:rsid w:val="00CD42C6"/>
    <w:rsid w:val="00CD570D"/>
    <w:rsid w:val="00CD59C7"/>
    <w:rsid w:val="00CD5A1E"/>
    <w:rsid w:val="00CD6D47"/>
    <w:rsid w:val="00CD6DB5"/>
    <w:rsid w:val="00CE0883"/>
    <w:rsid w:val="00CE40D9"/>
    <w:rsid w:val="00CE4A8F"/>
    <w:rsid w:val="00CE4BDC"/>
    <w:rsid w:val="00CE52F5"/>
    <w:rsid w:val="00CF060E"/>
    <w:rsid w:val="00CF29E5"/>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587D"/>
    <w:rsid w:val="00D46643"/>
    <w:rsid w:val="00D4696D"/>
    <w:rsid w:val="00D53132"/>
    <w:rsid w:val="00D55FDA"/>
    <w:rsid w:val="00D56680"/>
    <w:rsid w:val="00D603A9"/>
    <w:rsid w:val="00D6056C"/>
    <w:rsid w:val="00D620B9"/>
    <w:rsid w:val="00D6796D"/>
    <w:rsid w:val="00D71F9A"/>
    <w:rsid w:val="00D72550"/>
    <w:rsid w:val="00D753D8"/>
    <w:rsid w:val="00D7764E"/>
    <w:rsid w:val="00D814CD"/>
    <w:rsid w:val="00D81B39"/>
    <w:rsid w:val="00D84986"/>
    <w:rsid w:val="00D87F6D"/>
    <w:rsid w:val="00D91034"/>
    <w:rsid w:val="00D9252E"/>
    <w:rsid w:val="00D92AA9"/>
    <w:rsid w:val="00D942C2"/>
    <w:rsid w:val="00D96CC5"/>
    <w:rsid w:val="00D978C6"/>
    <w:rsid w:val="00DA67AD"/>
    <w:rsid w:val="00DB2AEF"/>
    <w:rsid w:val="00DB3193"/>
    <w:rsid w:val="00DB71C2"/>
    <w:rsid w:val="00DB7C45"/>
    <w:rsid w:val="00DC0378"/>
    <w:rsid w:val="00DC3E5A"/>
    <w:rsid w:val="00DC6BF2"/>
    <w:rsid w:val="00DC7622"/>
    <w:rsid w:val="00DD217B"/>
    <w:rsid w:val="00DD7BE3"/>
    <w:rsid w:val="00DE0FD9"/>
    <w:rsid w:val="00DE38EC"/>
    <w:rsid w:val="00DE5FB9"/>
    <w:rsid w:val="00DE7C71"/>
    <w:rsid w:val="00DE7D85"/>
    <w:rsid w:val="00DE7E86"/>
    <w:rsid w:val="00DF0FAF"/>
    <w:rsid w:val="00DF22D5"/>
    <w:rsid w:val="00DF4C3C"/>
    <w:rsid w:val="00DF5494"/>
    <w:rsid w:val="00E0259F"/>
    <w:rsid w:val="00E04B26"/>
    <w:rsid w:val="00E07CE1"/>
    <w:rsid w:val="00E07FDF"/>
    <w:rsid w:val="00E10DB6"/>
    <w:rsid w:val="00E130AB"/>
    <w:rsid w:val="00E16100"/>
    <w:rsid w:val="00E22448"/>
    <w:rsid w:val="00E25509"/>
    <w:rsid w:val="00E31280"/>
    <w:rsid w:val="00E36AE0"/>
    <w:rsid w:val="00E41514"/>
    <w:rsid w:val="00E42111"/>
    <w:rsid w:val="00E458B0"/>
    <w:rsid w:val="00E45FAF"/>
    <w:rsid w:val="00E464E9"/>
    <w:rsid w:val="00E46B58"/>
    <w:rsid w:val="00E50122"/>
    <w:rsid w:val="00E53D59"/>
    <w:rsid w:val="00E5644E"/>
    <w:rsid w:val="00E60BC4"/>
    <w:rsid w:val="00E611F5"/>
    <w:rsid w:val="00E61BF1"/>
    <w:rsid w:val="00E63066"/>
    <w:rsid w:val="00E7260F"/>
    <w:rsid w:val="00E8449A"/>
    <w:rsid w:val="00E8535A"/>
    <w:rsid w:val="00E8631A"/>
    <w:rsid w:val="00E92C7F"/>
    <w:rsid w:val="00E9395E"/>
    <w:rsid w:val="00E96630"/>
    <w:rsid w:val="00EA6DDC"/>
    <w:rsid w:val="00EA772F"/>
    <w:rsid w:val="00EB2AE2"/>
    <w:rsid w:val="00EB6832"/>
    <w:rsid w:val="00EC04D8"/>
    <w:rsid w:val="00EC1214"/>
    <w:rsid w:val="00ED30E9"/>
    <w:rsid w:val="00ED4C0B"/>
    <w:rsid w:val="00ED6653"/>
    <w:rsid w:val="00ED7772"/>
    <w:rsid w:val="00ED7A2A"/>
    <w:rsid w:val="00EE257F"/>
    <w:rsid w:val="00EE4966"/>
    <w:rsid w:val="00EF1D7F"/>
    <w:rsid w:val="00EF22F4"/>
    <w:rsid w:val="00EF582C"/>
    <w:rsid w:val="00EF5A8D"/>
    <w:rsid w:val="00F0002D"/>
    <w:rsid w:val="00F1272B"/>
    <w:rsid w:val="00F1510E"/>
    <w:rsid w:val="00F173DD"/>
    <w:rsid w:val="00F21597"/>
    <w:rsid w:val="00F23B01"/>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5530"/>
    <w:rsid w:val="00F6717A"/>
    <w:rsid w:val="00F67CA6"/>
    <w:rsid w:val="00F7751B"/>
    <w:rsid w:val="00F80AB9"/>
    <w:rsid w:val="00F83AF1"/>
    <w:rsid w:val="00F92F8C"/>
    <w:rsid w:val="00F9483C"/>
    <w:rsid w:val="00FA0E39"/>
    <w:rsid w:val="00FA5D55"/>
    <w:rsid w:val="00FA7DFD"/>
    <w:rsid w:val="00FB5F72"/>
    <w:rsid w:val="00FB61D6"/>
    <w:rsid w:val="00FC318E"/>
    <w:rsid w:val="00FC4EFC"/>
    <w:rsid w:val="00FC5F5D"/>
    <w:rsid w:val="00FC68B7"/>
    <w:rsid w:val="00FD0C57"/>
    <w:rsid w:val="00FD104C"/>
    <w:rsid w:val="00FD25C7"/>
    <w:rsid w:val="00FD3402"/>
    <w:rsid w:val="00FD4900"/>
    <w:rsid w:val="00FD50F3"/>
    <w:rsid w:val="00FD6B2B"/>
    <w:rsid w:val="00FD6B94"/>
    <w:rsid w:val="00FD72EC"/>
    <w:rsid w:val="00FE2C16"/>
    <w:rsid w:val="00FF01E5"/>
    <w:rsid w:val="00FF03BB"/>
    <w:rsid w:val="00FF37E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uiPriority w:val="99"/>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uiPriority w:val="99"/>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uiPriority w:val="99"/>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uiPriority w:val="99"/>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 w:id="19688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F4FB-72C5-4BD1-AB3C-0B5EF66D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1311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2015-11-27T17:17:00Z</cp:lastPrinted>
  <dcterms:created xsi:type="dcterms:W3CDTF">2015-11-27T10:33:00Z</dcterms:created>
  <dcterms:modified xsi:type="dcterms:W3CDTF">2015-11-27T17:17:00Z</dcterms:modified>
</cp:coreProperties>
</file>