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5A1F2E" w:rsidTr="00CF376E">
        <w:trPr>
          <w:cantSplit/>
          <w:trHeight w:hRule="exact" w:val="851"/>
        </w:trPr>
        <w:tc>
          <w:tcPr>
            <w:tcW w:w="9639" w:type="dxa"/>
            <w:tcBorders>
              <w:bottom w:val="single" w:sz="4" w:space="0" w:color="auto"/>
            </w:tcBorders>
            <w:vAlign w:val="bottom"/>
          </w:tcPr>
          <w:p w:rsidR="00ED4C0B" w:rsidRPr="005A1F2E" w:rsidRDefault="00ED4C0B" w:rsidP="00D6796D">
            <w:pPr>
              <w:jc w:val="right"/>
              <w:rPr>
                <w:b/>
                <w:sz w:val="40"/>
                <w:szCs w:val="40"/>
              </w:rPr>
            </w:pPr>
            <w:r>
              <w:rPr>
                <w:b/>
                <w:sz w:val="40"/>
                <w:szCs w:val="40"/>
              </w:rPr>
              <w:t>UN/SCETDG/4</w:t>
            </w:r>
            <w:r w:rsidR="00344DB3">
              <w:rPr>
                <w:b/>
                <w:sz w:val="40"/>
                <w:szCs w:val="40"/>
              </w:rPr>
              <w:t>8</w:t>
            </w:r>
            <w:r w:rsidRPr="005A1F2E">
              <w:rPr>
                <w:b/>
                <w:sz w:val="40"/>
                <w:szCs w:val="40"/>
              </w:rPr>
              <w:t>/INF.</w:t>
            </w:r>
            <w:r w:rsidR="00D6796D">
              <w:rPr>
                <w:b/>
                <w:sz w:val="40"/>
                <w:szCs w:val="40"/>
              </w:rPr>
              <w:t>41</w:t>
            </w:r>
          </w:p>
        </w:tc>
      </w:tr>
      <w:tr w:rsidR="00ED4C0B" w:rsidRPr="005A1F2E" w:rsidTr="00CF376E">
        <w:trPr>
          <w:cantSplit/>
          <w:trHeight w:val="2456"/>
        </w:trPr>
        <w:tc>
          <w:tcPr>
            <w:tcW w:w="9639" w:type="dxa"/>
            <w:tcBorders>
              <w:top w:val="single" w:sz="4" w:space="0" w:color="auto"/>
            </w:tcBorders>
          </w:tcPr>
          <w:p w:rsidR="00ED4C0B" w:rsidRPr="005A1F2E" w:rsidRDefault="00ED4C0B" w:rsidP="00CF376E">
            <w:pPr>
              <w:spacing w:before="120"/>
              <w:rPr>
                <w:b/>
                <w:sz w:val="24"/>
                <w:szCs w:val="24"/>
              </w:rPr>
            </w:pPr>
            <w:r w:rsidRPr="005A1F2E">
              <w:rPr>
                <w:b/>
                <w:sz w:val="24"/>
                <w:szCs w:val="24"/>
              </w:rPr>
              <w:t>Committee of Experts on the Transport of Dangerous Goods</w:t>
            </w:r>
            <w:r w:rsidRPr="005A1F2E">
              <w:rPr>
                <w:b/>
                <w:sz w:val="24"/>
                <w:szCs w:val="24"/>
              </w:rPr>
              <w:br/>
              <w:t>and on the Globally Harmonized System of Classification</w:t>
            </w:r>
            <w:r w:rsidRPr="005A1F2E">
              <w:rPr>
                <w:b/>
                <w:sz w:val="24"/>
                <w:szCs w:val="24"/>
              </w:rPr>
              <w:br/>
              <w:t>and Labelling of Chemicals</w:t>
            </w:r>
          </w:p>
          <w:p w:rsidR="00ED4C0B" w:rsidRPr="005A1F2E" w:rsidRDefault="00ED4C0B" w:rsidP="00302C0A">
            <w:pPr>
              <w:tabs>
                <w:tab w:val="left" w:pos="7920"/>
              </w:tabs>
              <w:spacing w:before="120"/>
              <w:rPr>
                <w:b/>
              </w:rPr>
            </w:pPr>
            <w:r w:rsidRPr="005A1F2E">
              <w:rPr>
                <w:b/>
              </w:rPr>
              <w:t>Sub-Committee of Experts on the Transport of Dangerous Goods</w:t>
            </w:r>
            <w:r w:rsidRPr="005A1F2E">
              <w:rPr>
                <w:b/>
              </w:rPr>
              <w:tab/>
            </w:r>
            <w:r w:rsidR="003A07E5">
              <w:rPr>
                <w:b/>
              </w:rPr>
              <w:t>2</w:t>
            </w:r>
            <w:r w:rsidR="00D6796D">
              <w:rPr>
                <w:b/>
              </w:rPr>
              <w:t>6</w:t>
            </w:r>
            <w:r w:rsidR="00740FD7">
              <w:rPr>
                <w:b/>
              </w:rPr>
              <w:t xml:space="preserve"> </w:t>
            </w:r>
            <w:r w:rsidR="00430DA5">
              <w:rPr>
                <w:b/>
              </w:rPr>
              <w:t>November</w:t>
            </w:r>
            <w:r w:rsidR="00314BF3">
              <w:rPr>
                <w:b/>
              </w:rPr>
              <w:t xml:space="preserve"> </w:t>
            </w:r>
            <w:r>
              <w:rPr>
                <w:b/>
              </w:rPr>
              <w:t>201</w:t>
            </w:r>
            <w:r w:rsidR="00520847">
              <w:rPr>
                <w:b/>
              </w:rPr>
              <w:t>5</w:t>
            </w:r>
          </w:p>
          <w:p w:rsidR="00ED4C0B" w:rsidRPr="005A1F2E" w:rsidRDefault="00BE18CC" w:rsidP="00CF376E">
            <w:pPr>
              <w:spacing w:before="120"/>
              <w:rPr>
                <w:b/>
              </w:rPr>
            </w:pPr>
            <w:r>
              <w:rPr>
                <w:b/>
              </w:rPr>
              <w:t>Forty-</w:t>
            </w:r>
            <w:r w:rsidR="00430DA5">
              <w:rPr>
                <w:b/>
              </w:rPr>
              <w:t>eighth</w:t>
            </w:r>
            <w:r>
              <w:rPr>
                <w:b/>
              </w:rPr>
              <w:t xml:space="preserve"> session</w:t>
            </w:r>
          </w:p>
          <w:p w:rsidR="00ED4C0B" w:rsidRPr="005A1F2E" w:rsidRDefault="00ED4C0B" w:rsidP="00CF376E">
            <w:r w:rsidRPr="005A1F2E">
              <w:t xml:space="preserve">Geneva, </w:t>
            </w:r>
            <w:r w:rsidR="00D55FDA">
              <w:t>20 November</w:t>
            </w:r>
            <w:r w:rsidR="00520847">
              <w:t xml:space="preserve"> </w:t>
            </w:r>
            <w:r>
              <w:t>–</w:t>
            </w:r>
            <w:r w:rsidR="00520847">
              <w:t xml:space="preserve"> </w:t>
            </w:r>
            <w:r w:rsidR="00D55FDA">
              <w:t>9 December</w:t>
            </w:r>
            <w:r>
              <w:t xml:space="preserve"> 201</w:t>
            </w:r>
            <w:r w:rsidR="00520847">
              <w:t>5</w:t>
            </w:r>
          </w:p>
          <w:p w:rsidR="003F4773" w:rsidRPr="00610992" w:rsidRDefault="00610992" w:rsidP="00302C0A">
            <w:pPr>
              <w:pStyle w:val="Default"/>
              <w:rPr>
                <w:sz w:val="20"/>
                <w:szCs w:val="20"/>
              </w:rPr>
            </w:pPr>
            <w:r w:rsidRPr="00610992">
              <w:rPr>
                <w:sz w:val="20"/>
                <w:szCs w:val="20"/>
              </w:rPr>
              <w:t xml:space="preserve">Item </w:t>
            </w:r>
            <w:r w:rsidR="00302C0A">
              <w:rPr>
                <w:sz w:val="20"/>
                <w:szCs w:val="20"/>
              </w:rPr>
              <w:t>7</w:t>
            </w:r>
            <w:r w:rsidR="006861C4" w:rsidRPr="00610992">
              <w:rPr>
                <w:sz w:val="20"/>
                <w:szCs w:val="20"/>
              </w:rPr>
              <w:t xml:space="preserve"> </w:t>
            </w:r>
            <w:r w:rsidR="003F4773" w:rsidRPr="00610992">
              <w:rPr>
                <w:sz w:val="20"/>
                <w:szCs w:val="20"/>
              </w:rPr>
              <w:t>of the provisional agenda</w:t>
            </w:r>
          </w:p>
          <w:p w:rsidR="00ED4C0B" w:rsidRPr="006861C4" w:rsidRDefault="00302C0A" w:rsidP="00520847">
            <w:pPr>
              <w:rPr>
                <w:b/>
              </w:rPr>
            </w:pPr>
            <w:r w:rsidRPr="00302C0A">
              <w:rPr>
                <w:b/>
              </w:rPr>
              <w:t>Global harmonization of transport of dangerous goods regulations with the Model Regulations</w:t>
            </w:r>
          </w:p>
        </w:tc>
      </w:tr>
    </w:tbl>
    <w:p w:rsidR="006861C4" w:rsidRDefault="006861C4" w:rsidP="001A3C06">
      <w:pPr>
        <w:pStyle w:val="HChG"/>
      </w:pPr>
      <w:r>
        <w:tab/>
      </w:r>
      <w:r>
        <w:tab/>
      </w:r>
      <w:r w:rsidR="001A3C06" w:rsidRPr="00996B55">
        <w:rPr>
          <w:rFonts w:hint="eastAsia"/>
          <w:bCs/>
          <w:lang w:val="en-US"/>
        </w:rPr>
        <w:t xml:space="preserve">Incident </w:t>
      </w:r>
      <w:r w:rsidR="001A3C06">
        <w:rPr>
          <w:bCs/>
          <w:lang w:val="en-US"/>
        </w:rPr>
        <w:t xml:space="preserve">involving </w:t>
      </w:r>
      <w:r w:rsidR="001A3C06" w:rsidRPr="00996B55">
        <w:rPr>
          <w:rFonts w:hint="eastAsia"/>
          <w:bCs/>
          <w:lang w:val="en-US"/>
        </w:rPr>
        <w:t>Catecholborane</w:t>
      </w:r>
    </w:p>
    <w:p w:rsidR="00F6717A" w:rsidRDefault="006861C4" w:rsidP="00302C0A">
      <w:pPr>
        <w:pStyle w:val="H1G"/>
      </w:pPr>
      <w:r>
        <w:tab/>
      </w:r>
      <w:r>
        <w:tab/>
        <w:t xml:space="preserve">Transmitted by the </w:t>
      </w:r>
      <w:r w:rsidR="00302C0A">
        <w:t>International Civil Aviation Organization (ICAO)</w:t>
      </w:r>
    </w:p>
    <w:p w:rsidR="006861C4" w:rsidRDefault="006861C4" w:rsidP="006861C4">
      <w:pPr>
        <w:pStyle w:val="HChG"/>
      </w:pPr>
      <w:r>
        <w:tab/>
      </w:r>
      <w:r>
        <w:tab/>
        <w:t>Introduction</w:t>
      </w:r>
    </w:p>
    <w:p w:rsidR="00302C0A" w:rsidRDefault="006861C4" w:rsidP="001A3C06">
      <w:pPr>
        <w:pStyle w:val="SingleTxtG"/>
      </w:pPr>
      <w:r>
        <w:t>1.</w:t>
      </w:r>
      <w:r>
        <w:tab/>
      </w:r>
      <w:r w:rsidR="00D6796D">
        <w:t>The t</w:t>
      </w:r>
      <w:r w:rsidR="00302C0A">
        <w:t>wenty-</w:t>
      </w:r>
      <w:r w:rsidR="00D6796D">
        <w:t>f</w:t>
      </w:r>
      <w:r w:rsidR="00302C0A">
        <w:t xml:space="preserve">ifth </w:t>
      </w:r>
      <w:r w:rsidR="00D6796D">
        <w:t>m</w:t>
      </w:r>
      <w:r w:rsidR="00302C0A">
        <w:t>eeting of the Dangerous Goods Panel (DGP/25) was held in Montréal from 19 to 30 October 2015. The panel made a final review of amendments proposed to the Technical Instructions in order to harmonize with the 19th revised edition of the UN Model Regulations</w:t>
      </w:r>
      <w:r w:rsidR="00A11225">
        <w:t xml:space="preserve"> and to address issues specific to air transport</w:t>
      </w:r>
      <w:r w:rsidR="00302C0A">
        <w:t>.</w:t>
      </w:r>
      <w:r w:rsidR="00FF37EB">
        <w:t xml:space="preserve"> </w:t>
      </w:r>
      <w:r w:rsidR="00957678">
        <w:t xml:space="preserve">The full report of DGP/25 including all amendments agreed can be downloaded from </w:t>
      </w:r>
      <w:hyperlink r:id="rId9" w:history="1">
        <w:r w:rsidR="00957678" w:rsidRPr="00341193">
          <w:rPr>
            <w:rStyle w:val="Hyperlink"/>
          </w:rPr>
          <w:t>http://www.icao.int/safety/DangerousGoods/Pages/DGP25.aspx</w:t>
        </w:r>
      </w:hyperlink>
      <w:r w:rsidR="00957678">
        <w:t xml:space="preserve">. </w:t>
      </w:r>
    </w:p>
    <w:p w:rsidR="00302C0A" w:rsidRDefault="00302C0A" w:rsidP="009B2A5D">
      <w:pPr>
        <w:pStyle w:val="SingleTxtG"/>
      </w:pPr>
      <w:r>
        <w:t>2.</w:t>
      </w:r>
      <w:r>
        <w:tab/>
        <w:t xml:space="preserve">This information paper highlights issues </w:t>
      </w:r>
      <w:r w:rsidR="001A3C06">
        <w:t xml:space="preserve">raised in relation to an incident involving Catecholborane which led the DGP to recommend </w:t>
      </w:r>
      <w:r w:rsidR="003D3D2C">
        <w:t xml:space="preserve">prohibiting </w:t>
      </w:r>
      <w:r w:rsidR="001A3C06">
        <w:t xml:space="preserve">transport of the substance </w:t>
      </w:r>
      <w:r w:rsidR="003D3D2C">
        <w:t xml:space="preserve">by air unless prior approval </w:t>
      </w:r>
      <w:r w:rsidR="009B2A5D">
        <w:t xml:space="preserve">was </w:t>
      </w:r>
      <w:r w:rsidR="003D3D2C">
        <w:t>granted by appropriate State authorities.</w:t>
      </w:r>
      <w:r>
        <w:t xml:space="preserve"> </w:t>
      </w:r>
      <w:r w:rsidR="003D3D2C">
        <w:t xml:space="preserve">DGP/25 determined the issue needed further investigation by </w:t>
      </w:r>
      <w:r w:rsidR="001A3C06">
        <w:t xml:space="preserve">the </w:t>
      </w:r>
      <w:r>
        <w:t>Sub-Committee.</w:t>
      </w:r>
    </w:p>
    <w:p w:rsidR="001A3C06" w:rsidRPr="007A273A" w:rsidRDefault="00D6796D" w:rsidP="00A75112">
      <w:pPr>
        <w:pStyle w:val="HChG"/>
        <w:rPr>
          <w:lang w:val="en-US"/>
        </w:rPr>
      </w:pPr>
      <w:r>
        <w:rPr>
          <w:lang w:val="en-US"/>
        </w:rPr>
        <w:tab/>
      </w:r>
      <w:r>
        <w:rPr>
          <w:lang w:val="en-US"/>
        </w:rPr>
        <w:tab/>
      </w:r>
      <w:r w:rsidR="003D3D2C">
        <w:rPr>
          <w:lang w:val="en-US"/>
        </w:rPr>
        <w:t>Background</w:t>
      </w:r>
    </w:p>
    <w:p w:rsidR="001A3C06" w:rsidRDefault="00C07A9E" w:rsidP="001A3C06">
      <w:pPr>
        <w:pStyle w:val="SingleTxtG"/>
      </w:pPr>
      <w:r>
        <w:rPr>
          <w:lang w:eastAsia="zh-CN"/>
        </w:rPr>
        <w:t>3</w:t>
      </w:r>
      <w:r w:rsidR="001A3C06">
        <w:rPr>
          <w:lang w:eastAsia="zh-CN"/>
        </w:rPr>
        <w:t>.</w:t>
      </w:r>
      <w:r w:rsidR="001A3C06">
        <w:rPr>
          <w:lang w:eastAsia="zh-CN"/>
        </w:rPr>
        <w:tab/>
        <w:t>DGP/25 was informed of an incident involving C</w:t>
      </w:r>
      <w:r w:rsidR="001A3C06">
        <w:t xml:space="preserve">atecholborane (also known as </w:t>
      </w:r>
      <w:r w:rsidR="001A3C06" w:rsidRPr="00723282">
        <w:t>1, 3, 2</w:t>
      </w:r>
      <w:r w:rsidR="001A3C06">
        <w:noBreakHyphen/>
      </w:r>
      <w:r w:rsidR="001A3C06" w:rsidRPr="00723282">
        <w:t>Benzodioxaborole</w:t>
      </w:r>
      <w:r w:rsidR="001A3C06">
        <w:t xml:space="preserve">) which resulted in an </w:t>
      </w:r>
      <w:r w:rsidR="001A3C06">
        <w:rPr>
          <w:rFonts w:hint="eastAsia"/>
          <w:lang w:eastAsia="zh-CN"/>
        </w:rPr>
        <w:t>industry recommend</w:t>
      </w:r>
      <w:r w:rsidR="001A3C06">
        <w:rPr>
          <w:lang w:eastAsia="zh-CN"/>
        </w:rPr>
        <w:t xml:space="preserve">ation to </w:t>
      </w:r>
      <w:r w:rsidR="001A3C06">
        <w:rPr>
          <w:rFonts w:hint="eastAsia"/>
          <w:lang w:eastAsia="zh-CN"/>
        </w:rPr>
        <w:t xml:space="preserve">forbid transport </w:t>
      </w:r>
      <w:r w:rsidR="001A3C06">
        <w:rPr>
          <w:lang w:eastAsia="zh-CN"/>
        </w:rPr>
        <w:t xml:space="preserve">of the substance </w:t>
      </w:r>
      <w:r w:rsidR="001A3C06">
        <w:rPr>
          <w:rFonts w:hint="eastAsia"/>
          <w:lang w:eastAsia="zh-CN"/>
        </w:rPr>
        <w:t xml:space="preserve">by air unless transported in pressure </w:t>
      </w:r>
      <w:r w:rsidR="001A3C06">
        <w:rPr>
          <w:lang w:eastAsia="zh-CN"/>
        </w:rPr>
        <w:t>receptacles</w:t>
      </w:r>
      <w:r w:rsidR="001A3C06">
        <w:rPr>
          <w:rFonts w:hint="eastAsia"/>
          <w:lang w:eastAsia="zh-CN"/>
        </w:rPr>
        <w:t xml:space="preserve"> and under cooled conditions. </w:t>
      </w:r>
      <w:r w:rsidR="001A3C06">
        <w:rPr>
          <w:lang w:eastAsia="zh-CN"/>
        </w:rPr>
        <w:t>The incident occurred after t</w:t>
      </w:r>
      <w:r w:rsidR="001A3C06">
        <w:rPr>
          <w:rFonts w:hint="eastAsia"/>
          <w:lang w:eastAsia="zh-CN"/>
        </w:rPr>
        <w:t xml:space="preserve">ransport of the substance from </w:t>
      </w:r>
      <w:r w:rsidR="001A3C06">
        <w:rPr>
          <w:lang w:eastAsia="zh-CN"/>
        </w:rPr>
        <w:t xml:space="preserve">Asia to Europe </w:t>
      </w:r>
      <w:r w:rsidR="001A3C06">
        <w:rPr>
          <w:rFonts w:hint="eastAsia"/>
          <w:lang w:eastAsia="zh-CN"/>
        </w:rPr>
        <w:t xml:space="preserve">was delayed for nine days as </w:t>
      </w:r>
      <w:r w:rsidR="001A3C06">
        <w:rPr>
          <w:lang w:eastAsia="zh-CN"/>
        </w:rPr>
        <w:t>the</w:t>
      </w:r>
      <w:r w:rsidR="001A3C06">
        <w:rPr>
          <w:rFonts w:hint="eastAsia"/>
          <w:lang w:eastAsia="zh-CN"/>
        </w:rPr>
        <w:t xml:space="preserve"> result of</w:t>
      </w:r>
      <w:r w:rsidR="001A3C06">
        <w:rPr>
          <w:lang w:eastAsia="zh-CN"/>
        </w:rPr>
        <w:t xml:space="preserve"> extreme weather conditions with </w:t>
      </w:r>
      <w:r w:rsidR="001A3C06">
        <w:rPr>
          <w:rFonts w:hint="eastAsia"/>
          <w:lang w:eastAsia="zh-CN"/>
        </w:rPr>
        <w:t>temperature</w:t>
      </w:r>
      <w:r w:rsidR="001A3C06">
        <w:rPr>
          <w:lang w:eastAsia="zh-CN"/>
        </w:rPr>
        <w:t>s</w:t>
      </w:r>
      <w:r w:rsidR="001A3C06">
        <w:rPr>
          <w:rFonts w:hint="eastAsia"/>
          <w:lang w:eastAsia="zh-CN"/>
        </w:rPr>
        <w:t xml:space="preserve"> consistently above 33</w:t>
      </w:r>
      <w:r w:rsidR="001A3C06">
        <w:rPr>
          <w:lang w:eastAsia="zh-CN"/>
        </w:rPr>
        <w:t>°</w:t>
      </w:r>
      <w:r w:rsidR="001A3C06">
        <w:rPr>
          <w:rFonts w:hint="eastAsia"/>
          <w:lang w:eastAsia="zh-CN"/>
        </w:rPr>
        <w:t xml:space="preserve">C. </w:t>
      </w:r>
      <w:r w:rsidR="001A3C06">
        <w:rPr>
          <w:lang w:eastAsia="zh-CN"/>
        </w:rPr>
        <w:t xml:space="preserve">After being stored for approximately two weeks at a low temperature at the destination, </w:t>
      </w:r>
      <w:r w:rsidR="001A3C06">
        <w:rPr>
          <w:rFonts w:hint="eastAsia"/>
          <w:lang w:eastAsia="zh-CN"/>
        </w:rPr>
        <w:t xml:space="preserve">several bottles </w:t>
      </w:r>
      <w:r w:rsidR="001A3C06">
        <w:rPr>
          <w:lang w:eastAsia="zh-CN"/>
        </w:rPr>
        <w:t xml:space="preserve">containing the substance </w:t>
      </w:r>
      <w:r w:rsidR="001A3C06">
        <w:rPr>
          <w:rFonts w:hint="eastAsia"/>
          <w:lang w:eastAsia="zh-CN"/>
        </w:rPr>
        <w:t xml:space="preserve">exploded and caught fire. It was concluded that moist air entered the bottles during the long transit time under high temperatures causing a chemical reaction and pressure build up. </w:t>
      </w:r>
      <w:r w:rsidR="001A3C06">
        <w:t>Panel members suspected a classification problem, but whether this was due to shipper error or a limitation in the classification criteria in the regulations could not be determined. It was reported that several manufacturers had classified the substance the same way and that these were highly experienced, conscientious manufacturers. It was agreed that the issue needed to be brought to the attention of the UN Sub-Committee for further investigation.</w:t>
      </w:r>
    </w:p>
    <w:p w:rsidR="003D3D2C" w:rsidRPr="003D3D2C" w:rsidRDefault="00D6796D" w:rsidP="00A75112">
      <w:pPr>
        <w:pStyle w:val="HChG"/>
        <w:rPr>
          <w:lang w:val="en-US"/>
        </w:rPr>
      </w:pPr>
      <w:r>
        <w:rPr>
          <w:lang w:val="en-US"/>
        </w:rPr>
        <w:tab/>
      </w:r>
      <w:r>
        <w:rPr>
          <w:lang w:val="en-US"/>
        </w:rPr>
        <w:tab/>
      </w:r>
      <w:r w:rsidR="003D3D2C" w:rsidRPr="003D3D2C">
        <w:rPr>
          <w:lang w:val="en-US"/>
        </w:rPr>
        <w:t>Amendment to the Technical Instructions</w:t>
      </w:r>
    </w:p>
    <w:p w:rsidR="001A3C06" w:rsidRDefault="00C07A9E" w:rsidP="00DE7D85">
      <w:pPr>
        <w:pStyle w:val="SingleTxtG"/>
      </w:pPr>
      <w:r>
        <w:t>4</w:t>
      </w:r>
      <w:r w:rsidR="001A3C06">
        <w:t>.</w:t>
      </w:r>
      <w:r w:rsidR="001A3C06">
        <w:tab/>
        <w:t xml:space="preserve">The need for temperature control heightened the panel’s concern of a potential threat to aviation safety, recognizing that there is no method to guarantee temperature control in an aircraft cargo compartment. The panel therefore recommended an amendment to the </w:t>
      </w:r>
      <w:r w:rsidR="001A3C06">
        <w:lastRenderedPageBreak/>
        <w:t xml:space="preserve">2015-2016 Edition of the Technical Instructions which would permit transport of the substance by air only when approvals are granted by the appropriate State authorities. Since a specific entry for Catecholborane is not included in the dangerous goods list, a light type entry was </w:t>
      </w:r>
      <w:r w:rsidR="00DE7D85">
        <w:t xml:space="preserve">recommended for inclusion in the </w:t>
      </w:r>
      <w:r w:rsidR="001A3C06">
        <w:t xml:space="preserve">Technical Instructions </w:t>
      </w:r>
      <w:r w:rsidR="00DE7D85">
        <w:t xml:space="preserve">with a </w:t>
      </w:r>
      <w:r w:rsidR="001A3C06">
        <w:t>special provision prohibiting transport by air assigned to it. The addendum is currently being processed through ICAO’s governing bodies for review and approval.</w:t>
      </w:r>
    </w:p>
    <w:p w:rsidR="001A3C06" w:rsidRDefault="00C07A9E" w:rsidP="00AF70E1">
      <w:pPr>
        <w:pStyle w:val="SingleTxtG"/>
      </w:pPr>
      <w:r>
        <w:rPr>
          <w:lang w:val="en-CA"/>
        </w:rPr>
        <w:t>5</w:t>
      </w:r>
      <w:r w:rsidR="001A3C06">
        <w:rPr>
          <w:lang w:val="en-CA"/>
        </w:rPr>
        <w:t>.</w:t>
      </w:r>
      <w:r w:rsidR="001A3C06">
        <w:rPr>
          <w:lang w:val="en-CA"/>
        </w:rPr>
        <w:tab/>
        <w:t xml:space="preserve">An extract from the DGP/25 Report on the subject is provided as an </w:t>
      </w:r>
      <w:r w:rsidR="00AF70E1">
        <w:rPr>
          <w:lang w:val="en-CA"/>
        </w:rPr>
        <w:t>annex</w:t>
      </w:r>
      <w:r w:rsidR="001A3C06">
        <w:rPr>
          <w:lang w:val="en-CA"/>
        </w:rPr>
        <w:t xml:space="preserve"> to this information paper. The working paper which brought the incident to the panel’s attention contains more detailed information </w:t>
      </w:r>
      <w:r w:rsidR="00DE7D85">
        <w:rPr>
          <w:lang w:val="en-CA"/>
        </w:rPr>
        <w:t xml:space="preserve">and </w:t>
      </w:r>
      <w:r w:rsidR="001A3C06">
        <w:rPr>
          <w:lang w:val="en-CA"/>
        </w:rPr>
        <w:t xml:space="preserve">can be downloaded from </w:t>
      </w:r>
      <w:hyperlink r:id="rId10" w:history="1">
        <w:r w:rsidR="001A3C06">
          <w:rPr>
            <w:rStyle w:val="Hyperlink"/>
            <w:lang w:val="en-CA"/>
          </w:rPr>
          <w:t>http://www.icao.int/safety/DangerousGoods/Pages/DGP25WPs.aspx</w:t>
        </w:r>
      </w:hyperlink>
      <w:r w:rsidR="001A3C06">
        <w:rPr>
          <w:lang w:val="en-CA"/>
        </w:rPr>
        <w:t xml:space="preserve"> (DGP/25-WP/</w:t>
      </w:r>
      <w:r w:rsidR="001A3C06">
        <w:t>47).</w:t>
      </w:r>
    </w:p>
    <w:p w:rsidR="009A22A1" w:rsidRPr="009A22A1" w:rsidRDefault="00D6796D" w:rsidP="00D6796D">
      <w:pPr>
        <w:pStyle w:val="HChG"/>
      </w:pPr>
      <w:r>
        <w:tab/>
      </w:r>
      <w:r>
        <w:tab/>
      </w:r>
      <w:r w:rsidR="009A22A1" w:rsidRPr="009A22A1">
        <w:t>Conclusion</w:t>
      </w:r>
    </w:p>
    <w:p w:rsidR="003D3D2C" w:rsidRDefault="00C07A9E" w:rsidP="00026390">
      <w:pPr>
        <w:pStyle w:val="SingleTxtG"/>
      </w:pPr>
      <w:r>
        <w:t>6</w:t>
      </w:r>
      <w:r w:rsidR="003D3D2C">
        <w:t>.</w:t>
      </w:r>
      <w:r w:rsidR="003D3D2C">
        <w:tab/>
        <w:t xml:space="preserve">The Sub-Committee is invited to consider whether additional investigation </w:t>
      </w:r>
      <w:r w:rsidR="009A22A1">
        <w:t>is warranted, particularly with respect to whether the substance was incorrectly classified by the shipper and whether there are any gaps in the classification criteria which led to this.</w:t>
      </w:r>
      <w:r w:rsidR="00026390">
        <w:t xml:space="preserve"> The </w:t>
      </w:r>
      <w:r w:rsidR="00026390" w:rsidRPr="00AF05D6">
        <w:rPr>
          <w:lang w:val="en-US"/>
        </w:rPr>
        <w:t>issue will be raised formally at the next session of the Sub-Committee</w:t>
      </w:r>
      <w:r w:rsidR="00026390">
        <w:rPr>
          <w:lang w:val="en-US"/>
        </w:rPr>
        <w:t xml:space="preserve"> if deemed necessary.</w:t>
      </w:r>
    </w:p>
    <w:p w:rsidR="006861C4" w:rsidRPr="00D214CA" w:rsidRDefault="006861C4" w:rsidP="00D214CA">
      <w:pPr>
        <w:pStyle w:val="SingleTxtG"/>
        <w:spacing w:before="240" w:after="0"/>
        <w:jc w:val="center"/>
        <w:rPr>
          <w:u w:val="single"/>
        </w:rPr>
      </w:pPr>
    </w:p>
    <w:p w:rsidR="00AF70E1" w:rsidRDefault="00AF70E1">
      <w:pPr>
        <w:suppressAutoHyphens w:val="0"/>
        <w:spacing w:line="240" w:lineRule="auto"/>
      </w:pPr>
      <w:r>
        <w:br w:type="page"/>
      </w:r>
    </w:p>
    <w:p w:rsidR="006861C4" w:rsidRDefault="00AF70E1" w:rsidP="00A75112">
      <w:pPr>
        <w:pStyle w:val="HChG"/>
        <w:spacing w:before="0" w:after="0"/>
      </w:pPr>
      <w:r w:rsidRPr="00AF70E1">
        <w:lastRenderedPageBreak/>
        <w:t>Annex</w:t>
      </w:r>
    </w:p>
    <w:p w:rsidR="000D1D11" w:rsidRDefault="00A75112" w:rsidP="00A75112">
      <w:pPr>
        <w:pStyle w:val="HChG"/>
        <w:spacing w:before="120" w:after="120"/>
      </w:pPr>
      <w:r>
        <w:tab/>
      </w:r>
      <w:r>
        <w:tab/>
      </w:r>
      <w:r w:rsidR="000D1D11">
        <w:t>Extract from the DGP/25 Report</w:t>
      </w:r>
    </w:p>
    <w:p w:rsidR="000D1D11" w:rsidRPr="00C76F27" w:rsidRDefault="000D1D11" w:rsidP="00A75112">
      <w:pPr>
        <w:pStyle w:val="SingleTxtG"/>
        <w:tabs>
          <w:tab w:val="left" w:pos="1843"/>
        </w:tabs>
        <w:spacing w:line="216" w:lineRule="auto"/>
        <w:ind w:left="1140" w:right="1140"/>
      </w:pPr>
      <w:r>
        <w:t>2.3.6</w:t>
      </w:r>
      <w:r>
        <w:tab/>
      </w:r>
      <w:r w:rsidRPr="000D1D11">
        <w:rPr>
          <w:rFonts w:hint="eastAsia"/>
          <w:b/>
          <w:bCs/>
        </w:rPr>
        <w:t>Incident</w:t>
      </w:r>
      <w:r w:rsidRPr="000D1D11">
        <w:rPr>
          <w:rFonts w:hint="eastAsia"/>
          <w:b/>
          <w:bCs/>
          <w:lang w:eastAsia="zh-CN"/>
        </w:rPr>
        <w:t xml:space="preserve"> with Catech</w:t>
      </w:r>
      <w:r w:rsidR="00D814CD">
        <w:rPr>
          <w:b/>
          <w:bCs/>
          <w:lang w:eastAsia="zh-CN"/>
        </w:rPr>
        <w:t>0</w:t>
      </w:r>
      <w:r w:rsidRPr="000D1D11">
        <w:rPr>
          <w:rFonts w:hint="eastAsia"/>
          <w:b/>
          <w:bCs/>
          <w:lang w:eastAsia="zh-CN"/>
        </w:rPr>
        <w:t>olborane</w:t>
      </w:r>
      <w:r w:rsidRPr="000D1D11">
        <w:rPr>
          <w:b/>
          <w:bCs/>
        </w:rPr>
        <w:t xml:space="preserve"> (DGP/25-WP/47)</w:t>
      </w:r>
    </w:p>
    <w:p w:rsidR="000D1D11" w:rsidRDefault="00F23B01" w:rsidP="00A75112">
      <w:pPr>
        <w:pStyle w:val="3Para-A2"/>
        <w:numPr>
          <w:ilvl w:val="0"/>
          <w:numId w:val="0"/>
        </w:numPr>
        <w:tabs>
          <w:tab w:val="clear" w:pos="1440"/>
          <w:tab w:val="left" w:pos="1843"/>
        </w:tabs>
        <w:spacing w:before="120" w:after="120" w:line="216" w:lineRule="auto"/>
        <w:ind w:left="1140" w:right="1140"/>
      </w:pPr>
      <w:r>
        <w:rPr>
          <w:lang w:eastAsia="zh-CN"/>
        </w:rPr>
        <w:t>2.3.6.1</w:t>
      </w:r>
      <w:r>
        <w:rPr>
          <w:lang w:eastAsia="zh-CN"/>
        </w:rPr>
        <w:tab/>
      </w:r>
      <w:r w:rsidR="000D1D11">
        <w:rPr>
          <w:lang w:eastAsia="zh-CN"/>
        </w:rPr>
        <w:t>T</w:t>
      </w:r>
      <w:r w:rsidR="000D1D11">
        <w:rPr>
          <w:rFonts w:hint="eastAsia"/>
          <w:lang w:eastAsia="zh-CN"/>
        </w:rPr>
        <w:t>he meeting was informed of an incident involving c</w:t>
      </w:r>
      <w:r w:rsidR="000D1D11" w:rsidRPr="00753A09">
        <w:rPr>
          <w:lang w:eastAsia="zh-CN"/>
        </w:rPr>
        <w:t>atecholborane</w:t>
      </w:r>
      <w:r w:rsidR="000D1D11">
        <w:rPr>
          <w:rFonts w:hint="eastAsia"/>
          <w:lang w:eastAsia="zh-CN"/>
        </w:rPr>
        <w:t xml:space="preserve"> which was classified as a</w:t>
      </w:r>
      <w:r w:rsidR="000D1D11">
        <w:rPr>
          <w:lang w:eastAsia="zh-CN"/>
        </w:rPr>
        <w:t xml:space="preserve"> general</w:t>
      </w:r>
      <w:r w:rsidR="000D1D11">
        <w:rPr>
          <w:rFonts w:hint="eastAsia"/>
          <w:lang w:eastAsia="zh-CN"/>
        </w:rPr>
        <w:t xml:space="preserve"> entry under UN </w:t>
      </w:r>
      <w:r w:rsidR="000D1D11" w:rsidRPr="00A43503">
        <w:rPr>
          <w:lang w:eastAsia="zh-CN"/>
        </w:rPr>
        <w:t>2924</w:t>
      </w:r>
      <w:r w:rsidR="000D1D11" w:rsidRPr="00A43503">
        <w:rPr>
          <w:lang w:val="en-US" w:eastAsia="zh-CN"/>
        </w:rPr>
        <w:t xml:space="preserve"> </w:t>
      </w:r>
      <w:r w:rsidR="00D814CD">
        <w:rPr>
          <w:lang w:val="en-US" w:eastAsia="zh-CN"/>
        </w:rPr>
        <w:t>–</w:t>
      </w:r>
      <w:r w:rsidR="000D1D11" w:rsidRPr="00A43503">
        <w:rPr>
          <w:rFonts w:hint="eastAsia"/>
          <w:lang w:val="en-US" w:eastAsia="zh-CN"/>
        </w:rPr>
        <w:t xml:space="preserve"> </w:t>
      </w:r>
      <w:r w:rsidR="000D1D11" w:rsidRPr="00A43503">
        <w:rPr>
          <w:b/>
          <w:bCs/>
          <w:lang w:eastAsia="zh-CN"/>
        </w:rPr>
        <w:t>Flammable liquid, corrosive, n.o.s</w:t>
      </w:r>
      <w:r w:rsidR="000D1D11">
        <w:rPr>
          <w:rFonts w:hint="eastAsia"/>
          <w:lang w:eastAsia="zh-CN"/>
        </w:rPr>
        <w:t xml:space="preserve">. The product properties indicated that the substance decomposes to borane gas at a rate of two per cent per week at room temperature, that borane gas could ignite when in contact with moist air, and that </w:t>
      </w:r>
      <w:r w:rsidR="00C1703D">
        <w:rPr>
          <w:lang w:eastAsia="zh-CN"/>
        </w:rPr>
        <w:t>C</w:t>
      </w:r>
      <w:r w:rsidR="000D1D11">
        <w:rPr>
          <w:rFonts w:hint="eastAsia"/>
          <w:lang w:eastAsia="zh-CN"/>
        </w:rPr>
        <w:t xml:space="preserve">atecholborane could react violently with water. Transport of the substance from </w:t>
      </w:r>
      <w:r w:rsidR="000D1D11">
        <w:rPr>
          <w:lang w:eastAsia="zh-CN"/>
        </w:rPr>
        <w:t xml:space="preserve">Asia to Europe </w:t>
      </w:r>
      <w:r w:rsidR="000D1D11">
        <w:rPr>
          <w:rFonts w:hint="eastAsia"/>
          <w:lang w:eastAsia="zh-CN"/>
        </w:rPr>
        <w:t xml:space="preserve">was delayed for nine days as </w:t>
      </w:r>
      <w:r w:rsidR="000D1D11">
        <w:rPr>
          <w:lang w:eastAsia="zh-CN"/>
        </w:rPr>
        <w:t>the</w:t>
      </w:r>
      <w:r w:rsidR="000D1D11">
        <w:rPr>
          <w:rFonts w:hint="eastAsia"/>
          <w:lang w:eastAsia="zh-CN"/>
        </w:rPr>
        <w:t xml:space="preserve"> result of a typhoon and the temperature had been consistently above 33</w:t>
      </w:r>
      <w:r w:rsidR="000D1D11">
        <w:rPr>
          <w:lang w:eastAsia="zh-CN"/>
        </w:rPr>
        <w:t>°</w:t>
      </w:r>
      <w:r w:rsidR="000D1D11">
        <w:rPr>
          <w:rFonts w:hint="eastAsia"/>
          <w:lang w:eastAsia="zh-CN"/>
        </w:rPr>
        <w:t xml:space="preserve">C. </w:t>
      </w:r>
      <w:r w:rsidR="000D1D11">
        <w:rPr>
          <w:lang w:eastAsia="zh-CN"/>
        </w:rPr>
        <w:t>Four</w:t>
      </w:r>
      <w:r w:rsidR="000D1D11">
        <w:rPr>
          <w:rFonts w:hint="eastAsia"/>
          <w:lang w:eastAsia="zh-CN"/>
        </w:rPr>
        <w:t xml:space="preserve"> broken bottles were discovered after they arrived at their destination. The substance was stored after arrival for approximately two weeks at 8</w:t>
      </w:r>
      <w:r w:rsidR="000D1D11">
        <w:rPr>
          <w:lang w:eastAsia="zh-CN"/>
        </w:rPr>
        <w:t>°</w:t>
      </w:r>
      <w:r w:rsidR="000D1D11">
        <w:rPr>
          <w:rFonts w:hint="eastAsia"/>
          <w:lang w:eastAsia="zh-CN"/>
        </w:rPr>
        <w:t xml:space="preserve">C, but several bottles exploded and caught fire once they were picked up and prepared for another shipment. It was concluded that moist air entered the bottles during the long transit time under high temperatures causing a chemical reaction and pressure build up. The industry recommended that Catecholborane be forbidden for transport by air unless transported in pressure </w:t>
      </w:r>
      <w:r w:rsidR="000D1D11">
        <w:rPr>
          <w:lang w:eastAsia="zh-CN"/>
        </w:rPr>
        <w:t>receptacles</w:t>
      </w:r>
      <w:r w:rsidR="000D1D11">
        <w:rPr>
          <w:rFonts w:hint="eastAsia"/>
          <w:lang w:eastAsia="zh-CN"/>
        </w:rPr>
        <w:t xml:space="preserve"> and under cooled conditions. No proposal for amending the Technical Instructions was provided, but the panel was invited to discuss the incident and recommend action if deemed necessary.</w:t>
      </w:r>
    </w:p>
    <w:p w:rsidR="000D1D11" w:rsidRDefault="00F23B01" w:rsidP="00A75112">
      <w:pPr>
        <w:pStyle w:val="3Para-A2"/>
        <w:numPr>
          <w:ilvl w:val="0"/>
          <w:numId w:val="0"/>
        </w:numPr>
        <w:tabs>
          <w:tab w:val="clear" w:pos="1440"/>
          <w:tab w:val="left" w:pos="1843"/>
        </w:tabs>
        <w:spacing w:before="0" w:after="0" w:line="216" w:lineRule="auto"/>
        <w:ind w:left="1140" w:right="1140"/>
      </w:pPr>
      <w:r>
        <w:rPr>
          <w:lang w:eastAsia="zh-CN"/>
        </w:rPr>
        <w:t>2.3.6.2</w:t>
      </w:r>
      <w:r>
        <w:rPr>
          <w:lang w:eastAsia="zh-CN"/>
        </w:rPr>
        <w:tab/>
      </w:r>
      <w:r w:rsidR="000D1D11">
        <w:rPr>
          <w:lang w:eastAsia="zh-CN"/>
        </w:rPr>
        <w:t>The</w:t>
      </w:r>
      <w:r w:rsidR="000D1D11">
        <w:t xml:space="preserve"> presenter noted that she was aware of shippers who had only shipped the substance during winter months to ensure appropriate temperature control; this was of great concern recognizing that there was no method to guarantee temperature control in an aircraft cargo compartment. She also noted that several manufacturers had classified the substance the same way. There was general consensus that the substance should be forbidden for transport by air, although some cautioned against a hasty decision involving a single incident that did not occur in transport without more comprehensive information. Panel members suspected a classification problem, but whether this was due to shipper error or a limitation in the classification criteria in the regulations would need to be determined. While adding a new entry for catecholborane to Table 3-1 appeared to be a sensible solution, there were concerns that the substance could be one of a family of substances with the same properties. The need for temperature control only heightened these concerns. Although it was recognized that a comprehensive solution would require more information and further investigation by the UN Sub-Committee, the panel agreed that the status quo was not an option that could be taken based on the risks to safety what were already known. In the absence of a UN number assigned by the UNCOE and recognizing that the UN process would not be immediate, the panel recommended adding a light type entry in the Technical Instructions with a special provision assigned to it forbidding the substance for transport by air on both passenger and cargo aircraft. Transport on cargo aircraft would be possible with the approval of the State of Origin and State of the Operator. Recognizing the potential threat to safety, the panel recommended that the amendment be incorporated in the 2015-2016 Edition of the Technical Instructions by way of an addendum. The panel stressed the importance of disseminating the information quickly and as widely as possible. As such, the Secretariat would issue an electronic bulletin to States encouraging them to disseminate the information to industry, and industry participants on the panel would disseminate the information within their network of shippers.</w:t>
      </w:r>
      <w:bookmarkStart w:id="0" w:name="_GoBack"/>
      <w:bookmarkEnd w:id="0"/>
    </w:p>
    <w:p w:rsidR="00C1703D" w:rsidRPr="00C1703D" w:rsidRDefault="00C1703D" w:rsidP="00C1703D">
      <w:pPr>
        <w:pStyle w:val="SingleTxtG"/>
        <w:spacing w:before="240" w:after="0"/>
        <w:jc w:val="center"/>
        <w:rPr>
          <w:u w:val="single"/>
        </w:rPr>
      </w:pPr>
      <w:r>
        <w:rPr>
          <w:u w:val="single"/>
        </w:rPr>
        <w:tab/>
      </w:r>
      <w:r>
        <w:rPr>
          <w:u w:val="single"/>
        </w:rPr>
        <w:tab/>
      </w:r>
      <w:r>
        <w:rPr>
          <w:u w:val="single"/>
        </w:rPr>
        <w:tab/>
      </w:r>
    </w:p>
    <w:sectPr w:rsidR="00C1703D" w:rsidRPr="00C1703D" w:rsidSect="00F3171A">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98" w:rsidRDefault="00503798"/>
  </w:endnote>
  <w:endnote w:type="continuationSeparator" w:id="0">
    <w:p w:rsidR="00503798" w:rsidRDefault="00503798"/>
  </w:endnote>
  <w:endnote w:type="continuationNotice" w:id="1">
    <w:p w:rsidR="00503798" w:rsidRDefault="00503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Pr="00587799" w:rsidRDefault="00503798">
    <w:pPr>
      <w:pStyle w:val="Footer"/>
      <w:rPr>
        <w:b/>
      </w:rPr>
    </w:pPr>
    <w:r w:rsidRPr="00587799">
      <w:rPr>
        <w:b/>
      </w:rPr>
      <w:fldChar w:fldCharType="begin"/>
    </w:r>
    <w:r w:rsidRPr="00587799">
      <w:rPr>
        <w:b/>
      </w:rPr>
      <w:instrText xml:space="preserve"> PAGE   \* MERGEFORMAT </w:instrText>
    </w:r>
    <w:r w:rsidRPr="00587799">
      <w:rPr>
        <w:b/>
      </w:rPr>
      <w:fldChar w:fldCharType="separate"/>
    </w:r>
    <w:r w:rsidR="007F3A4D">
      <w:rPr>
        <w:b/>
        <w:noProof/>
      </w:rPr>
      <w:t>2</w:t>
    </w:r>
    <w:r w:rsidRPr="00587799">
      <w:rPr>
        <w:b/>
        <w:noProof/>
      </w:rPr>
      <w:fldChar w:fldCharType="end"/>
    </w:r>
  </w:p>
  <w:p w:rsidR="00503798" w:rsidRDefault="005037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Pr="00D352FD" w:rsidRDefault="00503798"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7F3A4D">
      <w:rPr>
        <w:b/>
        <w:noProof/>
        <w:sz w:val="18"/>
      </w:rPr>
      <w:t>3</w:t>
    </w:r>
    <w:r w:rsidRPr="00D352FD">
      <w:rPr>
        <w:b/>
        <w:sz w:val="18"/>
      </w:rPr>
      <w:fldChar w:fldCharType="end"/>
    </w:r>
  </w:p>
  <w:p w:rsidR="00503798" w:rsidRDefault="005037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Default="00503798">
    <w:pPr>
      <w:pStyle w:val="Footer"/>
    </w:pPr>
    <w:r>
      <w:rPr>
        <w:noProof/>
        <w:lang w:eastAsia="en-GB"/>
      </w:rPr>
      <w:drawing>
        <wp:anchor distT="0" distB="0" distL="114300" distR="114300" simplePos="0" relativeHeight="251657728" behindDoc="0" locked="1" layoutInCell="1" allowOverlap="1" wp14:anchorId="36CB43F0" wp14:editId="2EFA1C0A">
          <wp:simplePos x="0" y="0"/>
          <wp:positionH relativeFrom="column">
            <wp:posOffset>5148580</wp:posOffset>
          </wp:positionH>
          <wp:positionV relativeFrom="paragraph">
            <wp:posOffset>37465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798" w:rsidRPr="00D352FD" w:rsidRDefault="0050379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98" w:rsidRPr="000B175B" w:rsidRDefault="00503798" w:rsidP="000B175B">
      <w:pPr>
        <w:tabs>
          <w:tab w:val="right" w:pos="2155"/>
        </w:tabs>
        <w:spacing w:after="80"/>
        <w:ind w:left="680"/>
        <w:rPr>
          <w:u w:val="single"/>
        </w:rPr>
      </w:pPr>
      <w:r>
        <w:rPr>
          <w:u w:val="single"/>
        </w:rPr>
        <w:tab/>
      </w:r>
    </w:p>
  </w:footnote>
  <w:footnote w:type="continuationSeparator" w:id="0">
    <w:p w:rsidR="00503798" w:rsidRPr="00FC68B7" w:rsidRDefault="00503798" w:rsidP="00FC68B7">
      <w:pPr>
        <w:tabs>
          <w:tab w:val="left" w:pos="2155"/>
        </w:tabs>
        <w:spacing w:after="80"/>
        <w:ind w:left="680"/>
        <w:rPr>
          <w:u w:val="single"/>
        </w:rPr>
      </w:pPr>
      <w:r>
        <w:rPr>
          <w:u w:val="single"/>
        </w:rPr>
        <w:tab/>
      </w:r>
    </w:p>
  </w:footnote>
  <w:footnote w:type="continuationNotice" w:id="1">
    <w:p w:rsidR="00503798" w:rsidRDefault="005037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Default="00503798" w:rsidP="00C1703D">
    <w:pPr>
      <w:pStyle w:val="Header"/>
    </w:pPr>
    <w:r>
      <w:rPr>
        <w:lang w:val="es-ES"/>
      </w:rPr>
      <w:t>UN/SCETDG/48/INF.</w:t>
    </w:r>
    <w:r w:rsidR="00D6796D">
      <w:rPr>
        <w:lang w:val="es-ES"/>
      </w:rPr>
      <w:t>41</w:t>
    </w:r>
  </w:p>
  <w:p w:rsidR="00503798" w:rsidRPr="00D214CA" w:rsidRDefault="00503798">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Default="00503798" w:rsidP="00C1703D">
    <w:pPr>
      <w:pStyle w:val="Header"/>
      <w:jc w:val="right"/>
    </w:pPr>
    <w:r>
      <w:rPr>
        <w:lang w:val="es-ES"/>
      </w:rPr>
      <w:t>UN/SCETDG/48/INF.</w:t>
    </w:r>
    <w:r w:rsidR="007F3A4D">
      <w:rPr>
        <w:lang w:val="es-ES"/>
      </w:rPr>
      <w:t>41</w:t>
    </w:r>
  </w:p>
  <w:p w:rsidR="00503798" w:rsidRPr="00D214CA" w:rsidRDefault="00503798" w:rsidP="0062449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9451E7"/>
    <w:multiLevelType w:val="hybridMultilevel"/>
    <w:tmpl w:val="3E34D22A"/>
    <w:lvl w:ilvl="0" w:tplc="176CD4FC">
      <w:start w:val="1"/>
      <w:numFmt w:val="bullet"/>
      <w:pStyle w:val="RefPrincipal"/>
      <w:lvlText w:val=""/>
      <w:lvlJc w:val="left"/>
      <w:pPr>
        <w:tabs>
          <w:tab w:val="num" w:pos="144"/>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307749"/>
    <w:multiLevelType w:val="hybridMultilevel"/>
    <w:tmpl w:val="D1CAB7BC"/>
    <w:lvl w:ilvl="0" w:tplc="A6F21966">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CF0FD4"/>
    <w:multiLevelType w:val="hybridMultilevel"/>
    <w:tmpl w:val="88FEEBB6"/>
    <w:lvl w:ilvl="0" w:tplc="AFFCF89E">
      <w:numFmt w:val="bullet"/>
      <w:lvlText w:val="•"/>
      <w:lvlJc w:val="left"/>
      <w:pPr>
        <w:ind w:left="1689" w:hanging="555"/>
      </w:pPr>
      <w:rPr>
        <w:rFonts w:ascii="Times New Roman" w:eastAsia="Times New Roman" w:hAnsi="Times New Roman" w:cs="Times New Roman"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6">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8">
    <w:nsid w:val="46DF12DC"/>
    <w:multiLevelType w:val="multilevel"/>
    <w:tmpl w:val="79CABB00"/>
    <w:lvl w:ilvl="0">
      <w:start w:val="1"/>
      <w:numFmt w:val="lowerLetter"/>
      <w:lvlText w:val="%1)"/>
      <w:lvlJc w:val="left"/>
      <w:pPr>
        <w:tabs>
          <w:tab w:val="num" w:pos="1440"/>
        </w:tabs>
        <w:ind w:left="1800" w:hanging="360"/>
      </w:pPr>
      <w:rPr>
        <w:rFonts w:hint="default"/>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480F3245"/>
    <w:multiLevelType w:val="multilevel"/>
    <w:tmpl w:val="32C2850C"/>
    <w:lvl w:ilvl="0">
      <w:start w:val="1"/>
      <w:numFmt w:val="decimal"/>
      <w:pStyle w:val="1Heading-A2"/>
      <w:lvlText w:val="2.%1"/>
      <w:lvlJc w:val="left"/>
      <w:pPr>
        <w:tabs>
          <w:tab w:val="num" w:pos="720"/>
        </w:tabs>
        <w:ind w:left="720" w:hanging="720"/>
      </w:pPr>
      <w:rPr>
        <w:rFonts w:ascii="Times New Roman" w:hAnsi="Times New Roman" w:cs="Times New Roman"/>
        <w:b w:val="0"/>
        <w:sz w:val="22"/>
      </w:rPr>
    </w:lvl>
    <w:lvl w:ilvl="1">
      <w:start w:val="1"/>
      <w:numFmt w:val="decimal"/>
      <w:pStyle w:val="2Para-A2"/>
      <w:lvlText w:val="2.%1.%2"/>
      <w:lvlJc w:val="left"/>
      <w:pPr>
        <w:tabs>
          <w:tab w:val="num" w:pos="0"/>
        </w:tabs>
        <w:ind w:left="0" w:firstLine="0"/>
      </w:pPr>
      <w:rPr>
        <w:rFonts w:ascii="Times New Roman" w:hAnsi="Times New Roman" w:cs="Times New Roman"/>
        <w:b w:val="0"/>
        <w:i w:val="0"/>
        <w:sz w:val="22"/>
      </w:rPr>
    </w:lvl>
    <w:lvl w:ilvl="2">
      <w:start w:val="1"/>
      <w:numFmt w:val="decimal"/>
      <w:pStyle w:val="3Para-A2"/>
      <w:lvlText w:val="2.%1.%2.%3"/>
      <w:lvlJc w:val="left"/>
      <w:pPr>
        <w:tabs>
          <w:tab w:val="num" w:pos="0"/>
        </w:tabs>
        <w:ind w:left="0" w:firstLine="0"/>
      </w:pPr>
      <w:rPr>
        <w:rFonts w:ascii="Times New Roman" w:hAnsi="Times New Roman" w:cs="Times New Roman"/>
        <w:b w:val="0"/>
        <w:sz w:val="22"/>
      </w:rPr>
    </w:lvl>
    <w:lvl w:ilvl="3">
      <w:start w:val="1"/>
      <w:numFmt w:val="decimal"/>
      <w:pStyle w:val="4Para-A2"/>
      <w:lvlText w:val="2.%1.%2.%3.%4"/>
      <w:lvlJc w:val="left"/>
      <w:pPr>
        <w:tabs>
          <w:tab w:val="num" w:pos="0"/>
        </w:tabs>
        <w:ind w:left="0" w:firstLine="0"/>
      </w:pPr>
      <w:rPr>
        <w:rFonts w:ascii="Times New Roman" w:hAnsi="Times New Roman" w:cs="Times New Roman"/>
        <w:b w:val="0"/>
        <w:sz w:val="22"/>
      </w:rPr>
    </w:lvl>
    <w:lvl w:ilvl="4">
      <w:start w:val="1"/>
      <w:numFmt w:val="decimal"/>
      <w:pStyle w:val="5Para-A2"/>
      <w:lvlText w:val="2.%1.%2.%3.%4.%5"/>
      <w:lvlJc w:val="left"/>
      <w:pPr>
        <w:tabs>
          <w:tab w:val="num" w:pos="0"/>
        </w:tabs>
        <w:ind w:left="0" w:firstLine="0"/>
      </w:pPr>
      <w:rPr>
        <w:rFonts w:ascii="Times New Roman" w:hAnsi="Times New Roman" w:cs="Times New Roman"/>
        <w:b w:val="0"/>
        <w:sz w:val="22"/>
      </w:rPr>
    </w:lvl>
    <w:lvl w:ilvl="5">
      <w:start w:val="1"/>
      <w:numFmt w:val="decimal"/>
      <w:pStyle w:val="6Para-A2"/>
      <w:lvlText w:val="2.%1.%2.%3.%4.%5.%6"/>
      <w:lvlJc w:val="left"/>
      <w:pPr>
        <w:tabs>
          <w:tab w:val="num" w:pos="0"/>
        </w:tabs>
        <w:ind w:left="0" w:firstLine="0"/>
      </w:pPr>
      <w:rPr>
        <w:rFonts w:ascii="Times New Roman" w:hAnsi="Times New Roman" w:cs="Times New Roman"/>
        <w:b w:val="0"/>
        <w:sz w:val="22"/>
      </w:rPr>
    </w:lvl>
    <w:lvl w:ilvl="6">
      <w:start w:val="1"/>
      <w:numFmt w:val="decimal"/>
      <w:pStyle w:val="7Para-A2"/>
      <w:lvlText w:val="2.%1.%2.%3.%4.%5.%6.%7"/>
      <w:lvlJc w:val="left"/>
      <w:pPr>
        <w:tabs>
          <w:tab w:val="num" w:pos="0"/>
        </w:tabs>
        <w:ind w:left="0" w:firstLine="0"/>
      </w:pPr>
      <w:rPr>
        <w:rFonts w:ascii="Times New Roman" w:hAnsi="Times New Roman" w:cs="Times New Roman"/>
        <w:b w:val="0"/>
        <w:sz w:val="22"/>
      </w:rPr>
    </w:lvl>
    <w:lvl w:ilvl="7">
      <w:start w:val="1"/>
      <w:numFmt w:val="decimal"/>
      <w:pStyle w:val="8Para-A2"/>
      <w:lvlText w:val="2.%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ind w:left="3240" w:hanging="360"/>
      </w:pPr>
    </w:lvl>
  </w:abstractNum>
  <w:abstractNum w:abstractNumId="20">
    <w:nsid w:val="496F7C16"/>
    <w:multiLevelType w:val="hybridMultilevel"/>
    <w:tmpl w:val="4386FE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1">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2">
    <w:nsid w:val="5C9049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7">
    <w:nsid w:val="734A2538"/>
    <w:multiLevelType w:val="hybridMultilevel"/>
    <w:tmpl w:val="2BFCB0A2"/>
    <w:lvl w:ilvl="0" w:tplc="B100CC52">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81C2030"/>
    <w:multiLevelType w:val="hybridMultilevel"/>
    <w:tmpl w:val="60E21C4C"/>
    <w:lvl w:ilvl="0" w:tplc="337EF4B4">
      <w:start w:val="2"/>
      <w:numFmt w:val="lowerLetter"/>
      <w:lvlText w:val="(%1)"/>
      <w:lvlJc w:val="left"/>
      <w:pPr>
        <w:tabs>
          <w:tab w:val="num" w:pos="1128"/>
        </w:tabs>
        <w:ind w:left="1128" w:hanging="516"/>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0">
    <w:nsid w:val="786746DA"/>
    <w:multiLevelType w:val="hybridMultilevel"/>
    <w:tmpl w:val="569C1BC8"/>
    <w:lvl w:ilvl="0" w:tplc="2392ED9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1">
    <w:nsid w:val="7B780609"/>
    <w:multiLevelType w:val="hybridMultilevel"/>
    <w:tmpl w:val="52EEEA04"/>
    <w:lvl w:ilvl="0" w:tplc="CCB48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3">
    <w:nsid w:val="7E0C5B38"/>
    <w:multiLevelType w:val="hybridMultilevel"/>
    <w:tmpl w:val="9B022478"/>
    <w:lvl w:ilvl="0" w:tplc="A7DE6048">
      <w:start w:val="1"/>
      <w:numFmt w:val="decimal"/>
      <w:lvlText w:val="%1."/>
      <w:lvlJc w:val="left"/>
      <w:pPr>
        <w:ind w:left="1080" w:hanging="360"/>
      </w:pPr>
    </w:lvl>
    <w:lvl w:ilvl="1" w:tplc="6C56B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3"/>
  </w:num>
  <w:num w:numId="13">
    <w:abstractNumId w:val="10"/>
  </w:num>
  <w:num w:numId="14">
    <w:abstractNumId w:val="25"/>
  </w:num>
  <w:num w:numId="15">
    <w:abstractNumId w:val="28"/>
  </w:num>
  <w:num w:numId="16">
    <w:abstractNumId w:val="16"/>
  </w:num>
  <w:num w:numId="17">
    <w:abstractNumId w:val="26"/>
  </w:num>
  <w:num w:numId="18">
    <w:abstractNumId w:val="34"/>
  </w:num>
  <w:num w:numId="19">
    <w:abstractNumId w:val="21"/>
  </w:num>
  <w:num w:numId="20">
    <w:abstractNumId w:val="23"/>
  </w:num>
  <w:num w:numId="21">
    <w:abstractNumId w:val="32"/>
  </w:num>
  <w:num w:numId="22">
    <w:abstractNumId w:val="17"/>
  </w:num>
  <w:num w:numId="23">
    <w:abstractNumId w:val="29"/>
  </w:num>
  <w:num w:numId="24">
    <w:abstractNumId w:val="14"/>
  </w:num>
  <w:num w:numId="25">
    <w:abstractNumId w:val="31"/>
  </w:num>
  <w:num w:numId="26">
    <w:abstractNumId w:val="30"/>
  </w:num>
  <w:num w:numId="27">
    <w:abstractNumId w:val="33"/>
  </w:num>
  <w:num w:numId="28">
    <w:abstractNumId w:val="27"/>
  </w:num>
  <w:num w:numId="29">
    <w:abstractNumId w:val="20"/>
  </w:num>
  <w:num w:numId="30">
    <w:abstractNumId w:val="15"/>
  </w:num>
  <w:num w:numId="31">
    <w:abstractNumId w:val="12"/>
  </w:num>
  <w:num w:numId="32">
    <w:abstractNumId w:val="11"/>
  </w:num>
  <w:num w:numId="33">
    <w:abstractNumId w:val="18"/>
  </w:num>
  <w:num w:numId="34">
    <w:abstractNumId w:val="22"/>
  </w:num>
  <w:num w:numId="35">
    <w:abstractNumId w:val="19"/>
  </w:num>
  <w:num w:numId="3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2AD"/>
    <w:rsid w:val="000033C6"/>
    <w:rsid w:val="00007A75"/>
    <w:rsid w:val="0001180D"/>
    <w:rsid w:val="0001599D"/>
    <w:rsid w:val="000159EF"/>
    <w:rsid w:val="00020203"/>
    <w:rsid w:val="00021442"/>
    <w:rsid w:val="00025256"/>
    <w:rsid w:val="00026390"/>
    <w:rsid w:val="00027110"/>
    <w:rsid w:val="000273EE"/>
    <w:rsid w:val="00027F96"/>
    <w:rsid w:val="00030E15"/>
    <w:rsid w:val="00040E21"/>
    <w:rsid w:val="00050F6B"/>
    <w:rsid w:val="000525D6"/>
    <w:rsid w:val="00060080"/>
    <w:rsid w:val="00064E6C"/>
    <w:rsid w:val="0006667B"/>
    <w:rsid w:val="00070795"/>
    <w:rsid w:val="00072C8C"/>
    <w:rsid w:val="000763CA"/>
    <w:rsid w:val="00077F85"/>
    <w:rsid w:val="0008550C"/>
    <w:rsid w:val="00091419"/>
    <w:rsid w:val="000931C0"/>
    <w:rsid w:val="000940DC"/>
    <w:rsid w:val="000A363F"/>
    <w:rsid w:val="000B175B"/>
    <w:rsid w:val="000B1C33"/>
    <w:rsid w:val="000B3A0F"/>
    <w:rsid w:val="000B5C94"/>
    <w:rsid w:val="000C35D4"/>
    <w:rsid w:val="000C7A13"/>
    <w:rsid w:val="000D1D11"/>
    <w:rsid w:val="000D698F"/>
    <w:rsid w:val="000D700D"/>
    <w:rsid w:val="000E0415"/>
    <w:rsid w:val="000E3CBC"/>
    <w:rsid w:val="000E3E09"/>
    <w:rsid w:val="000E6FC9"/>
    <w:rsid w:val="000F5DD8"/>
    <w:rsid w:val="000F641A"/>
    <w:rsid w:val="000F7D68"/>
    <w:rsid w:val="0010483E"/>
    <w:rsid w:val="001053BC"/>
    <w:rsid w:val="00111B27"/>
    <w:rsid w:val="00112884"/>
    <w:rsid w:val="00112F02"/>
    <w:rsid w:val="00116226"/>
    <w:rsid w:val="0011688B"/>
    <w:rsid w:val="00117787"/>
    <w:rsid w:val="0012195D"/>
    <w:rsid w:val="001248E7"/>
    <w:rsid w:val="0012717F"/>
    <w:rsid w:val="00131D42"/>
    <w:rsid w:val="001350DA"/>
    <w:rsid w:val="00136D16"/>
    <w:rsid w:val="00136EE5"/>
    <w:rsid w:val="001450B5"/>
    <w:rsid w:val="001500EA"/>
    <w:rsid w:val="0015326E"/>
    <w:rsid w:val="001543A5"/>
    <w:rsid w:val="001633FB"/>
    <w:rsid w:val="0016659E"/>
    <w:rsid w:val="00171FC6"/>
    <w:rsid w:val="001748B3"/>
    <w:rsid w:val="00174DC2"/>
    <w:rsid w:val="001755C2"/>
    <w:rsid w:val="0018325A"/>
    <w:rsid w:val="001907FB"/>
    <w:rsid w:val="00190DE0"/>
    <w:rsid w:val="0019356C"/>
    <w:rsid w:val="0019389A"/>
    <w:rsid w:val="00195CD1"/>
    <w:rsid w:val="0019627D"/>
    <w:rsid w:val="001A2809"/>
    <w:rsid w:val="001A3C06"/>
    <w:rsid w:val="001A4BC7"/>
    <w:rsid w:val="001A6EC1"/>
    <w:rsid w:val="001B1039"/>
    <w:rsid w:val="001B36E1"/>
    <w:rsid w:val="001B4B04"/>
    <w:rsid w:val="001C0A92"/>
    <w:rsid w:val="001C6663"/>
    <w:rsid w:val="001C7895"/>
    <w:rsid w:val="001D26DF"/>
    <w:rsid w:val="001D2FDC"/>
    <w:rsid w:val="001D324A"/>
    <w:rsid w:val="001D3309"/>
    <w:rsid w:val="001D3887"/>
    <w:rsid w:val="001D4B7D"/>
    <w:rsid w:val="001E1608"/>
    <w:rsid w:val="001E1F95"/>
    <w:rsid w:val="001E3689"/>
    <w:rsid w:val="00206125"/>
    <w:rsid w:val="00211E0B"/>
    <w:rsid w:val="0021549E"/>
    <w:rsid w:val="00221BEE"/>
    <w:rsid w:val="00222A65"/>
    <w:rsid w:val="002309A7"/>
    <w:rsid w:val="00231DCE"/>
    <w:rsid w:val="00233C96"/>
    <w:rsid w:val="002344CD"/>
    <w:rsid w:val="00235678"/>
    <w:rsid w:val="00237785"/>
    <w:rsid w:val="00241466"/>
    <w:rsid w:val="002454FD"/>
    <w:rsid w:val="00245DA0"/>
    <w:rsid w:val="00246621"/>
    <w:rsid w:val="00246C32"/>
    <w:rsid w:val="0026552D"/>
    <w:rsid w:val="00266C3D"/>
    <w:rsid w:val="002725CA"/>
    <w:rsid w:val="00273219"/>
    <w:rsid w:val="00280105"/>
    <w:rsid w:val="00280EB7"/>
    <w:rsid w:val="00281EDF"/>
    <w:rsid w:val="00296E02"/>
    <w:rsid w:val="002A11A8"/>
    <w:rsid w:val="002A1F97"/>
    <w:rsid w:val="002A43E5"/>
    <w:rsid w:val="002A5848"/>
    <w:rsid w:val="002B1CDA"/>
    <w:rsid w:val="002B5B24"/>
    <w:rsid w:val="002C13A6"/>
    <w:rsid w:val="002C1C7E"/>
    <w:rsid w:val="002C39FF"/>
    <w:rsid w:val="002C50B6"/>
    <w:rsid w:val="002D31F0"/>
    <w:rsid w:val="002D4D3D"/>
    <w:rsid w:val="002D7E83"/>
    <w:rsid w:val="002E01D0"/>
    <w:rsid w:val="002E0B1B"/>
    <w:rsid w:val="002E0B84"/>
    <w:rsid w:val="002E49A3"/>
    <w:rsid w:val="002F544D"/>
    <w:rsid w:val="002F749B"/>
    <w:rsid w:val="003007E3"/>
    <w:rsid w:val="0030282E"/>
    <w:rsid w:val="00302C0A"/>
    <w:rsid w:val="00302D74"/>
    <w:rsid w:val="00304E20"/>
    <w:rsid w:val="003065AA"/>
    <w:rsid w:val="00307115"/>
    <w:rsid w:val="003073BE"/>
    <w:rsid w:val="003107FA"/>
    <w:rsid w:val="003113A4"/>
    <w:rsid w:val="0031210B"/>
    <w:rsid w:val="0031261E"/>
    <w:rsid w:val="00313AEE"/>
    <w:rsid w:val="00314BF3"/>
    <w:rsid w:val="0031738D"/>
    <w:rsid w:val="003207D1"/>
    <w:rsid w:val="003229D8"/>
    <w:rsid w:val="00324F41"/>
    <w:rsid w:val="00325D96"/>
    <w:rsid w:val="0033078E"/>
    <w:rsid w:val="003310A6"/>
    <w:rsid w:val="003327D8"/>
    <w:rsid w:val="00336D59"/>
    <w:rsid w:val="0034100F"/>
    <w:rsid w:val="00343B80"/>
    <w:rsid w:val="00343C5F"/>
    <w:rsid w:val="00344DB3"/>
    <w:rsid w:val="0035093F"/>
    <w:rsid w:val="0035378F"/>
    <w:rsid w:val="0036086B"/>
    <w:rsid w:val="00361486"/>
    <w:rsid w:val="00362A80"/>
    <w:rsid w:val="0036414B"/>
    <w:rsid w:val="00366F3D"/>
    <w:rsid w:val="0036710F"/>
    <w:rsid w:val="00382BE7"/>
    <w:rsid w:val="0039277A"/>
    <w:rsid w:val="00392B57"/>
    <w:rsid w:val="00394A4A"/>
    <w:rsid w:val="003972E0"/>
    <w:rsid w:val="003977C2"/>
    <w:rsid w:val="003A07E5"/>
    <w:rsid w:val="003A2EEA"/>
    <w:rsid w:val="003B02FF"/>
    <w:rsid w:val="003B109A"/>
    <w:rsid w:val="003C21DB"/>
    <w:rsid w:val="003C2CC4"/>
    <w:rsid w:val="003C323B"/>
    <w:rsid w:val="003C5566"/>
    <w:rsid w:val="003C6103"/>
    <w:rsid w:val="003D3D2C"/>
    <w:rsid w:val="003D4B23"/>
    <w:rsid w:val="003D6D01"/>
    <w:rsid w:val="003E004F"/>
    <w:rsid w:val="003E16F3"/>
    <w:rsid w:val="003E7707"/>
    <w:rsid w:val="003F43B1"/>
    <w:rsid w:val="003F4773"/>
    <w:rsid w:val="003F561D"/>
    <w:rsid w:val="003F5B51"/>
    <w:rsid w:val="003F7598"/>
    <w:rsid w:val="00406185"/>
    <w:rsid w:val="00411BC4"/>
    <w:rsid w:val="00412F27"/>
    <w:rsid w:val="004137A5"/>
    <w:rsid w:val="00414546"/>
    <w:rsid w:val="0042004A"/>
    <w:rsid w:val="0042123B"/>
    <w:rsid w:val="00423F72"/>
    <w:rsid w:val="00426D4A"/>
    <w:rsid w:val="00430DA5"/>
    <w:rsid w:val="00432011"/>
    <w:rsid w:val="004325CB"/>
    <w:rsid w:val="004345E0"/>
    <w:rsid w:val="00437E46"/>
    <w:rsid w:val="00437F3F"/>
    <w:rsid w:val="004420E4"/>
    <w:rsid w:val="00446DE4"/>
    <w:rsid w:val="00447967"/>
    <w:rsid w:val="00452D7D"/>
    <w:rsid w:val="00454036"/>
    <w:rsid w:val="00455263"/>
    <w:rsid w:val="00460958"/>
    <w:rsid w:val="00461C3B"/>
    <w:rsid w:val="00462B5A"/>
    <w:rsid w:val="004645EA"/>
    <w:rsid w:val="00471292"/>
    <w:rsid w:val="00477677"/>
    <w:rsid w:val="004800E7"/>
    <w:rsid w:val="00480B9E"/>
    <w:rsid w:val="0048196A"/>
    <w:rsid w:val="0048372B"/>
    <w:rsid w:val="00492426"/>
    <w:rsid w:val="00492832"/>
    <w:rsid w:val="004962B4"/>
    <w:rsid w:val="00496FCF"/>
    <w:rsid w:val="0049730E"/>
    <w:rsid w:val="004A143F"/>
    <w:rsid w:val="004B01B8"/>
    <w:rsid w:val="004B2C9D"/>
    <w:rsid w:val="004C04BC"/>
    <w:rsid w:val="004C52AC"/>
    <w:rsid w:val="004C6C73"/>
    <w:rsid w:val="004C74AE"/>
    <w:rsid w:val="004C7C9C"/>
    <w:rsid w:val="004D4897"/>
    <w:rsid w:val="004D574F"/>
    <w:rsid w:val="004D60B4"/>
    <w:rsid w:val="004D631D"/>
    <w:rsid w:val="004E286E"/>
    <w:rsid w:val="004E4CCC"/>
    <w:rsid w:val="004E7252"/>
    <w:rsid w:val="004F44EC"/>
    <w:rsid w:val="004F45B6"/>
    <w:rsid w:val="00503798"/>
    <w:rsid w:val="00504E59"/>
    <w:rsid w:val="005054EE"/>
    <w:rsid w:val="00511255"/>
    <w:rsid w:val="005165FE"/>
    <w:rsid w:val="00517A3F"/>
    <w:rsid w:val="00520033"/>
    <w:rsid w:val="005201AE"/>
    <w:rsid w:val="00520847"/>
    <w:rsid w:val="00523059"/>
    <w:rsid w:val="00523965"/>
    <w:rsid w:val="00523D26"/>
    <w:rsid w:val="005240B4"/>
    <w:rsid w:val="0052436D"/>
    <w:rsid w:val="00527910"/>
    <w:rsid w:val="005355FB"/>
    <w:rsid w:val="00537105"/>
    <w:rsid w:val="005420F2"/>
    <w:rsid w:val="0054543E"/>
    <w:rsid w:val="00545561"/>
    <w:rsid w:val="005504CE"/>
    <w:rsid w:val="00557CAC"/>
    <w:rsid w:val="00570BD2"/>
    <w:rsid w:val="00575156"/>
    <w:rsid w:val="0057581A"/>
    <w:rsid w:val="005761C0"/>
    <w:rsid w:val="00576D2F"/>
    <w:rsid w:val="00577FFB"/>
    <w:rsid w:val="00582B84"/>
    <w:rsid w:val="0058567E"/>
    <w:rsid w:val="00586D1A"/>
    <w:rsid w:val="0058720B"/>
    <w:rsid w:val="00587799"/>
    <w:rsid w:val="00590144"/>
    <w:rsid w:val="00597262"/>
    <w:rsid w:val="005A4308"/>
    <w:rsid w:val="005B11B6"/>
    <w:rsid w:val="005B3DB3"/>
    <w:rsid w:val="005B4DC6"/>
    <w:rsid w:val="005C16E0"/>
    <w:rsid w:val="005C3789"/>
    <w:rsid w:val="005D00D9"/>
    <w:rsid w:val="005D16B7"/>
    <w:rsid w:val="005E6081"/>
    <w:rsid w:val="005E64C2"/>
    <w:rsid w:val="005E7E0D"/>
    <w:rsid w:val="005E7EFC"/>
    <w:rsid w:val="005F2A5D"/>
    <w:rsid w:val="00602CE8"/>
    <w:rsid w:val="006069EF"/>
    <w:rsid w:val="00610992"/>
    <w:rsid w:val="00610F39"/>
    <w:rsid w:val="00611FC4"/>
    <w:rsid w:val="006120D7"/>
    <w:rsid w:val="00615807"/>
    <w:rsid w:val="006176FB"/>
    <w:rsid w:val="00623495"/>
    <w:rsid w:val="006234DD"/>
    <w:rsid w:val="0062449B"/>
    <w:rsid w:val="00624DC2"/>
    <w:rsid w:val="006250E3"/>
    <w:rsid w:val="0063419C"/>
    <w:rsid w:val="00640B26"/>
    <w:rsid w:val="00644147"/>
    <w:rsid w:val="00644A62"/>
    <w:rsid w:val="006500BA"/>
    <w:rsid w:val="0065287C"/>
    <w:rsid w:val="00654210"/>
    <w:rsid w:val="006623FD"/>
    <w:rsid w:val="0066601C"/>
    <w:rsid w:val="006700B3"/>
    <w:rsid w:val="00676D1B"/>
    <w:rsid w:val="006847C1"/>
    <w:rsid w:val="00684E5B"/>
    <w:rsid w:val="006861C4"/>
    <w:rsid w:val="006868CE"/>
    <w:rsid w:val="00687A4F"/>
    <w:rsid w:val="00692A7A"/>
    <w:rsid w:val="00692BBF"/>
    <w:rsid w:val="00693528"/>
    <w:rsid w:val="00694BDB"/>
    <w:rsid w:val="00694DB9"/>
    <w:rsid w:val="006964E2"/>
    <w:rsid w:val="006A31E7"/>
    <w:rsid w:val="006A4FF4"/>
    <w:rsid w:val="006A7392"/>
    <w:rsid w:val="006A7886"/>
    <w:rsid w:val="006B2614"/>
    <w:rsid w:val="006B54B0"/>
    <w:rsid w:val="006C0D34"/>
    <w:rsid w:val="006C19F2"/>
    <w:rsid w:val="006C7261"/>
    <w:rsid w:val="006C7E11"/>
    <w:rsid w:val="006E4568"/>
    <w:rsid w:val="006E564B"/>
    <w:rsid w:val="006F1AFD"/>
    <w:rsid w:val="006F3E5A"/>
    <w:rsid w:val="00703434"/>
    <w:rsid w:val="00706CF0"/>
    <w:rsid w:val="00713695"/>
    <w:rsid w:val="00714353"/>
    <w:rsid w:val="0071612E"/>
    <w:rsid w:val="007215CA"/>
    <w:rsid w:val="0072632A"/>
    <w:rsid w:val="00731080"/>
    <w:rsid w:val="00733D54"/>
    <w:rsid w:val="00734718"/>
    <w:rsid w:val="00740FD7"/>
    <w:rsid w:val="007523B9"/>
    <w:rsid w:val="007528A8"/>
    <w:rsid w:val="00753E56"/>
    <w:rsid w:val="00756568"/>
    <w:rsid w:val="00757D9F"/>
    <w:rsid w:val="00762429"/>
    <w:rsid w:val="00766574"/>
    <w:rsid w:val="00766662"/>
    <w:rsid w:val="00767E04"/>
    <w:rsid w:val="007735C6"/>
    <w:rsid w:val="007760C6"/>
    <w:rsid w:val="007771E7"/>
    <w:rsid w:val="00781C48"/>
    <w:rsid w:val="00781DBA"/>
    <w:rsid w:val="00783A50"/>
    <w:rsid w:val="00787151"/>
    <w:rsid w:val="00790791"/>
    <w:rsid w:val="007907C5"/>
    <w:rsid w:val="00790B4D"/>
    <w:rsid w:val="0079308F"/>
    <w:rsid w:val="00796199"/>
    <w:rsid w:val="007979F3"/>
    <w:rsid w:val="007A6660"/>
    <w:rsid w:val="007B20A9"/>
    <w:rsid w:val="007B2AE6"/>
    <w:rsid w:val="007B2B56"/>
    <w:rsid w:val="007B6BA5"/>
    <w:rsid w:val="007C3390"/>
    <w:rsid w:val="007C4F4B"/>
    <w:rsid w:val="007C56D2"/>
    <w:rsid w:val="007C7159"/>
    <w:rsid w:val="007E2266"/>
    <w:rsid w:val="007E25DE"/>
    <w:rsid w:val="007E650F"/>
    <w:rsid w:val="007E7DDA"/>
    <w:rsid w:val="007E7E3F"/>
    <w:rsid w:val="007F2402"/>
    <w:rsid w:val="007F3A4D"/>
    <w:rsid w:val="007F55FD"/>
    <w:rsid w:val="007F6611"/>
    <w:rsid w:val="007F66F9"/>
    <w:rsid w:val="00801547"/>
    <w:rsid w:val="008016A5"/>
    <w:rsid w:val="00801882"/>
    <w:rsid w:val="008028C7"/>
    <w:rsid w:val="008175E9"/>
    <w:rsid w:val="0082011D"/>
    <w:rsid w:val="00820C9B"/>
    <w:rsid w:val="008229C9"/>
    <w:rsid w:val="00823A99"/>
    <w:rsid w:val="008242D7"/>
    <w:rsid w:val="00827667"/>
    <w:rsid w:val="008309A5"/>
    <w:rsid w:val="00832A9A"/>
    <w:rsid w:val="008463F9"/>
    <w:rsid w:val="0085128E"/>
    <w:rsid w:val="008555F2"/>
    <w:rsid w:val="00862825"/>
    <w:rsid w:val="008644B5"/>
    <w:rsid w:val="00871FD5"/>
    <w:rsid w:val="008734C7"/>
    <w:rsid w:val="00873CC0"/>
    <w:rsid w:val="00886778"/>
    <w:rsid w:val="008979B1"/>
    <w:rsid w:val="008A6B25"/>
    <w:rsid w:val="008A6C4F"/>
    <w:rsid w:val="008A7D7C"/>
    <w:rsid w:val="008B57C5"/>
    <w:rsid w:val="008B5AD2"/>
    <w:rsid w:val="008B7671"/>
    <w:rsid w:val="008B7AF9"/>
    <w:rsid w:val="008C4BA9"/>
    <w:rsid w:val="008D4349"/>
    <w:rsid w:val="008D7089"/>
    <w:rsid w:val="008D7684"/>
    <w:rsid w:val="008E0E46"/>
    <w:rsid w:val="008F16EF"/>
    <w:rsid w:val="008F3A21"/>
    <w:rsid w:val="008F7198"/>
    <w:rsid w:val="009027C8"/>
    <w:rsid w:val="00905146"/>
    <w:rsid w:val="00915907"/>
    <w:rsid w:val="009203DB"/>
    <w:rsid w:val="009359B7"/>
    <w:rsid w:val="00936083"/>
    <w:rsid w:val="0094224B"/>
    <w:rsid w:val="00943370"/>
    <w:rsid w:val="00944344"/>
    <w:rsid w:val="00945A5D"/>
    <w:rsid w:val="0095044B"/>
    <w:rsid w:val="00955D36"/>
    <w:rsid w:val="00957678"/>
    <w:rsid w:val="00960293"/>
    <w:rsid w:val="00962788"/>
    <w:rsid w:val="00963CBA"/>
    <w:rsid w:val="009660D3"/>
    <w:rsid w:val="009667C3"/>
    <w:rsid w:val="00972515"/>
    <w:rsid w:val="00980555"/>
    <w:rsid w:val="00980BA4"/>
    <w:rsid w:val="0099124E"/>
    <w:rsid w:val="00991261"/>
    <w:rsid w:val="00992928"/>
    <w:rsid w:val="00996B55"/>
    <w:rsid w:val="0099739B"/>
    <w:rsid w:val="009A0CCA"/>
    <w:rsid w:val="009A22A1"/>
    <w:rsid w:val="009A2A17"/>
    <w:rsid w:val="009A41DC"/>
    <w:rsid w:val="009B2A5D"/>
    <w:rsid w:val="009B36B1"/>
    <w:rsid w:val="009C3671"/>
    <w:rsid w:val="009C5E41"/>
    <w:rsid w:val="009C6AA8"/>
    <w:rsid w:val="009D47CE"/>
    <w:rsid w:val="009D49A7"/>
    <w:rsid w:val="009E07F3"/>
    <w:rsid w:val="009E1FFD"/>
    <w:rsid w:val="009E3D2F"/>
    <w:rsid w:val="009F0508"/>
    <w:rsid w:val="009F0F06"/>
    <w:rsid w:val="009F2BD9"/>
    <w:rsid w:val="00A02A90"/>
    <w:rsid w:val="00A11225"/>
    <w:rsid w:val="00A1306F"/>
    <w:rsid w:val="00A1424E"/>
    <w:rsid w:val="00A1427D"/>
    <w:rsid w:val="00A16E62"/>
    <w:rsid w:val="00A23AD3"/>
    <w:rsid w:val="00A243A4"/>
    <w:rsid w:val="00A3644D"/>
    <w:rsid w:val="00A4133A"/>
    <w:rsid w:val="00A4528A"/>
    <w:rsid w:val="00A46900"/>
    <w:rsid w:val="00A523CD"/>
    <w:rsid w:val="00A52C53"/>
    <w:rsid w:val="00A575B7"/>
    <w:rsid w:val="00A650BC"/>
    <w:rsid w:val="00A70FBE"/>
    <w:rsid w:val="00A719BB"/>
    <w:rsid w:val="00A71E9E"/>
    <w:rsid w:val="00A72F22"/>
    <w:rsid w:val="00A748A6"/>
    <w:rsid w:val="00A75112"/>
    <w:rsid w:val="00A75EC9"/>
    <w:rsid w:val="00A81A51"/>
    <w:rsid w:val="00A83E8F"/>
    <w:rsid w:val="00A84BCE"/>
    <w:rsid w:val="00A85CE2"/>
    <w:rsid w:val="00A86A59"/>
    <w:rsid w:val="00A879A4"/>
    <w:rsid w:val="00A9410D"/>
    <w:rsid w:val="00AA086A"/>
    <w:rsid w:val="00AA255E"/>
    <w:rsid w:val="00AA3259"/>
    <w:rsid w:val="00AB33F7"/>
    <w:rsid w:val="00AB5F1C"/>
    <w:rsid w:val="00AC0B01"/>
    <w:rsid w:val="00AC0F0F"/>
    <w:rsid w:val="00AC1437"/>
    <w:rsid w:val="00AC7BAB"/>
    <w:rsid w:val="00AD34CF"/>
    <w:rsid w:val="00AE14FD"/>
    <w:rsid w:val="00AE15DC"/>
    <w:rsid w:val="00AE19F6"/>
    <w:rsid w:val="00AE1EFD"/>
    <w:rsid w:val="00AE2E7A"/>
    <w:rsid w:val="00AE737D"/>
    <w:rsid w:val="00AF014B"/>
    <w:rsid w:val="00AF36F5"/>
    <w:rsid w:val="00AF70E1"/>
    <w:rsid w:val="00B10932"/>
    <w:rsid w:val="00B15BBF"/>
    <w:rsid w:val="00B1765A"/>
    <w:rsid w:val="00B30179"/>
    <w:rsid w:val="00B3018A"/>
    <w:rsid w:val="00B326C3"/>
    <w:rsid w:val="00B3317B"/>
    <w:rsid w:val="00B37311"/>
    <w:rsid w:val="00B45F8C"/>
    <w:rsid w:val="00B509EA"/>
    <w:rsid w:val="00B54D63"/>
    <w:rsid w:val="00B62775"/>
    <w:rsid w:val="00B81E12"/>
    <w:rsid w:val="00B86229"/>
    <w:rsid w:val="00B87CDF"/>
    <w:rsid w:val="00B92AE4"/>
    <w:rsid w:val="00B93068"/>
    <w:rsid w:val="00B93A09"/>
    <w:rsid w:val="00BA0B17"/>
    <w:rsid w:val="00BA1C8B"/>
    <w:rsid w:val="00BA270E"/>
    <w:rsid w:val="00BB08BA"/>
    <w:rsid w:val="00BB7EA7"/>
    <w:rsid w:val="00BC03A3"/>
    <w:rsid w:val="00BC1A2E"/>
    <w:rsid w:val="00BC74E9"/>
    <w:rsid w:val="00BD3815"/>
    <w:rsid w:val="00BD44F1"/>
    <w:rsid w:val="00BD50CF"/>
    <w:rsid w:val="00BD5A29"/>
    <w:rsid w:val="00BD6746"/>
    <w:rsid w:val="00BD790F"/>
    <w:rsid w:val="00BE0E4C"/>
    <w:rsid w:val="00BE18CC"/>
    <w:rsid w:val="00BE409E"/>
    <w:rsid w:val="00BE618E"/>
    <w:rsid w:val="00BE7529"/>
    <w:rsid w:val="00BF0A10"/>
    <w:rsid w:val="00BF252E"/>
    <w:rsid w:val="00BF4D09"/>
    <w:rsid w:val="00BF4E49"/>
    <w:rsid w:val="00C024CA"/>
    <w:rsid w:val="00C07A9E"/>
    <w:rsid w:val="00C11334"/>
    <w:rsid w:val="00C140EE"/>
    <w:rsid w:val="00C1703D"/>
    <w:rsid w:val="00C201A3"/>
    <w:rsid w:val="00C26DFA"/>
    <w:rsid w:val="00C27477"/>
    <w:rsid w:val="00C27632"/>
    <w:rsid w:val="00C306AC"/>
    <w:rsid w:val="00C321F7"/>
    <w:rsid w:val="00C3356A"/>
    <w:rsid w:val="00C40934"/>
    <w:rsid w:val="00C429BE"/>
    <w:rsid w:val="00C463DD"/>
    <w:rsid w:val="00C46F02"/>
    <w:rsid w:val="00C502A4"/>
    <w:rsid w:val="00C52F16"/>
    <w:rsid w:val="00C569E3"/>
    <w:rsid w:val="00C62F76"/>
    <w:rsid w:val="00C64167"/>
    <w:rsid w:val="00C67A5F"/>
    <w:rsid w:val="00C70453"/>
    <w:rsid w:val="00C70FF3"/>
    <w:rsid w:val="00C73CF5"/>
    <w:rsid w:val="00C740E4"/>
    <w:rsid w:val="00C745C3"/>
    <w:rsid w:val="00C74F57"/>
    <w:rsid w:val="00C83FAC"/>
    <w:rsid w:val="00C8442A"/>
    <w:rsid w:val="00C8475A"/>
    <w:rsid w:val="00C95089"/>
    <w:rsid w:val="00C97FC3"/>
    <w:rsid w:val="00CA1296"/>
    <w:rsid w:val="00CA698B"/>
    <w:rsid w:val="00CB1B28"/>
    <w:rsid w:val="00CB42D6"/>
    <w:rsid w:val="00CB7A6C"/>
    <w:rsid w:val="00CC503F"/>
    <w:rsid w:val="00CD3225"/>
    <w:rsid w:val="00CD42C6"/>
    <w:rsid w:val="00CD570D"/>
    <w:rsid w:val="00CD59C7"/>
    <w:rsid w:val="00CD5A1E"/>
    <w:rsid w:val="00CD6D47"/>
    <w:rsid w:val="00CD6DB5"/>
    <w:rsid w:val="00CE40D9"/>
    <w:rsid w:val="00CE4A8F"/>
    <w:rsid w:val="00CE4BDC"/>
    <w:rsid w:val="00CE52F5"/>
    <w:rsid w:val="00CF060E"/>
    <w:rsid w:val="00CF29E5"/>
    <w:rsid w:val="00CF2FAE"/>
    <w:rsid w:val="00CF376E"/>
    <w:rsid w:val="00CF3FDA"/>
    <w:rsid w:val="00CF5670"/>
    <w:rsid w:val="00D00C19"/>
    <w:rsid w:val="00D2031B"/>
    <w:rsid w:val="00D214CA"/>
    <w:rsid w:val="00D230A1"/>
    <w:rsid w:val="00D245B8"/>
    <w:rsid w:val="00D25FE2"/>
    <w:rsid w:val="00D263AF"/>
    <w:rsid w:val="00D30763"/>
    <w:rsid w:val="00D325E1"/>
    <w:rsid w:val="00D32E45"/>
    <w:rsid w:val="00D3416A"/>
    <w:rsid w:val="00D352FD"/>
    <w:rsid w:val="00D37A2E"/>
    <w:rsid w:val="00D43252"/>
    <w:rsid w:val="00D4587D"/>
    <w:rsid w:val="00D46643"/>
    <w:rsid w:val="00D4696D"/>
    <w:rsid w:val="00D53132"/>
    <w:rsid w:val="00D55FDA"/>
    <w:rsid w:val="00D56680"/>
    <w:rsid w:val="00D603A9"/>
    <w:rsid w:val="00D6056C"/>
    <w:rsid w:val="00D620B9"/>
    <w:rsid w:val="00D6796D"/>
    <w:rsid w:val="00D71F9A"/>
    <w:rsid w:val="00D72550"/>
    <w:rsid w:val="00D753D8"/>
    <w:rsid w:val="00D814CD"/>
    <w:rsid w:val="00D81B39"/>
    <w:rsid w:val="00D84986"/>
    <w:rsid w:val="00D87F6D"/>
    <w:rsid w:val="00D9252E"/>
    <w:rsid w:val="00D92AA9"/>
    <w:rsid w:val="00D942C2"/>
    <w:rsid w:val="00D96CC5"/>
    <w:rsid w:val="00D978C6"/>
    <w:rsid w:val="00DA67AD"/>
    <w:rsid w:val="00DB2AEF"/>
    <w:rsid w:val="00DB3193"/>
    <w:rsid w:val="00DB71C2"/>
    <w:rsid w:val="00DB7C45"/>
    <w:rsid w:val="00DC0378"/>
    <w:rsid w:val="00DC3E5A"/>
    <w:rsid w:val="00DC6BF2"/>
    <w:rsid w:val="00DC7622"/>
    <w:rsid w:val="00DD217B"/>
    <w:rsid w:val="00DD7BE3"/>
    <w:rsid w:val="00DE0FD9"/>
    <w:rsid w:val="00DE38EC"/>
    <w:rsid w:val="00DE5FB9"/>
    <w:rsid w:val="00DE7C71"/>
    <w:rsid w:val="00DE7D85"/>
    <w:rsid w:val="00DE7E86"/>
    <w:rsid w:val="00DF0FAF"/>
    <w:rsid w:val="00DF22D5"/>
    <w:rsid w:val="00DF4C3C"/>
    <w:rsid w:val="00DF5494"/>
    <w:rsid w:val="00E0259F"/>
    <w:rsid w:val="00E04B26"/>
    <w:rsid w:val="00E07CE1"/>
    <w:rsid w:val="00E07FDF"/>
    <w:rsid w:val="00E10DB6"/>
    <w:rsid w:val="00E130AB"/>
    <w:rsid w:val="00E16100"/>
    <w:rsid w:val="00E22448"/>
    <w:rsid w:val="00E25509"/>
    <w:rsid w:val="00E31280"/>
    <w:rsid w:val="00E36AE0"/>
    <w:rsid w:val="00E41514"/>
    <w:rsid w:val="00E42111"/>
    <w:rsid w:val="00E458B0"/>
    <w:rsid w:val="00E45FAF"/>
    <w:rsid w:val="00E464E9"/>
    <w:rsid w:val="00E46B58"/>
    <w:rsid w:val="00E50122"/>
    <w:rsid w:val="00E53D59"/>
    <w:rsid w:val="00E5644E"/>
    <w:rsid w:val="00E60BC4"/>
    <w:rsid w:val="00E611F5"/>
    <w:rsid w:val="00E61BF1"/>
    <w:rsid w:val="00E63066"/>
    <w:rsid w:val="00E7260F"/>
    <w:rsid w:val="00E8449A"/>
    <w:rsid w:val="00E8535A"/>
    <w:rsid w:val="00E8631A"/>
    <w:rsid w:val="00E92C7F"/>
    <w:rsid w:val="00E9395E"/>
    <w:rsid w:val="00E96630"/>
    <w:rsid w:val="00EA6DDC"/>
    <w:rsid w:val="00EA772F"/>
    <w:rsid w:val="00EB2AE2"/>
    <w:rsid w:val="00EB6832"/>
    <w:rsid w:val="00EC04D8"/>
    <w:rsid w:val="00EC1214"/>
    <w:rsid w:val="00ED30E9"/>
    <w:rsid w:val="00ED4C0B"/>
    <w:rsid w:val="00ED6653"/>
    <w:rsid w:val="00ED7772"/>
    <w:rsid w:val="00ED7A2A"/>
    <w:rsid w:val="00EE257F"/>
    <w:rsid w:val="00EE4966"/>
    <w:rsid w:val="00EF1D7F"/>
    <w:rsid w:val="00EF22F4"/>
    <w:rsid w:val="00EF582C"/>
    <w:rsid w:val="00EF5A8D"/>
    <w:rsid w:val="00F0002D"/>
    <w:rsid w:val="00F1272B"/>
    <w:rsid w:val="00F1510E"/>
    <w:rsid w:val="00F173DD"/>
    <w:rsid w:val="00F21597"/>
    <w:rsid w:val="00F23B01"/>
    <w:rsid w:val="00F2784E"/>
    <w:rsid w:val="00F3006C"/>
    <w:rsid w:val="00F3171A"/>
    <w:rsid w:val="00F350A9"/>
    <w:rsid w:val="00F40E75"/>
    <w:rsid w:val="00F42B81"/>
    <w:rsid w:val="00F438AA"/>
    <w:rsid w:val="00F441D1"/>
    <w:rsid w:val="00F50AA7"/>
    <w:rsid w:val="00F5110C"/>
    <w:rsid w:val="00F51169"/>
    <w:rsid w:val="00F5307C"/>
    <w:rsid w:val="00F54674"/>
    <w:rsid w:val="00F547C2"/>
    <w:rsid w:val="00F63B80"/>
    <w:rsid w:val="00F65530"/>
    <w:rsid w:val="00F6717A"/>
    <w:rsid w:val="00F67CA6"/>
    <w:rsid w:val="00F7751B"/>
    <w:rsid w:val="00F80AB9"/>
    <w:rsid w:val="00F83AF1"/>
    <w:rsid w:val="00F92F8C"/>
    <w:rsid w:val="00F9483C"/>
    <w:rsid w:val="00FA0E39"/>
    <w:rsid w:val="00FA5D55"/>
    <w:rsid w:val="00FA7DFD"/>
    <w:rsid w:val="00FB5F72"/>
    <w:rsid w:val="00FB61D6"/>
    <w:rsid w:val="00FC318E"/>
    <w:rsid w:val="00FC4EFC"/>
    <w:rsid w:val="00FC5F5D"/>
    <w:rsid w:val="00FC68B7"/>
    <w:rsid w:val="00FD0C57"/>
    <w:rsid w:val="00FD104C"/>
    <w:rsid w:val="00FD25C7"/>
    <w:rsid w:val="00FD3402"/>
    <w:rsid w:val="00FD4900"/>
    <w:rsid w:val="00FD50F3"/>
    <w:rsid w:val="00FD6B2B"/>
    <w:rsid w:val="00FD6B94"/>
    <w:rsid w:val="00FD72EC"/>
    <w:rsid w:val="00FE2C16"/>
    <w:rsid w:val="00FF01E5"/>
    <w:rsid w:val="00FF03BB"/>
    <w:rsid w:val="00FF37EB"/>
    <w:rsid w:val="00FF4A4D"/>
    <w:rsid w:val="00FF6A12"/>
    <w:rsid w:val="00FF6E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aliases w:val="b"/>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character" w:customStyle="1" w:styleId="SingleTxtGZchnZchn">
    <w:name w:val="_ Single Txt_G Zchn Zchn"/>
    <w:rsid w:val="00302C0A"/>
    <w:rPr>
      <w:lang w:val="en-GB" w:eastAsia="en-US" w:bidi="ar-SA"/>
    </w:rPr>
  </w:style>
  <w:style w:type="paragraph" w:customStyle="1" w:styleId="RefPrincipal">
    <w:name w:val="RefPrincipal"/>
    <w:basedOn w:val="Normal"/>
    <w:rsid w:val="00FF37EB"/>
    <w:pPr>
      <w:numPr>
        <w:numId w:val="32"/>
      </w:numPr>
      <w:tabs>
        <w:tab w:val="clear" w:pos="144"/>
        <w:tab w:val="num" w:pos="1209"/>
        <w:tab w:val="num" w:pos="2232"/>
      </w:tabs>
      <w:suppressAutoHyphens w:val="0"/>
      <w:spacing w:line="240" w:lineRule="auto"/>
      <w:ind w:left="2232" w:hanging="432"/>
      <w:jc w:val="both"/>
    </w:pPr>
    <w:rPr>
      <w:rFonts w:eastAsia="SimSun"/>
      <w:sz w:val="22"/>
      <w:szCs w:val="22"/>
    </w:rPr>
  </w:style>
  <w:style w:type="paragraph" w:customStyle="1" w:styleId="List-">
    <w:name w:val="List_-"/>
    <w:basedOn w:val="Normal"/>
    <w:rsid w:val="0033078E"/>
    <w:pPr>
      <w:tabs>
        <w:tab w:val="num" w:pos="2160"/>
      </w:tabs>
      <w:suppressAutoHyphens w:val="0"/>
      <w:autoSpaceDE w:val="0"/>
      <w:autoSpaceDN w:val="0"/>
      <w:adjustRightInd w:val="0"/>
      <w:spacing w:before="260" w:after="260" w:line="240" w:lineRule="auto"/>
      <w:ind w:left="2520" w:hanging="360"/>
      <w:jc w:val="both"/>
    </w:pPr>
    <w:rPr>
      <w:sz w:val="22"/>
      <w:szCs w:val="24"/>
    </w:rPr>
  </w:style>
  <w:style w:type="paragraph" w:customStyle="1" w:styleId="List123">
    <w:name w:val="List_1_2_3"/>
    <w:basedOn w:val="Normal"/>
    <w:rsid w:val="0033078E"/>
    <w:pPr>
      <w:tabs>
        <w:tab w:val="num" w:pos="1800"/>
      </w:tabs>
      <w:suppressAutoHyphens w:val="0"/>
      <w:autoSpaceDE w:val="0"/>
      <w:autoSpaceDN w:val="0"/>
      <w:adjustRightInd w:val="0"/>
      <w:spacing w:before="260" w:after="260" w:line="240" w:lineRule="auto"/>
      <w:ind w:left="2160" w:hanging="360"/>
      <w:jc w:val="both"/>
    </w:pPr>
    <w:rPr>
      <w:sz w:val="22"/>
      <w:szCs w:val="24"/>
    </w:rPr>
  </w:style>
  <w:style w:type="paragraph" w:customStyle="1" w:styleId="Listabc">
    <w:name w:val="List_a_b_c"/>
    <w:basedOn w:val="Normal"/>
    <w:rsid w:val="0033078E"/>
    <w:pPr>
      <w:tabs>
        <w:tab w:val="num" w:pos="1440"/>
      </w:tabs>
      <w:suppressAutoHyphens w:val="0"/>
      <w:autoSpaceDE w:val="0"/>
      <w:autoSpaceDN w:val="0"/>
      <w:adjustRightInd w:val="0"/>
      <w:spacing w:before="260" w:after="260" w:line="240" w:lineRule="auto"/>
      <w:ind w:left="1800" w:hanging="360"/>
      <w:jc w:val="both"/>
    </w:pPr>
    <w:rPr>
      <w:sz w:val="22"/>
      <w:szCs w:val="24"/>
    </w:rPr>
  </w:style>
  <w:style w:type="paragraph" w:customStyle="1" w:styleId="2Para-A2">
    <w:name w:val="2Para-A2"/>
    <w:basedOn w:val="Normal"/>
    <w:rsid w:val="000D1D11"/>
    <w:pPr>
      <w:numPr>
        <w:ilvl w:val="1"/>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3Para-A2">
    <w:name w:val="3Para-A2"/>
    <w:basedOn w:val="Normal"/>
    <w:link w:val="3Para-A2Char"/>
    <w:rsid w:val="000D1D11"/>
    <w:pPr>
      <w:numPr>
        <w:ilvl w:val="2"/>
        <w:numId w:val="35"/>
      </w:numPr>
      <w:tabs>
        <w:tab w:val="left" w:pos="1440"/>
      </w:tabs>
      <w:suppressAutoHyphens w:val="0"/>
      <w:spacing w:before="260" w:after="260" w:line="240" w:lineRule="auto"/>
      <w:jc w:val="both"/>
    </w:pPr>
    <w:rPr>
      <w:rFonts w:eastAsiaTheme="minorEastAsia"/>
      <w:sz w:val="22"/>
      <w:szCs w:val="22"/>
    </w:rPr>
  </w:style>
  <w:style w:type="character" w:customStyle="1" w:styleId="3Para-A2Char">
    <w:name w:val="3Para-A2 Char"/>
    <w:basedOn w:val="DefaultParagraphFont"/>
    <w:link w:val="3Para-A2"/>
    <w:rsid w:val="000D1D11"/>
    <w:rPr>
      <w:rFonts w:eastAsiaTheme="minorEastAsia"/>
      <w:sz w:val="22"/>
      <w:szCs w:val="22"/>
      <w:lang w:eastAsia="en-US"/>
    </w:rPr>
  </w:style>
  <w:style w:type="paragraph" w:customStyle="1" w:styleId="4Para-A2">
    <w:name w:val="4Para-A2"/>
    <w:basedOn w:val="Normal"/>
    <w:rsid w:val="000D1D11"/>
    <w:pPr>
      <w:numPr>
        <w:ilvl w:val="3"/>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5Para-A2">
    <w:name w:val="5Para-A2"/>
    <w:basedOn w:val="Normal"/>
    <w:rsid w:val="000D1D11"/>
    <w:pPr>
      <w:numPr>
        <w:ilvl w:val="4"/>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6Para-A2">
    <w:name w:val="6Para-A2"/>
    <w:basedOn w:val="Normal"/>
    <w:rsid w:val="000D1D11"/>
    <w:pPr>
      <w:numPr>
        <w:ilvl w:val="5"/>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7Para-A2">
    <w:name w:val="7Para-A2"/>
    <w:basedOn w:val="Normal"/>
    <w:rsid w:val="000D1D11"/>
    <w:pPr>
      <w:numPr>
        <w:ilvl w:val="6"/>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8Para-A2">
    <w:name w:val="8Para-A2"/>
    <w:basedOn w:val="Normal"/>
    <w:rsid w:val="000D1D11"/>
    <w:pPr>
      <w:numPr>
        <w:ilvl w:val="7"/>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2Heading-A2">
    <w:name w:val="2Heading-A2"/>
    <w:basedOn w:val="2Para-A2"/>
    <w:next w:val="3Para-A2"/>
    <w:link w:val="2Heading-A2Char"/>
    <w:rsid w:val="000D1D11"/>
    <w:pPr>
      <w:keepNext/>
      <w:tabs>
        <w:tab w:val="left" w:pos="720"/>
      </w:tabs>
      <w:ind w:left="720" w:right="2880" w:hanging="720"/>
    </w:pPr>
    <w:rPr>
      <w:b/>
    </w:rPr>
  </w:style>
  <w:style w:type="character" w:customStyle="1" w:styleId="2Heading-A2Char">
    <w:name w:val="2Heading-A2 Char"/>
    <w:basedOn w:val="DefaultParagraphFont"/>
    <w:link w:val="2Heading-A2"/>
    <w:rsid w:val="000D1D11"/>
    <w:rPr>
      <w:rFonts w:eastAsiaTheme="minorEastAsia"/>
      <w:b/>
      <w:sz w:val="22"/>
      <w:szCs w:val="22"/>
      <w:lang w:eastAsia="en-US"/>
    </w:rPr>
  </w:style>
  <w:style w:type="paragraph" w:customStyle="1" w:styleId="1Heading-A2">
    <w:name w:val="1Heading-A2"/>
    <w:basedOn w:val="TOC1"/>
    <w:next w:val="2Para-A2"/>
    <w:rsid w:val="000D1D11"/>
    <w:pPr>
      <w:keepNext/>
      <w:numPr>
        <w:numId w:val="35"/>
      </w:numPr>
      <w:tabs>
        <w:tab w:val="clear" w:pos="720"/>
        <w:tab w:val="num" w:pos="1492"/>
      </w:tabs>
      <w:suppressAutoHyphens w:val="0"/>
      <w:spacing w:before="520" w:after="260" w:line="240" w:lineRule="auto"/>
      <w:ind w:left="1492" w:right="2880" w:hanging="360"/>
    </w:pPr>
    <w:rPr>
      <w:rFonts w:eastAsiaTheme="minorEastAsia"/>
      <w:b/>
      <w:caps/>
      <w:sz w:val="22"/>
      <w:szCs w:val="22"/>
    </w:rPr>
  </w:style>
  <w:style w:type="paragraph" w:styleId="TOC1">
    <w:name w:val="toc 1"/>
    <w:basedOn w:val="Normal"/>
    <w:next w:val="Normal"/>
    <w:autoRedefine/>
    <w:rsid w:val="000D1D1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aliases w:val="b"/>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character" w:customStyle="1" w:styleId="SingleTxtGZchnZchn">
    <w:name w:val="_ Single Txt_G Zchn Zchn"/>
    <w:rsid w:val="00302C0A"/>
    <w:rPr>
      <w:lang w:val="en-GB" w:eastAsia="en-US" w:bidi="ar-SA"/>
    </w:rPr>
  </w:style>
  <w:style w:type="paragraph" w:customStyle="1" w:styleId="RefPrincipal">
    <w:name w:val="RefPrincipal"/>
    <w:basedOn w:val="Normal"/>
    <w:rsid w:val="00FF37EB"/>
    <w:pPr>
      <w:numPr>
        <w:numId w:val="32"/>
      </w:numPr>
      <w:tabs>
        <w:tab w:val="clear" w:pos="144"/>
        <w:tab w:val="num" w:pos="1209"/>
        <w:tab w:val="num" w:pos="2232"/>
      </w:tabs>
      <w:suppressAutoHyphens w:val="0"/>
      <w:spacing w:line="240" w:lineRule="auto"/>
      <w:ind w:left="2232" w:hanging="432"/>
      <w:jc w:val="both"/>
    </w:pPr>
    <w:rPr>
      <w:rFonts w:eastAsia="SimSun"/>
      <w:sz w:val="22"/>
      <w:szCs w:val="22"/>
    </w:rPr>
  </w:style>
  <w:style w:type="paragraph" w:customStyle="1" w:styleId="List-">
    <w:name w:val="List_-"/>
    <w:basedOn w:val="Normal"/>
    <w:rsid w:val="0033078E"/>
    <w:pPr>
      <w:tabs>
        <w:tab w:val="num" w:pos="2160"/>
      </w:tabs>
      <w:suppressAutoHyphens w:val="0"/>
      <w:autoSpaceDE w:val="0"/>
      <w:autoSpaceDN w:val="0"/>
      <w:adjustRightInd w:val="0"/>
      <w:spacing w:before="260" w:after="260" w:line="240" w:lineRule="auto"/>
      <w:ind w:left="2520" w:hanging="360"/>
      <w:jc w:val="both"/>
    </w:pPr>
    <w:rPr>
      <w:sz w:val="22"/>
      <w:szCs w:val="24"/>
    </w:rPr>
  </w:style>
  <w:style w:type="paragraph" w:customStyle="1" w:styleId="List123">
    <w:name w:val="List_1_2_3"/>
    <w:basedOn w:val="Normal"/>
    <w:rsid w:val="0033078E"/>
    <w:pPr>
      <w:tabs>
        <w:tab w:val="num" w:pos="1800"/>
      </w:tabs>
      <w:suppressAutoHyphens w:val="0"/>
      <w:autoSpaceDE w:val="0"/>
      <w:autoSpaceDN w:val="0"/>
      <w:adjustRightInd w:val="0"/>
      <w:spacing w:before="260" w:after="260" w:line="240" w:lineRule="auto"/>
      <w:ind w:left="2160" w:hanging="360"/>
      <w:jc w:val="both"/>
    </w:pPr>
    <w:rPr>
      <w:sz w:val="22"/>
      <w:szCs w:val="24"/>
    </w:rPr>
  </w:style>
  <w:style w:type="paragraph" w:customStyle="1" w:styleId="Listabc">
    <w:name w:val="List_a_b_c"/>
    <w:basedOn w:val="Normal"/>
    <w:rsid w:val="0033078E"/>
    <w:pPr>
      <w:tabs>
        <w:tab w:val="num" w:pos="1440"/>
      </w:tabs>
      <w:suppressAutoHyphens w:val="0"/>
      <w:autoSpaceDE w:val="0"/>
      <w:autoSpaceDN w:val="0"/>
      <w:adjustRightInd w:val="0"/>
      <w:spacing w:before="260" w:after="260" w:line="240" w:lineRule="auto"/>
      <w:ind w:left="1800" w:hanging="360"/>
      <w:jc w:val="both"/>
    </w:pPr>
    <w:rPr>
      <w:sz w:val="22"/>
      <w:szCs w:val="24"/>
    </w:rPr>
  </w:style>
  <w:style w:type="paragraph" w:customStyle="1" w:styleId="2Para-A2">
    <w:name w:val="2Para-A2"/>
    <w:basedOn w:val="Normal"/>
    <w:rsid w:val="000D1D11"/>
    <w:pPr>
      <w:numPr>
        <w:ilvl w:val="1"/>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3Para-A2">
    <w:name w:val="3Para-A2"/>
    <w:basedOn w:val="Normal"/>
    <w:link w:val="3Para-A2Char"/>
    <w:rsid w:val="000D1D11"/>
    <w:pPr>
      <w:numPr>
        <w:ilvl w:val="2"/>
        <w:numId w:val="35"/>
      </w:numPr>
      <w:tabs>
        <w:tab w:val="left" w:pos="1440"/>
      </w:tabs>
      <w:suppressAutoHyphens w:val="0"/>
      <w:spacing w:before="260" w:after="260" w:line="240" w:lineRule="auto"/>
      <w:jc w:val="both"/>
    </w:pPr>
    <w:rPr>
      <w:rFonts w:eastAsiaTheme="minorEastAsia"/>
      <w:sz w:val="22"/>
      <w:szCs w:val="22"/>
    </w:rPr>
  </w:style>
  <w:style w:type="character" w:customStyle="1" w:styleId="3Para-A2Char">
    <w:name w:val="3Para-A2 Char"/>
    <w:basedOn w:val="DefaultParagraphFont"/>
    <w:link w:val="3Para-A2"/>
    <w:rsid w:val="000D1D11"/>
    <w:rPr>
      <w:rFonts w:eastAsiaTheme="minorEastAsia"/>
      <w:sz w:val="22"/>
      <w:szCs w:val="22"/>
      <w:lang w:eastAsia="en-US"/>
    </w:rPr>
  </w:style>
  <w:style w:type="paragraph" w:customStyle="1" w:styleId="4Para-A2">
    <w:name w:val="4Para-A2"/>
    <w:basedOn w:val="Normal"/>
    <w:rsid w:val="000D1D11"/>
    <w:pPr>
      <w:numPr>
        <w:ilvl w:val="3"/>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5Para-A2">
    <w:name w:val="5Para-A2"/>
    <w:basedOn w:val="Normal"/>
    <w:rsid w:val="000D1D11"/>
    <w:pPr>
      <w:numPr>
        <w:ilvl w:val="4"/>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6Para-A2">
    <w:name w:val="6Para-A2"/>
    <w:basedOn w:val="Normal"/>
    <w:rsid w:val="000D1D11"/>
    <w:pPr>
      <w:numPr>
        <w:ilvl w:val="5"/>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7Para-A2">
    <w:name w:val="7Para-A2"/>
    <w:basedOn w:val="Normal"/>
    <w:rsid w:val="000D1D11"/>
    <w:pPr>
      <w:numPr>
        <w:ilvl w:val="6"/>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8Para-A2">
    <w:name w:val="8Para-A2"/>
    <w:basedOn w:val="Normal"/>
    <w:rsid w:val="000D1D11"/>
    <w:pPr>
      <w:numPr>
        <w:ilvl w:val="7"/>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2Heading-A2">
    <w:name w:val="2Heading-A2"/>
    <w:basedOn w:val="2Para-A2"/>
    <w:next w:val="3Para-A2"/>
    <w:link w:val="2Heading-A2Char"/>
    <w:rsid w:val="000D1D11"/>
    <w:pPr>
      <w:keepNext/>
      <w:tabs>
        <w:tab w:val="left" w:pos="720"/>
      </w:tabs>
      <w:ind w:left="720" w:right="2880" w:hanging="720"/>
    </w:pPr>
    <w:rPr>
      <w:b/>
    </w:rPr>
  </w:style>
  <w:style w:type="character" w:customStyle="1" w:styleId="2Heading-A2Char">
    <w:name w:val="2Heading-A2 Char"/>
    <w:basedOn w:val="DefaultParagraphFont"/>
    <w:link w:val="2Heading-A2"/>
    <w:rsid w:val="000D1D11"/>
    <w:rPr>
      <w:rFonts w:eastAsiaTheme="minorEastAsia"/>
      <w:b/>
      <w:sz w:val="22"/>
      <w:szCs w:val="22"/>
      <w:lang w:eastAsia="en-US"/>
    </w:rPr>
  </w:style>
  <w:style w:type="paragraph" w:customStyle="1" w:styleId="1Heading-A2">
    <w:name w:val="1Heading-A2"/>
    <w:basedOn w:val="TOC1"/>
    <w:next w:val="2Para-A2"/>
    <w:rsid w:val="000D1D11"/>
    <w:pPr>
      <w:keepNext/>
      <w:numPr>
        <w:numId w:val="35"/>
      </w:numPr>
      <w:tabs>
        <w:tab w:val="clear" w:pos="720"/>
        <w:tab w:val="num" w:pos="1492"/>
      </w:tabs>
      <w:suppressAutoHyphens w:val="0"/>
      <w:spacing w:before="520" w:after="260" w:line="240" w:lineRule="auto"/>
      <w:ind w:left="1492" w:right="2880" w:hanging="360"/>
    </w:pPr>
    <w:rPr>
      <w:rFonts w:eastAsiaTheme="minorEastAsia"/>
      <w:b/>
      <w:caps/>
      <w:sz w:val="22"/>
      <w:szCs w:val="22"/>
    </w:rPr>
  </w:style>
  <w:style w:type="paragraph" w:styleId="TOC1">
    <w:name w:val="toc 1"/>
    <w:basedOn w:val="Normal"/>
    <w:next w:val="Normal"/>
    <w:autoRedefine/>
    <w:rsid w:val="000D1D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 w:id="19688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icao.int/safety/DangerousGoods/Pages/DGP25WPs.aspx" TargetMode="External"/><Relationship Id="rId4" Type="http://schemas.microsoft.com/office/2007/relationships/stylesWithEffects" Target="stylesWithEffects.xml"/><Relationship Id="rId9" Type="http://schemas.openxmlformats.org/officeDocument/2006/relationships/hyperlink" Target="http://www.icao.int/safety/DangerousGoods/Pages/DGP25.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E826-6283-4E30-BD1E-D7CB646A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1177</Words>
  <Characters>6713</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5</cp:revision>
  <cp:lastPrinted>2015-11-26T10:37:00Z</cp:lastPrinted>
  <dcterms:created xsi:type="dcterms:W3CDTF">2015-11-26T10:27:00Z</dcterms:created>
  <dcterms:modified xsi:type="dcterms:W3CDTF">2015-11-26T10:37:00Z</dcterms:modified>
</cp:coreProperties>
</file>