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C548D4">
        <w:trPr>
          <w:cantSplit/>
          <w:trHeight w:hRule="exact" w:val="71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280D2B" w:rsidP="00891105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891105">
              <w:rPr>
                <w:b/>
                <w:sz w:val="40"/>
                <w:szCs w:val="40"/>
              </w:rPr>
              <w:t>47</w:t>
            </w:r>
          </w:p>
        </w:tc>
      </w:tr>
      <w:tr w:rsidR="00280D2B" w:rsidRPr="005A1F2E" w:rsidTr="00C548D4">
        <w:trPr>
          <w:cantSplit/>
          <w:trHeight w:val="273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EB605B" w:rsidRPr="00EB605B" w:rsidRDefault="00EB605B" w:rsidP="00EB605B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5149A9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891105">
              <w:rPr>
                <w:b/>
                <w:sz w:val="18"/>
                <w:szCs w:val="24"/>
              </w:rPr>
              <w:t>19</w:t>
            </w:r>
            <w:r w:rsidR="00C25E4C">
              <w:rPr>
                <w:b/>
                <w:sz w:val="18"/>
                <w:szCs w:val="24"/>
              </w:rPr>
              <w:t xml:space="preserve"> June</w:t>
            </w:r>
            <w:r w:rsidR="005A37A2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C548D4">
        <w:trPr>
          <w:trHeight w:val="183"/>
        </w:trPr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smartTag w:uri="urn:schemas-microsoft-com:office:smarttags" w:element="City">
              <w:smartTag w:uri="urn:schemas-microsoft-com:office:smarttags" w:element="place">
                <w:r w:rsidRPr="00F54DDA">
                  <w:t>Geneva</w:t>
                </w:r>
              </w:smartTag>
            </w:smartTag>
            <w:r w:rsidRPr="00F54DDA">
              <w:t xml:space="preserve">, 22 – </w:t>
            </w: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  <w:attr w:name="ls" w:val="trans"/>
              </w:smartTagPr>
              <w:r w:rsidRPr="00F54DDA">
                <w:t>26 June 2015</w:t>
              </w:r>
            </w:smartTag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9B0572">
              <w:t>2 (g</w:t>
            </w:r>
            <w:r w:rsidR="00971B0B">
              <w:t>)</w:t>
            </w:r>
            <w:r w:rsidRPr="00F54DDA">
              <w:t xml:space="preserve"> of the provisional agenda</w:t>
            </w:r>
          </w:p>
          <w:p w:rsidR="005149A9" w:rsidRPr="00891105" w:rsidRDefault="00E27E66" w:rsidP="00E27E66">
            <w:pPr>
              <w:ind w:left="34" w:hanging="34"/>
              <w:rPr>
                <w:b/>
              </w:rPr>
            </w:pPr>
            <w:r w:rsidRPr="00891105">
              <w:rPr>
                <w:b/>
              </w:rPr>
              <w:t>Explosives an</w:t>
            </w:r>
            <w:r w:rsidR="009B0572" w:rsidRPr="00891105">
              <w:rPr>
                <w:b/>
              </w:rPr>
              <w:t>d related matters</w:t>
            </w:r>
            <w:r w:rsidR="00891105" w:rsidRPr="00891105">
              <w:rPr>
                <w:b/>
              </w:rPr>
              <w:t>: c</w:t>
            </w:r>
            <w:r w:rsidR="00891105" w:rsidRPr="00891105">
              <w:rPr>
                <w:b/>
              </w:rPr>
              <w:t>lassification of articles under UN No. 0349</w:t>
            </w:r>
          </w:p>
          <w:p w:rsidR="00E27E66" w:rsidRPr="00E27E66" w:rsidRDefault="00E27E66" w:rsidP="00E27E66">
            <w:pPr>
              <w:ind w:left="34" w:hanging="34"/>
              <w:rPr>
                <w:b/>
              </w:rPr>
            </w:pP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E27E66" w:rsidRPr="00C548D4" w:rsidRDefault="009B0572" w:rsidP="00C548D4">
      <w:pPr>
        <w:pStyle w:val="HChG"/>
        <w:spacing w:line="240" w:lineRule="auto"/>
        <w:rPr>
          <w:sz w:val="20"/>
        </w:rPr>
      </w:pPr>
      <w:r>
        <w:tab/>
      </w:r>
      <w:r w:rsidR="00C548D4">
        <w:tab/>
      </w:r>
      <w:r>
        <w:t xml:space="preserve">Additional information related to the document </w:t>
      </w:r>
      <w:r w:rsidR="00E13997">
        <w:t>ST/SG/AC.10/C.3/2014/86</w:t>
      </w:r>
      <w:r w:rsidR="00E13997" w:rsidRPr="00600A54">
        <w:rPr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E13997">
            <w:rPr>
              <w:lang w:val="en-US"/>
            </w:rPr>
            <w:t>Italy</w:t>
          </w:r>
        </w:smartTag>
      </w:smartTag>
      <w:r w:rsidR="00E13997">
        <w:rPr>
          <w:lang w:val="en-US"/>
        </w:rPr>
        <w:t>)</w:t>
      </w:r>
      <w:r w:rsidR="00E13997" w:rsidRPr="00600A54">
        <w:rPr>
          <w:lang w:val="en-US"/>
        </w:rPr>
        <w:t xml:space="preserve"> </w:t>
      </w:r>
    </w:p>
    <w:p w:rsidR="00E27E66" w:rsidRDefault="00E27E66" w:rsidP="009B0572">
      <w:pPr>
        <w:pStyle w:val="H1G"/>
      </w:pPr>
      <w:r>
        <w:tab/>
      </w:r>
      <w:r>
        <w:tab/>
      </w:r>
      <w:r w:rsidRPr="0005111B">
        <w:t xml:space="preserve">Transmitted by the </w:t>
      </w:r>
      <w:r>
        <w:t>expert fr</w:t>
      </w:r>
      <w:r w:rsidR="009B0572">
        <w:t>om Italy</w:t>
      </w:r>
    </w:p>
    <w:p w:rsidR="00E27E66" w:rsidRPr="00A85107" w:rsidRDefault="00E27E66" w:rsidP="00E27E66">
      <w:pPr>
        <w:pStyle w:val="SingleTxtG"/>
        <w:numPr>
          <w:ilvl w:val="0"/>
          <w:numId w:val="19"/>
        </w:numPr>
        <w:ind w:left="1134" w:firstLine="0"/>
      </w:pPr>
      <w:r>
        <w:t xml:space="preserve">The purpose of this paper is to </w:t>
      </w:r>
      <w:r w:rsidR="00D35453">
        <w:t>p</w:t>
      </w:r>
      <w:r w:rsidR="00DC7E39" w:rsidRPr="00E27E66">
        <w:t>rovide a</w:t>
      </w:r>
      <w:r w:rsidR="00D35453">
        <w:t>dditional details</w:t>
      </w:r>
      <w:r w:rsidR="00D832D4">
        <w:t>,</w:t>
      </w:r>
      <w:r w:rsidR="00D35453">
        <w:t xml:space="preserve"> purely </w:t>
      </w:r>
      <w:proofErr w:type="gramStart"/>
      <w:r w:rsidR="00D35453">
        <w:t>editorial</w:t>
      </w:r>
      <w:r w:rsidR="00D832D4">
        <w:t>,</w:t>
      </w:r>
      <w:proofErr w:type="gramEnd"/>
      <w:r w:rsidR="00D35453" w:rsidRPr="00E27E66">
        <w:t xml:space="preserve"> </w:t>
      </w:r>
      <w:r w:rsidR="009B4B31" w:rsidRPr="009B4B31">
        <w:t>they</w:t>
      </w:r>
      <w:r w:rsidR="00301C88">
        <w:t xml:space="preserve"> could</w:t>
      </w:r>
      <w:r w:rsidR="009B4B31" w:rsidRPr="009B4B31">
        <w:t xml:space="preserve"> become useful </w:t>
      </w:r>
      <w:r w:rsidR="00301C88">
        <w:t>for the explosive working group as it considers th</w:t>
      </w:r>
      <w:r w:rsidR="009B0572">
        <w:t xml:space="preserve">e proposal </w:t>
      </w:r>
      <w:r w:rsidR="00D832D4">
        <w:t xml:space="preserve">as </w:t>
      </w:r>
      <w:r w:rsidR="009B0572">
        <w:t xml:space="preserve">presented in </w:t>
      </w:r>
      <w:r w:rsidR="00E13997">
        <w:t xml:space="preserve">ST/SG/AC.10/C.3/2014/86 by </w:t>
      </w:r>
      <w:r w:rsidR="009B4B31">
        <w:t xml:space="preserve">the </w:t>
      </w:r>
      <w:r w:rsidR="00E13997">
        <w:t xml:space="preserve">expert from </w:t>
      </w:r>
      <w:r w:rsidR="00E13997">
        <w:rPr>
          <w:lang w:val="en-US"/>
        </w:rPr>
        <w:t>Italy.</w:t>
      </w:r>
    </w:p>
    <w:p w:rsidR="00A85107" w:rsidRDefault="00A85107" w:rsidP="00C548D4">
      <w:pPr>
        <w:pStyle w:val="SingleTxtG"/>
        <w:numPr>
          <w:ilvl w:val="0"/>
          <w:numId w:val="19"/>
        </w:numPr>
        <w:ind w:left="1134" w:firstLine="0"/>
      </w:pPr>
      <w:r>
        <w:t>With reference to paragraphs 6, 8 and 10 of the document ST/SG/AC.10/C.3/2014/86, the Dangerous Good List for the two new UN numbers and for the two existing UN 0349 and UN 0481, would be as follows (new text underlined)</w:t>
      </w:r>
      <w:r w:rsidR="00C548D4">
        <w:t>:</w:t>
      </w:r>
    </w:p>
    <w:tbl>
      <w:tblPr>
        <w:tblW w:w="8646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55"/>
        <w:gridCol w:w="450"/>
        <w:gridCol w:w="721"/>
        <w:gridCol w:w="776"/>
        <w:gridCol w:w="771"/>
        <w:gridCol w:w="599"/>
        <w:gridCol w:w="625"/>
        <w:gridCol w:w="1264"/>
      </w:tblGrid>
      <w:tr w:rsidR="00E13D50" w:rsidRPr="00845F9B" w:rsidTr="006238C7">
        <w:trPr>
          <w:trHeight w:val="72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13D50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 xml:space="preserve">UN </w:t>
            </w:r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Name and description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Class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Sub</w:t>
            </w:r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proofErr w:type="spellStart"/>
            <w:r w:rsidRPr="007321C2">
              <w:rPr>
                <w:b/>
                <w:i/>
                <w:sz w:val="18"/>
                <w:szCs w:val="18"/>
                <w:lang w:eastAsia="ko-KR"/>
              </w:rPr>
              <w:t>Sidiary</w:t>
            </w:r>
            <w:proofErr w:type="spellEnd"/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risk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UN</w:t>
            </w:r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packing</w:t>
            </w:r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group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Special</w:t>
            </w:r>
          </w:p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provisions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Limited and excepted quantities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D6CDA" w:rsidRPr="007321C2" w:rsidRDefault="006D6CDA" w:rsidP="00E13D50">
            <w:pPr>
              <w:ind w:right="-88"/>
              <w:jc w:val="center"/>
              <w:rPr>
                <w:b/>
                <w:i/>
                <w:sz w:val="18"/>
                <w:szCs w:val="18"/>
                <w:lang w:eastAsia="ko-KR"/>
              </w:rPr>
            </w:pPr>
            <w:r w:rsidRPr="007321C2">
              <w:rPr>
                <w:b/>
                <w:i/>
                <w:sz w:val="18"/>
                <w:szCs w:val="18"/>
                <w:lang w:eastAsia="ko-KR"/>
              </w:rPr>
              <w:t>Packing instruction</w:t>
            </w:r>
          </w:p>
        </w:tc>
      </w:tr>
      <w:tr w:rsidR="00E13D50" w:rsidRPr="00845F9B" w:rsidTr="006238C7">
        <w:trPr>
          <w:trHeight w:val="17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(1)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(2)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(3)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(5)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(6)</w:t>
            </w:r>
          </w:p>
        </w:tc>
        <w:tc>
          <w:tcPr>
            <w:tcW w:w="599" w:type="dxa"/>
            <w:shd w:val="clear" w:color="auto" w:fill="auto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(7a)</w:t>
            </w:r>
          </w:p>
        </w:tc>
        <w:tc>
          <w:tcPr>
            <w:tcW w:w="625" w:type="dxa"/>
            <w:shd w:val="clear" w:color="auto" w:fill="auto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(7b)</w:t>
            </w:r>
          </w:p>
        </w:tc>
        <w:tc>
          <w:tcPr>
            <w:tcW w:w="1264" w:type="dxa"/>
            <w:shd w:val="clear" w:color="auto" w:fill="auto"/>
          </w:tcPr>
          <w:p w:rsidR="006D6CDA" w:rsidRPr="007321C2" w:rsidRDefault="006D6CDA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 w:rsidRPr="007321C2">
              <w:rPr>
                <w:b/>
                <w:i/>
                <w:sz w:val="16"/>
                <w:szCs w:val="16"/>
                <w:lang w:eastAsia="ko-KR"/>
              </w:rPr>
              <w:t>(8)</w:t>
            </w:r>
          </w:p>
        </w:tc>
      </w:tr>
      <w:tr w:rsidR="006238C7" w:rsidRPr="00845F9B" w:rsidTr="006238C7">
        <w:trPr>
          <w:trHeight w:val="19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3.1.2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2.0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2.0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2.0.1.3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3.3</w:t>
            </w:r>
          </w:p>
        </w:tc>
        <w:tc>
          <w:tcPr>
            <w:tcW w:w="599" w:type="dxa"/>
            <w:shd w:val="clear" w:color="auto" w:fill="auto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3.4</w:t>
            </w:r>
          </w:p>
        </w:tc>
        <w:tc>
          <w:tcPr>
            <w:tcW w:w="625" w:type="dxa"/>
            <w:shd w:val="clear" w:color="auto" w:fill="auto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3.5</w:t>
            </w:r>
          </w:p>
        </w:tc>
        <w:tc>
          <w:tcPr>
            <w:tcW w:w="1264" w:type="dxa"/>
            <w:shd w:val="clear" w:color="auto" w:fill="auto"/>
          </w:tcPr>
          <w:p w:rsidR="006238C7" w:rsidRPr="007321C2" w:rsidRDefault="006238C7" w:rsidP="003E33A0">
            <w:pPr>
              <w:jc w:val="center"/>
              <w:rPr>
                <w:b/>
                <w:i/>
                <w:sz w:val="16"/>
                <w:szCs w:val="16"/>
                <w:lang w:eastAsia="ko-KR"/>
              </w:rPr>
            </w:pPr>
            <w:r>
              <w:rPr>
                <w:b/>
                <w:i/>
                <w:sz w:val="16"/>
                <w:szCs w:val="16"/>
                <w:lang w:eastAsia="ko-KR"/>
              </w:rPr>
              <w:t>4.1.4</w:t>
            </w:r>
          </w:p>
        </w:tc>
      </w:tr>
      <w:tr w:rsidR="005F4250" w:rsidRPr="00845F9B" w:rsidTr="006238C7">
        <w:trPr>
          <w:trHeight w:val="10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F4250" w:rsidRPr="00E13D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0XX</w:t>
            </w:r>
            <w:r w:rsidR="00FD1636">
              <w:rPr>
                <w:sz w:val="18"/>
                <w:szCs w:val="18"/>
                <w:u w:val="single"/>
                <w:lang w:eastAsia="ko-KR"/>
              </w:rPr>
              <w:t>A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SUBSTANCES</w:t>
            </w:r>
            <w:r w:rsidRPr="00E13D50">
              <w:rPr>
                <w:sz w:val="18"/>
                <w:szCs w:val="18"/>
                <w:u w:val="single"/>
                <w:lang w:eastAsia="ko-KR"/>
              </w:rPr>
              <w:t>, EXPLOSIVE, N.O.S.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1.4S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F4250" w:rsidRPr="007321C2" w:rsidRDefault="005F4250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7321C2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F4250" w:rsidRPr="007321C2" w:rsidRDefault="005F4250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7321C2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F42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178</w:t>
            </w:r>
          </w:p>
          <w:p w:rsidR="005F42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274</w:t>
            </w:r>
          </w:p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347</w:t>
            </w:r>
          </w:p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proofErr w:type="spellStart"/>
            <w:r>
              <w:rPr>
                <w:sz w:val="18"/>
                <w:szCs w:val="18"/>
                <w:u w:val="single"/>
                <w:lang w:eastAsia="ko-KR"/>
              </w:rPr>
              <w:t>yyy</w:t>
            </w:r>
            <w:proofErr w:type="spellEnd"/>
          </w:p>
        </w:tc>
        <w:tc>
          <w:tcPr>
            <w:tcW w:w="599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E0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P</w:t>
            </w:r>
            <w:r>
              <w:rPr>
                <w:sz w:val="18"/>
                <w:szCs w:val="18"/>
                <w:u w:val="single"/>
                <w:lang w:eastAsia="ko-KR"/>
              </w:rPr>
              <w:t>101</w:t>
            </w:r>
          </w:p>
        </w:tc>
      </w:tr>
      <w:tr w:rsidR="005F4250" w:rsidRPr="00845F9B" w:rsidTr="00895525">
        <w:trPr>
          <w:trHeight w:val="10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F4250" w:rsidRPr="00E13D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0XX</w:t>
            </w:r>
            <w:r w:rsidRPr="00E13D50">
              <w:rPr>
                <w:sz w:val="18"/>
                <w:szCs w:val="18"/>
                <w:u w:val="single"/>
                <w:lang w:eastAsia="ko-KR"/>
              </w:rPr>
              <w:t>B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ARTICLES</w:t>
            </w:r>
            <w:r w:rsidRPr="00E13D50">
              <w:rPr>
                <w:sz w:val="18"/>
                <w:szCs w:val="18"/>
                <w:u w:val="single"/>
                <w:lang w:eastAsia="ko-KR"/>
              </w:rPr>
              <w:t>, EXPLOSIVE, N.O.S.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1.4S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F4250" w:rsidRPr="007321C2" w:rsidRDefault="005F4250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7321C2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F4250" w:rsidRPr="007321C2" w:rsidRDefault="005F4250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7321C2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F42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178</w:t>
            </w:r>
          </w:p>
          <w:p w:rsidR="005F4250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274</w:t>
            </w:r>
          </w:p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>
              <w:rPr>
                <w:sz w:val="18"/>
                <w:szCs w:val="18"/>
                <w:u w:val="single"/>
                <w:lang w:eastAsia="ko-KR"/>
              </w:rPr>
              <w:t>347</w:t>
            </w:r>
          </w:p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proofErr w:type="spellStart"/>
            <w:r>
              <w:rPr>
                <w:sz w:val="18"/>
                <w:szCs w:val="18"/>
                <w:u w:val="single"/>
                <w:lang w:eastAsia="ko-KR"/>
              </w:rPr>
              <w:t>yyy</w:t>
            </w:r>
            <w:proofErr w:type="spellEnd"/>
          </w:p>
        </w:tc>
        <w:tc>
          <w:tcPr>
            <w:tcW w:w="599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E0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F4250" w:rsidRPr="00845F9B" w:rsidRDefault="005F4250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r w:rsidRPr="00845F9B">
              <w:rPr>
                <w:sz w:val="18"/>
                <w:szCs w:val="18"/>
                <w:u w:val="single"/>
                <w:lang w:eastAsia="ko-KR"/>
              </w:rPr>
              <w:t>P</w:t>
            </w:r>
            <w:r>
              <w:rPr>
                <w:sz w:val="18"/>
                <w:szCs w:val="18"/>
                <w:u w:val="single"/>
                <w:lang w:eastAsia="ko-KR"/>
              </w:rPr>
              <w:t>101</w:t>
            </w:r>
          </w:p>
        </w:tc>
      </w:tr>
      <w:tr w:rsidR="006238C7" w:rsidRPr="00845F9B" w:rsidTr="00895525">
        <w:trPr>
          <w:trHeight w:val="98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38C7" w:rsidRPr="0053244C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53244C">
              <w:rPr>
                <w:sz w:val="18"/>
                <w:szCs w:val="18"/>
                <w:lang w:eastAsia="ko-KR"/>
              </w:rPr>
              <w:t>0349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ARTICLES, EXPLOSIVE, N.O.S.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1.4S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178</w:t>
            </w:r>
          </w:p>
          <w:p w:rsidR="006238C7" w:rsidRDefault="006238C7" w:rsidP="006238C7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274</w:t>
            </w:r>
          </w:p>
          <w:p w:rsidR="006238C7" w:rsidRPr="006238C7" w:rsidRDefault="006238C7" w:rsidP="006238C7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proofErr w:type="spellStart"/>
            <w:r w:rsidRPr="006238C7">
              <w:rPr>
                <w:sz w:val="18"/>
                <w:szCs w:val="18"/>
                <w:u w:val="single"/>
                <w:lang w:eastAsia="ko-KR"/>
              </w:rPr>
              <w:t>zzz</w:t>
            </w:r>
            <w:proofErr w:type="spellEnd"/>
          </w:p>
        </w:tc>
        <w:tc>
          <w:tcPr>
            <w:tcW w:w="599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E0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P101</w:t>
            </w:r>
          </w:p>
        </w:tc>
      </w:tr>
      <w:tr w:rsidR="006238C7" w:rsidRPr="00845F9B" w:rsidTr="00895525">
        <w:trPr>
          <w:trHeight w:val="9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38C7" w:rsidRPr="0053244C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53244C">
              <w:rPr>
                <w:sz w:val="18"/>
                <w:szCs w:val="18"/>
                <w:lang w:eastAsia="ko-KR"/>
              </w:rPr>
              <w:t>0481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SUBSTANCES</w:t>
            </w:r>
            <w:r w:rsidRPr="006238C7">
              <w:rPr>
                <w:sz w:val="18"/>
                <w:szCs w:val="18"/>
                <w:lang w:eastAsia="ko-KR"/>
              </w:rPr>
              <w:t>, EXPLOSIVE, N.O.S.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1.4S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178</w:t>
            </w:r>
          </w:p>
          <w:p w:rsid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274</w:t>
            </w:r>
          </w:p>
          <w:p w:rsidR="006238C7" w:rsidRPr="006238C7" w:rsidRDefault="006238C7" w:rsidP="003E33A0">
            <w:pPr>
              <w:jc w:val="center"/>
              <w:rPr>
                <w:sz w:val="18"/>
                <w:szCs w:val="18"/>
                <w:u w:val="single"/>
                <w:lang w:eastAsia="ko-KR"/>
              </w:rPr>
            </w:pPr>
            <w:proofErr w:type="spellStart"/>
            <w:r w:rsidRPr="006238C7">
              <w:rPr>
                <w:sz w:val="18"/>
                <w:szCs w:val="18"/>
                <w:u w:val="single"/>
                <w:lang w:eastAsia="ko-KR"/>
              </w:rPr>
              <w:t>zzz</w:t>
            </w:r>
            <w:proofErr w:type="spellEnd"/>
          </w:p>
        </w:tc>
        <w:tc>
          <w:tcPr>
            <w:tcW w:w="599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E0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238C7" w:rsidRPr="006238C7" w:rsidRDefault="006238C7" w:rsidP="003E33A0">
            <w:pPr>
              <w:jc w:val="center"/>
              <w:rPr>
                <w:sz w:val="18"/>
                <w:szCs w:val="18"/>
                <w:lang w:eastAsia="ko-KR"/>
              </w:rPr>
            </w:pPr>
            <w:r w:rsidRPr="006238C7">
              <w:rPr>
                <w:sz w:val="18"/>
                <w:szCs w:val="18"/>
                <w:lang w:eastAsia="ko-KR"/>
              </w:rPr>
              <w:t>P101</w:t>
            </w:r>
          </w:p>
        </w:tc>
      </w:tr>
    </w:tbl>
    <w:p w:rsidR="006D6CDA" w:rsidRDefault="006D6CDA" w:rsidP="00DF110E">
      <w:pPr>
        <w:pStyle w:val="SingleTxtG"/>
      </w:pPr>
    </w:p>
    <w:p w:rsidR="006E5947" w:rsidRDefault="006E5947" w:rsidP="00A85107">
      <w:pPr>
        <w:pStyle w:val="SingleTxtG"/>
        <w:numPr>
          <w:ilvl w:val="0"/>
          <w:numId w:val="19"/>
        </w:numPr>
        <w:ind w:left="1134" w:firstLine="0"/>
      </w:pPr>
      <w:r>
        <w:t xml:space="preserve">The use of the SP 347 for the two new UN numbers </w:t>
      </w:r>
      <w:r w:rsidR="00301C88">
        <w:t xml:space="preserve">clarifies that </w:t>
      </w:r>
      <w:proofErr w:type="gramStart"/>
      <w:r w:rsidR="00AE1E12">
        <w:t>this entries</w:t>
      </w:r>
      <w:proofErr w:type="gramEnd"/>
      <w:r w:rsidR="00AE1E12">
        <w:t xml:space="preserve"> shall only be used if the result of Test series 6(d) of the Manual TC have demonstrated that any hazardous effects arising from functioning are confined within the package.</w:t>
      </w:r>
    </w:p>
    <w:p w:rsidR="00A85107" w:rsidRDefault="00A85107" w:rsidP="00A85107">
      <w:pPr>
        <w:pStyle w:val="SingleTxtG"/>
        <w:numPr>
          <w:ilvl w:val="0"/>
          <w:numId w:val="19"/>
        </w:numPr>
        <w:ind w:left="1134" w:firstLine="0"/>
      </w:pPr>
      <w:r>
        <w:lastRenderedPageBreak/>
        <w:t xml:space="preserve">Moreover with reference to paragraphs 7 and 9 of the document ST/SG/AC.10/C.3/2014/86, the two new </w:t>
      </w:r>
      <w:r w:rsidRPr="00E231C9">
        <w:t>Special Provision</w:t>
      </w:r>
      <w:r>
        <w:t>s</w:t>
      </w:r>
      <w:r w:rsidRPr="00E231C9">
        <w:t xml:space="preserve"> </w:t>
      </w:r>
      <w:proofErr w:type="spellStart"/>
      <w:r>
        <w:t>SPyyy</w:t>
      </w:r>
      <w:proofErr w:type="spellEnd"/>
      <w:r>
        <w:t xml:space="preserve"> and </w:t>
      </w:r>
      <w:proofErr w:type="spellStart"/>
      <w:r>
        <w:t>SPzzz</w:t>
      </w:r>
      <w:proofErr w:type="spellEnd"/>
      <w:r>
        <w:t xml:space="preserve"> </w:t>
      </w:r>
      <w:r w:rsidR="00D832D4">
        <w:t>wou</w:t>
      </w:r>
      <w:r w:rsidRPr="00E231C9">
        <w:t xml:space="preserve">ld be </w:t>
      </w:r>
      <w:r>
        <w:t>added in Chapter 3.3</w:t>
      </w:r>
      <w:r w:rsidRPr="00C5583F">
        <w:t xml:space="preserve"> as follow</w:t>
      </w:r>
      <w:r>
        <w:t>s</w:t>
      </w:r>
      <w:r w:rsidRPr="00E231C9">
        <w:t xml:space="preserve"> </w:t>
      </w:r>
      <w:r>
        <w:t>(</w:t>
      </w:r>
      <w:r w:rsidRPr="00E231C9">
        <w:t>new text underlined)</w:t>
      </w:r>
      <w:r>
        <w:t>:</w:t>
      </w:r>
    </w:p>
    <w:p w:rsidR="00A85107" w:rsidRPr="00A85107" w:rsidRDefault="00A85107" w:rsidP="00895525">
      <w:pPr>
        <w:pStyle w:val="SingleTxtG"/>
        <w:ind w:left="2835" w:hanging="1134"/>
      </w:pPr>
      <w:proofErr w:type="spellStart"/>
      <w:r w:rsidRPr="00895525">
        <w:rPr>
          <w:b/>
          <w:u w:val="single"/>
        </w:rPr>
        <w:t>SPyyy</w:t>
      </w:r>
      <w:proofErr w:type="spellEnd"/>
      <w:r w:rsidRPr="00A85107">
        <w:tab/>
      </w:r>
      <w:r w:rsidRPr="00895525">
        <w:rPr>
          <w:u w:val="single"/>
        </w:rPr>
        <w:tab/>
        <w:t>This entry applies only when the security provisions of Chapter 1.4 have to be fulfilled.</w:t>
      </w:r>
    </w:p>
    <w:p w:rsidR="00A85107" w:rsidRPr="00A85107" w:rsidRDefault="00A85107" w:rsidP="00895525">
      <w:pPr>
        <w:pStyle w:val="SingleTxtG"/>
        <w:ind w:left="2835" w:hanging="1134"/>
      </w:pPr>
      <w:proofErr w:type="spellStart"/>
      <w:r w:rsidRPr="00895525">
        <w:rPr>
          <w:b/>
          <w:u w:val="single"/>
        </w:rPr>
        <w:t>SPzzz</w:t>
      </w:r>
      <w:proofErr w:type="spellEnd"/>
      <w:r w:rsidRPr="00A85107">
        <w:tab/>
      </w:r>
      <w:r w:rsidRPr="00A85107">
        <w:tab/>
      </w:r>
      <w:r w:rsidRPr="00895525">
        <w:rPr>
          <w:u w:val="single"/>
        </w:rPr>
        <w:t>This entry shall not be used when the security provisions of Chapter 1.4 have to be fulfilled.</w:t>
      </w:r>
    </w:p>
    <w:p w:rsidR="00F37FA6" w:rsidRDefault="00F37FA6" w:rsidP="00F37FA6">
      <w:pPr>
        <w:pStyle w:val="HChG"/>
      </w:pPr>
      <w:r>
        <w:rPr>
          <w:lang w:val="en-US"/>
        </w:rPr>
        <w:tab/>
      </w:r>
      <w:r>
        <w:rPr>
          <w:lang w:val="en-US"/>
        </w:rPr>
        <w:tab/>
        <w:t>Justification</w:t>
      </w:r>
    </w:p>
    <w:p w:rsidR="00F37FA6" w:rsidRDefault="00F37FA6" w:rsidP="00891105">
      <w:pPr>
        <w:pStyle w:val="SingleTxtG"/>
        <w:numPr>
          <w:ilvl w:val="0"/>
          <w:numId w:val="19"/>
        </w:numPr>
        <w:tabs>
          <w:tab w:val="left" w:pos="1701"/>
        </w:tabs>
        <w:ind w:left="1134" w:firstLine="0"/>
      </w:pPr>
      <w:r>
        <w:t>Better understanding of the proposal</w:t>
      </w:r>
    </w:p>
    <w:p w:rsidR="00A85107" w:rsidRPr="00891105" w:rsidRDefault="00891105" w:rsidP="0089110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6CDA" w:rsidRDefault="006D6CDA" w:rsidP="00DF110E">
      <w:pPr>
        <w:pStyle w:val="SingleTxtG"/>
      </w:pPr>
    </w:p>
    <w:sectPr w:rsidR="006D6CDA" w:rsidSect="00A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E0" w:rsidRDefault="00D677E0"/>
  </w:endnote>
  <w:endnote w:type="continuationSeparator" w:id="0">
    <w:p w:rsidR="00D677E0" w:rsidRDefault="00D677E0"/>
  </w:endnote>
  <w:endnote w:type="continuationNotice" w:id="1">
    <w:p w:rsidR="00D677E0" w:rsidRDefault="00D67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Pr="002264E0" w:rsidRDefault="00AE1E12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B11C41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AE1E12" w:rsidRPr="0005570C" w:rsidRDefault="00AE1E12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Pr="0005570C" w:rsidRDefault="00AE1E12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Default="00E10848">
    <w:pPr>
      <w:pStyle w:val="Foot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E0" w:rsidRPr="000B175B" w:rsidRDefault="00D677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77E0" w:rsidRPr="00FC68B7" w:rsidRDefault="00D677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77E0" w:rsidRDefault="00D677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Pr="00F54DDA" w:rsidRDefault="00AE1E12" w:rsidP="00F54DDA">
    <w:pPr>
      <w:pStyle w:val="Header"/>
      <w:rPr>
        <w:noProof/>
      </w:rPr>
    </w:pPr>
    <w:r w:rsidRPr="00F54DDA">
      <w:rPr>
        <w:noProof/>
      </w:rPr>
      <w:t>UN/SCETDG/4</w:t>
    </w:r>
    <w:r w:rsidR="00AE1E10">
      <w:rPr>
        <w:noProof/>
      </w:rPr>
      <w:t>7/INF.47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2" w:rsidRPr="0005570C" w:rsidRDefault="00AE1E12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0" w:rsidRDefault="00AE1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8259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551676"/>
    <w:multiLevelType w:val="hybridMultilevel"/>
    <w:tmpl w:val="1E889378"/>
    <w:lvl w:ilvl="0" w:tplc="FAB20A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920349C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14"/>
  </w:num>
  <w:num w:numId="16">
    <w:abstractNumId w:val="11"/>
  </w:num>
  <w:num w:numId="17">
    <w:abstractNumId w:val="28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24"/>
  </w:num>
  <w:num w:numId="26">
    <w:abstractNumId w:val="25"/>
  </w:num>
  <w:num w:numId="27">
    <w:abstractNumId w:val="27"/>
  </w:num>
  <w:num w:numId="28">
    <w:abstractNumId w:val="18"/>
  </w:num>
  <w:num w:numId="2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8D3"/>
    <w:rsid w:val="00015A1E"/>
    <w:rsid w:val="00027F2A"/>
    <w:rsid w:val="000312A2"/>
    <w:rsid w:val="0003260B"/>
    <w:rsid w:val="00044167"/>
    <w:rsid w:val="00050F6B"/>
    <w:rsid w:val="0005111B"/>
    <w:rsid w:val="0005570C"/>
    <w:rsid w:val="00064F24"/>
    <w:rsid w:val="000666DA"/>
    <w:rsid w:val="00067C1A"/>
    <w:rsid w:val="00071BC5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7787"/>
    <w:rsid w:val="00120F5D"/>
    <w:rsid w:val="0012514C"/>
    <w:rsid w:val="00125775"/>
    <w:rsid w:val="001266BA"/>
    <w:rsid w:val="001277CB"/>
    <w:rsid w:val="00131D42"/>
    <w:rsid w:val="00144FC4"/>
    <w:rsid w:val="0016063F"/>
    <w:rsid w:val="001633FB"/>
    <w:rsid w:val="00166B07"/>
    <w:rsid w:val="00177434"/>
    <w:rsid w:val="00187869"/>
    <w:rsid w:val="00191BE2"/>
    <w:rsid w:val="001967AB"/>
    <w:rsid w:val="001A56AE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11F7C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301C88"/>
    <w:rsid w:val="00302963"/>
    <w:rsid w:val="00303816"/>
    <w:rsid w:val="003107FA"/>
    <w:rsid w:val="00311A1C"/>
    <w:rsid w:val="003126BE"/>
    <w:rsid w:val="00316C13"/>
    <w:rsid w:val="00320A76"/>
    <w:rsid w:val="003229D8"/>
    <w:rsid w:val="00322F52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5619"/>
    <w:rsid w:val="00396C00"/>
    <w:rsid w:val="003972E0"/>
    <w:rsid w:val="003B4359"/>
    <w:rsid w:val="003B47CC"/>
    <w:rsid w:val="003B48DD"/>
    <w:rsid w:val="003C2CC4"/>
    <w:rsid w:val="003D4B23"/>
    <w:rsid w:val="003E1C5A"/>
    <w:rsid w:val="003E33A0"/>
    <w:rsid w:val="003E5413"/>
    <w:rsid w:val="003F0697"/>
    <w:rsid w:val="003F3F40"/>
    <w:rsid w:val="003F40C8"/>
    <w:rsid w:val="0040291E"/>
    <w:rsid w:val="0040320D"/>
    <w:rsid w:val="00404FD4"/>
    <w:rsid w:val="0041558A"/>
    <w:rsid w:val="004179D7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D3182"/>
    <w:rsid w:val="004E4DCE"/>
    <w:rsid w:val="00500DCD"/>
    <w:rsid w:val="00512574"/>
    <w:rsid w:val="005149A9"/>
    <w:rsid w:val="00515763"/>
    <w:rsid w:val="005206A2"/>
    <w:rsid w:val="005248FF"/>
    <w:rsid w:val="00527910"/>
    <w:rsid w:val="0053244C"/>
    <w:rsid w:val="00532A62"/>
    <w:rsid w:val="005335B1"/>
    <w:rsid w:val="0053786F"/>
    <w:rsid w:val="005420F2"/>
    <w:rsid w:val="00543B03"/>
    <w:rsid w:val="00552C5F"/>
    <w:rsid w:val="005553A2"/>
    <w:rsid w:val="005557E8"/>
    <w:rsid w:val="00556F1D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407C"/>
    <w:rsid w:val="005D47D7"/>
    <w:rsid w:val="005E29AE"/>
    <w:rsid w:val="005E6C20"/>
    <w:rsid w:val="005F4250"/>
    <w:rsid w:val="00611FC4"/>
    <w:rsid w:val="0061401C"/>
    <w:rsid w:val="006176FB"/>
    <w:rsid w:val="006238C7"/>
    <w:rsid w:val="0063330C"/>
    <w:rsid w:val="00633C10"/>
    <w:rsid w:val="0063419C"/>
    <w:rsid w:val="00640B26"/>
    <w:rsid w:val="00641876"/>
    <w:rsid w:val="00650267"/>
    <w:rsid w:val="006506F5"/>
    <w:rsid w:val="00664F8E"/>
    <w:rsid w:val="00682466"/>
    <w:rsid w:val="0068393D"/>
    <w:rsid w:val="006A0AE9"/>
    <w:rsid w:val="006A7392"/>
    <w:rsid w:val="006B3590"/>
    <w:rsid w:val="006B56C6"/>
    <w:rsid w:val="006B7406"/>
    <w:rsid w:val="006B79A2"/>
    <w:rsid w:val="006C0D34"/>
    <w:rsid w:val="006C1C4A"/>
    <w:rsid w:val="006D6CDA"/>
    <w:rsid w:val="006D7D5F"/>
    <w:rsid w:val="006E39D3"/>
    <w:rsid w:val="006E564B"/>
    <w:rsid w:val="006E5947"/>
    <w:rsid w:val="00707A67"/>
    <w:rsid w:val="0071233A"/>
    <w:rsid w:val="00716D0F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06F3A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71FD5"/>
    <w:rsid w:val="008749E1"/>
    <w:rsid w:val="008900F3"/>
    <w:rsid w:val="00891105"/>
    <w:rsid w:val="0089467C"/>
    <w:rsid w:val="00895525"/>
    <w:rsid w:val="008979B1"/>
    <w:rsid w:val="008A2299"/>
    <w:rsid w:val="008A6B25"/>
    <w:rsid w:val="008A6C4F"/>
    <w:rsid w:val="008A7362"/>
    <w:rsid w:val="008B0C07"/>
    <w:rsid w:val="008D44E2"/>
    <w:rsid w:val="008E0E46"/>
    <w:rsid w:val="008E1D4C"/>
    <w:rsid w:val="008F36A7"/>
    <w:rsid w:val="008F42F2"/>
    <w:rsid w:val="00905AEA"/>
    <w:rsid w:val="00910E37"/>
    <w:rsid w:val="00915E24"/>
    <w:rsid w:val="009174F9"/>
    <w:rsid w:val="009178F6"/>
    <w:rsid w:val="00924330"/>
    <w:rsid w:val="0093457E"/>
    <w:rsid w:val="00945A5D"/>
    <w:rsid w:val="0094761C"/>
    <w:rsid w:val="009625DA"/>
    <w:rsid w:val="00963CBA"/>
    <w:rsid w:val="00965ACC"/>
    <w:rsid w:val="00970D90"/>
    <w:rsid w:val="0097150D"/>
    <w:rsid w:val="00971B0B"/>
    <w:rsid w:val="00972131"/>
    <w:rsid w:val="00977813"/>
    <w:rsid w:val="009863A7"/>
    <w:rsid w:val="0099124E"/>
    <w:rsid w:val="00991261"/>
    <w:rsid w:val="00994010"/>
    <w:rsid w:val="00994014"/>
    <w:rsid w:val="009A37C7"/>
    <w:rsid w:val="009B0572"/>
    <w:rsid w:val="009B2FB7"/>
    <w:rsid w:val="009B3CC1"/>
    <w:rsid w:val="009B4B31"/>
    <w:rsid w:val="009B6F46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3CF0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5107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1E10"/>
    <w:rsid w:val="00AE1E12"/>
    <w:rsid w:val="00AE2BC1"/>
    <w:rsid w:val="00AE2F5A"/>
    <w:rsid w:val="00AE313E"/>
    <w:rsid w:val="00AF1489"/>
    <w:rsid w:val="00AF248C"/>
    <w:rsid w:val="00B02079"/>
    <w:rsid w:val="00B05614"/>
    <w:rsid w:val="00B11C41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25E4C"/>
    <w:rsid w:val="00C3461F"/>
    <w:rsid w:val="00C4186E"/>
    <w:rsid w:val="00C463DD"/>
    <w:rsid w:val="00C46E2A"/>
    <w:rsid w:val="00C548D4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123A2"/>
    <w:rsid w:val="00D2031B"/>
    <w:rsid w:val="00D2387E"/>
    <w:rsid w:val="00D25FE2"/>
    <w:rsid w:val="00D35453"/>
    <w:rsid w:val="00D37949"/>
    <w:rsid w:val="00D42146"/>
    <w:rsid w:val="00D43252"/>
    <w:rsid w:val="00D44EFC"/>
    <w:rsid w:val="00D5171D"/>
    <w:rsid w:val="00D625F5"/>
    <w:rsid w:val="00D668CA"/>
    <w:rsid w:val="00D677E0"/>
    <w:rsid w:val="00D72869"/>
    <w:rsid w:val="00D753D8"/>
    <w:rsid w:val="00D832D4"/>
    <w:rsid w:val="00D84DB1"/>
    <w:rsid w:val="00D95849"/>
    <w:rsid w:val="00D96CC5"/>
    <w:rsid w:val="00D978C6"/>
    <w:rsid w:val="00DA67AD"/>
    <w:rsid w:val="00DB0284"/>
    <w:rsid w:val="00DB281B"/>
    <w:rsid w:val="00DC16B9"/>
    <w:rsid w:val="00DC1797"/>
    <w:rsid w:val="00DC7E39"/>
    <w:rsid w:val="00DD70B8"/>
    <w:rsid w:val="00DE19A0"/>
    <w:rsid w:val="00DE4184"/>
    <w:rsid w:val="00DF0081"/>
    <w:rsid w:val="00DF110E"/>
    <w:rsid w:val="00DF7129"/>
    <w:rsid w:val="00E049CA"/>
    <w:rsid w:val="00E10848"/>
    <w:rsid w:val="00E130AB"/>
    <w:rsid w:val="00E13997"/>
    <w:rsid w:val="00E13D50"/>
    <w:rsid w:val="00E154D5"/>
    <w:rsid w:val="00E15862"/>
    <w:rsid w:val="00E21A5F"/>
    <w:rsid w:val="00E231C9"/>
    <w:rsid w:val="00E234BD"/>
    <w:rsid w:val="00E24107"/>
    <w:rsid w:val="00E274C0"/>
    <w:rsid w:val="00E27E66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05B"/>
    <w:rsid w:val="00EB6541"/>
    <w:rsid w:val="00EB6832"/>
    <w:rsid w:val="00EC42EA"/>
    <w:rsid w:val="00ED4EB3"/>
    <w:rsid w:val="00ED67DB"/>
    <w:rsid w:val="00ED7A2A"/>
    <w:rsid w:val="00EE18BF"/>
    <w:rsid w:val="00EE32E6"/>
    <w:rsid w:val="00EE6D6E"/>
    <w:rsid w:val="00EE7FF7"/>
    <w:rsid w:val="00EF1393"/>
    <w:rsid w:val="00EF1D7F"/>
    <w:rsid w:val="00F01117"/>
    <w:rsid w:val="00F01716"/>
    <w:rsid w:val="00F0351B"/>
    <w:rsid w:val="00F054AD"/>
    <w:rsid w:val="00F14001"/>
    <w:rsid w:val="00F14936"/>
    <w:rsid w:val="00F37FA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85D7A"/>
    <w:rsid w:val="00F873E7"/>
    <w:rsid w:val="00F93B34"/>
    <w:rsid w:val="00FA54B1"/>
    <w:rsid w:val="00FB3D07"/>
    <w:rsid w:val="00FB7905"/>
    <w:rsid w:val="00FC68B7"/>
    <w:rsid w:val="00FD1636"/>
    <w:rsid w:val="00FD6B2B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Berthet</dc:creator>
  <cp:lastModifiedBy>Laurence Berthet</cp:lastModifiedBy>
  <cp:revision>5</cp:revision>
  <cp:lastPrinted>2015-06-19T12:14:00Z</cp:lastPrinted>
  <dcterms:created xsi:type="dcterms:W3CDTF">2015-06-19T12:15:00Z</dcterms:created>
  <dcterms:modified xsi:type="dcterms:W3CDTF">2015-06-19T12:17:00Z</dcterms:modified>
</cp:coreProperties>
</file>