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DA6851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="007315A6">
              <w:rPr>
                <w:b/>
                <w:sz w:val="40"/>
                <w:szCs w:val="40"/>
              </w:rPr>
              <w:t>/INF</w:t>
            </w:r>
            <w:r w:rsidR="00DA6851">
              <w:rPr>
                <w:b/>
                <w:sz w:val="40"/>
                <w:szCs w:val="40"/>
              </w:rPr>
              <w:t>.39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C53B42" w:rsidP="00C53B42">
            <w:pPr>
              <w:spacing w:after="240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000D61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000D61" w:rsidRDefault="00280D2B" w:rsidP="00000D61">
            <w:pPr>
              <w:tabs>
                <w:tab w:val="right" w:pos="9214"/>
              </w:tabs>
            </w:pPr>
            <w:r w:rsidRPr="00000D61">
              <w:rPr>
                <w:b/>
                <w:sz w:val="24"/>
                <w:szCs w:val="24"/>
              </w:rPr>
              <w:t>Committee of Experts on the Transport of Dangerous Goods</w:t>
            </w:r>
            <w:r w:rsidRPr="00000D61">
              <w:rPr>
                <w:b/>
                <w:sz w:val="24"/>
                <w:szCs w:val="24"/>
              </w:rPr>
              <w:tab/>
            </w:r>
            <w:r w:rsidRPr="00000D61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00D61">
              <w:rPr>
                <w:b/>
                <w:sz w:val="24"/>
                <w:szCs w:val="24"/>
              </w:rPr>
              <w:br/>
              <w:t>and Labelling of Chemicals</w:t>
            </w:r>
            <w:r w:rsidRPr="00000D61">
              <w:rPr>
                <w:b/>
              </w:rPr>
              <w:tab/>
            </w:r>
            <w:r w:rsidR="00000D61" w:rsidRPr="00000D61">
              <w:rPr>
                <w:b/>
              </w:rPr>
              <w:t>17</w:t>
            </w:r>
            <w:r w:rsidR="005A37A2" w:rsidRPr="00000D61">
              <w:rPr>
                <w:b/>
                <w:sz w:val="18"/>
                <w:szCs w:val="24"/>
              </w:rPr>
              <w:t xml:space="preserve"> </w:t>
            </w:r>
            <w:r w:rsidR="0053515F" w:rsidRPr="00000D61">
              <w:rPr>
                <w:b/>
                <w:sz w:val="18"/>
                <w:szCs w:val="24"/>
              </w:rPr>
              <w:t>June</w:t>
            </w:r>
            <w:r w:rsidR="005A37A2" w:rsidRPr="00000D61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8F72E9" w:rsidRDefault="00280D2B" w:rsidP="00F54DDA">
            <w:pPr>
              <w:spacing w:before="120"/>
              <w:ind w:left="34" w:hanging="34"/>
            </w:pPr>
            <w:r w:rsidRPr="008F72E9">
              <w:t>Geneva, 22 – 26 June 2015</w:t>
            </w:r>
          </w:p>
          <w:p w:rsidR="007D0548" w:rsidRPr="008F72E9" w:rsidRDefault="007D0548" w:rsidP="007D0548">
            <w:pPr>
              <w:rPr>
                <w:b/>
                <w:lang w:val="en-US"/>
              </w:rPr>
            </w:pPr>
            <w:r w:rsidRPr="008F72E9">
              <w:t>Item 10 (b) of the provisional agenda</w:t>
            </w:r>
            <w:r w:rsidRPr="008F72E9">
              <w:rPr>
                <w:b/>
                <w:lang w:val="en-US"/>
              </w:rPr>
              <w:t xml:space="preserve"> </w:t>
            </w:r>
          </w:p>
          <w:p w:rsidR="00280D2B" w:rsidRPr="00093FAC" w:rsidRDefault="007D0548" w:rsidP="00DA6851">
            <w:pPr>
              <w:spacing w:after="240"/>
              <w:rPr>
                <w:b/>
              </w:rPr>
            </w:pPr>
            <w:r w:rsidRPr="008F72E9">
              <w:rPr>
                <w:b/>
              </w:rPr>
              <w:t>Issues relating to the Globally Harmonized System of Classification and Labelling of Chemicals:</w:t>
            </w:r>
            <w:r w:rsidRPr="008F72E9">
              <w:rPr>
                <w:b/>
              </w:rPr>
              <w:br/>
              <w:t>tests and criteria for oxidizing liquids and solids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1948D6" w:rsidRPr="00DA6851" w:rsidRDefault="00DA6851" w:rsidP="00DA6851">
      <w:pPr>
        <w:pStyle w:val="HChG"/>
      </w:pPr>
      <w:r>
        <w:tab/>
      </w:r>
      <w:r>
        <w:tab/>
      </w:r>
      <w:r w:rsidR="007D0548" w:rsidRPr="008F72E9">
        <w:t>Round Robin testing programme – Test O.2: Test for oxidizing liquids and Test O.3: Test for oxidizing solids</w:t>
      </w:r>
      <w:r w:rsidR="007D0548" w:rsidRPr="008F72E9">
        <w:br/>
        <w:t>Step 1: “Test O.2: Test for oxidizing liquids”</w:t>
      </w:r>
      <w:r w:rsidR="001948D6" w:rsidRPr="008F72E9">
        <w:t xml:space="preserve"> </w:t>
      </w:r>
    </w:p>
    <w:p w:rsidR="007D0548" w:rsidRPr="008F72E9" w:rsidRDefault="00DA6851" w:rsidP="00DA6851">
      <w:pPr>
        <w:pStyle w:val="H1G"/>
      </w:pPr>
      <w:r>
        <w:tab/>
      </w:r>
      <w:r>
        <w:tab/>
      </w:r>
      <w:r w:rsidR="00000D61">
        <w:t>Additional i</w:t>
      </w:r>
      <w:r w:rsidR="001948D6" w:rsidRPr="008F72E9">
        <w:t>nformation</w:t>
      </w:r>
      <w:r w:rsidR="00000D61">
        <w:t xml:space="preserve"> to document </w:t>
      </w:r>
      <w:r w:rsidR="00000D61" w:rsidRPr="008F72E9">
        <w:t>ST/SG/AC.10/C.3/2015/6</w:t>
      </w:r>
    </w:p>
    <w:p w:rsidR="0005111B" w:rsidRPr="00093FAC" w:rsidRDefault="00DA6851" w:rsidP="00DA6851">
      <w:pPr>
        <w:pStyle w:val="HChG"/>
      </w:pPr>
      <w:r>
        <w:tab/>
      </w:r>
      <w:r>
        <w:tab/>
      </w:r>
      <w:r w:rsidR="007D0548" w:rsidRPr="007D0548">
        <w:t>Transmitted by the expert from France</w:t>
      </w:r>
    </w:p>
    <w:p w:rsidR="007D0548" w:rsidRPr="007D0548" w:rsidRDefault="007D0548" w:rsidP="00000D61">
      <w:pPr>
        <w:pStyle w:val="HChG"/>
        <w:tabs>
          <w:tab w:val="clear" w:pos="851"/>
        </w:tabs>
        <w:ind w:firstLine="0"/>
      </w:pPr>
      <w:r w:rsidRPr="007D0548">
        <w:t>Introduction</w:t>
      </w:r>
    </w:p>
    <w:p w:rsidR="008F72E9" w:rsidRDefault="007D0548" w:rsidP="008F72E9">
      <w:pPr>
        <w:pStyle w:val="SingleTxtG"/>
      </w:pPr>
      <w:r w:rsidRPr="008F72E9">
        <w:t>1.</w:t>
      </w:r>
      <w:r w:rsidRPr="008F72E9">
        <w:tab/>
      </w:r>
      <w:r w:rsidR="00F44977">
        <w:t>The purpose of this information</w:t>
      </w:r>
      <w:r w:rsidR="008F72E9" w:rsidRPr="008F72E9">
        <w:t xml:space="preserve"> document is to provide the sub-committee with </w:t>
      </w:r>
      <w:r w:rsidR="00000D61">
        <w:t xml:space="preserve">additional </w:t>
      </w:r>
      <w:r w:rsidR="008F72E9" w:rsidRPr="008F72E9">
        <w:t xml:space="preserve">updated information in support of the document ST/SG/AC.10/C.3/2015/6 on the progress </w:t>
      </w:r>
      <w:r w:rsidR="00F44977">
        <w:t>i</w:t>
      </w:r>
      <w:r w:rsidR="008F72E9" w:rsidRPr="008F72E9">
        <w:t>n the step 1 of the Round Robin test</w:t>
      </w:r>
      <w:r w:rsidR="005E7D3B">
        <w:t>ing</w:t>
      </w:r>
      <w:r w:rsidR="008F72E9" w:rsidRPr="008F72E9">
        <w:t xml:space="preserve"> programme.</w:t>
      </w:r>
    </w:p>
    <w:p w:rsidR="007D0548" w:rsidRPr="008F72E9" w:rsidRDefault="00176792" w:rsidP="008F72E9">
      <w:pPr>
        <w:pStyle w:val="HChG"/>
        <w:keepNext w:val="0"/>
        <w:keepLines w:val="0"/>
        <w:ind w:firstLine="0"/>
      </w:pPr>
      <w:r>
        <w:t>Report on progress</w:t>
      </w:r>
    </w:p>
    <w:p w:rsidR="007D0548" w:rsidRPr="00176792" w:rsidRDefault="009959A4" w:rsidP="007D0548">
      <w:pPr>
        <w:pStyle w:val="SingleTxtG"/>
      </w:pPr>
      <w:r>
        <w:t>2</w:t>
      </w:r>
      <w:r w:rsidR="007D0548" w:rsidRPr="008F72E9">
        <w:t>.</w:t>
      </w:r>
      <w:r w:rsidR="007D0548" w:rsidRPr="008F72E9">
        <w:tab/>
        <w:t>Following the invitation sent by INERIS (</w:t>
      </w:r>
      <w:proofErr w:type="spellStart"/>
      <w:r w:rsidR="007D0548" w:rsidRPr="008F72E9">
        <w:t>Institut</w:t>
      </w:r>
      <w:proofErr w:type="spellEnd"/>
      <w:r w:rsidR="007D0548" w:rsidRPr="008F72E9">
        <w:t xml:space="preserve"> National de </w:t>
      </w:r>
      <w:proofErr w:type="spellStart"/>
      <w:r w:rsidR="007D0548" w:rsidRPr="008F72E9">
        <w:t>l’Environnement</w:t>
      </w:r>
      <w:proofErr w:type="spellEnd"/>
      <w:r w:rsidR="007D0548" w:rsidRPr="008F72E9">
        <w:t xml:space="preserve"> </w:t>
      </w:r>
      <w:proofErr w:type="spellStart"/>
      <w:r w:rsidR="007D0548" w:rsidRPr="008F72E9">
        <w:t>Industriel</w:t>
      </w:r>
      <w:proofErr w:type="spellEnd"/>
      <w:r w:rsidR="007D0548" w:rsidRPr="008F72E9">
        <w:t xml:space="preserve"> </w:t>
      </w:r>
      <w:proofErr w:type="gramStart"/>
      <w:r w:rsidR="007D0548" w:rsidRPr="008F72E9">
        <w:t>et</w:t>
      </w:r>
      <w:proofErr w:type="gramEnd"/>
      <w:r w:rsidR="007D0548" w:rsidRPr="008F72E9">
        <w:t xml:space="preserve"> des </w:t>
      </w:r>
      <w:proofErr w:type="spellStart"/>
      <w:r w:rsidR="007D0548" w:rsidRPr="008F72E9">
        <w:t>Risques</w:t>
      </w:r>
      <w:proofErr w:type="spellEnd"/>
      <w:r w:rsidR="007D0548" w:rsidRPr="008F72E9">
        <w:t xml:space="preserve">), France, in September 2014, eleven laboratories from seven </w:t>
      </w:r>
      <w:r w:rsidR="007D0548" w:rsidRPr="00176792">
        <w:t>countries have confirmed their willingness to participate in this RRT Programme.</w:t>
      </w:r>
      <w:r w:rsidR="00176792" w:rsidRPr="00176792">
        <w:rPr>
          <w:lang w:val="en-US"/>
        </w:rPr>
        <w:t xml:space="preserve"> Nine </w:t>
      </w:r>
      <w:r w:rsidR="00C56883">
        <w:rPr>
          <w:lang w:val="en-US"/>
        </w:rPr>
        <w:t xml:space="preserve">of the </w:t>
      </w:r>
      <w:r w:rsidR="00176792" w:rsidRPr="00176792">
        <w:rPr>
          <w:lang w:val="en-US"/>
        </w:rPr>
        <w:t>laborat</w:t>
      </w:r>
      <w:r w:rsidR="00C56883">
        <w:rPr>
          <w:lang w:val="en-US"/>
        </w:rPr>
        <w:t>ories from five countries a</w:t>
      </w:r>
      <w:r w:rsidR="00176792" w:rsidRPr="00176792">
        <w:rPr>
          <w:lang w:val="en-US"/>
        </w:rPr>
        <w:t xml:space="preserve">re involved in step 1 of the RRT </w:t>
      </w:r>
      <w:proofErr w:type="spellStart"/>
      <w:r w:rsidR="00176792" w:rsidRPr="00176792">
        <w:rPr>
          <w:lang w:val="en-US"/>
        </w:rPr>
        <w:t>Programme</w:t>
      </w:r>
      <w:proofErr w:type="spellEnd"/>
      <w:r w:rsidR="00176792" w:rsidRPr="00176792">
        <w:rPr>
          <w:lang w:val="en-US"/>
        </w:rPr>
        <w:t>.</w:t>
      </w:r>
    </w:p>
    <w:p w:rsidR="007D0548" w:rsidRPr="00176792" w:rsidRDefault="009959A4" w:rsidP="007D0548">
      <w:pPr>
        <w:pStyle w:val="SingleTxtG"/>
      </w:pPr>
      <w:r>
        <w:rPr>
          <w:lang w:val="en-US"/>
        </w:rPr>
        <w:t>3</w:t>
      </w:r>
      <w:r w:rsidR="007D0548" w:rsidRPr="00176792">
        <w:rPr>
          <w:lang w:val="en-US"/>
        </w:rPr>
        <w:t>.</w:t>
      </w:r>
      <w:r w:rsidR="007D0548" w:rsidRPr="00176792">
        <w:rPr>
          <w:lang w:val="en-US"/>
        </w:rPr>
        <w:tab/>
        <w:t xml:space="preserve">As leading laboratory </w:t>
      </w:r>
      <w:r w:rsidR="008F72E9" w:rsidRPr="00176792">
        <w:rPr>
          <w:lang w:val="en-US"/>
        </w:rPr>
        <w:t xml:space="preserve">for the RRT </w:t>
      </w:r>
      <w:r w:rsidR="007D0548" w:rsidRPr="00176792">
        <w:rPr>
          <w:lang w:val="en-US"/>
        </w:rPr>
        <w:t>INERIS</w:t>
      </w:r>
      <w:r w:rsidR="008F72E9" w:rsidRPr="00176792">
        <w:rPr>
          <w:lang w:val="en-US"/>
        </w:rPr>
        <w:t xml:space="preserve"> </w:t>
      </w:r>
      <w:r w:rsidR="007D0548" w:rsidRPr="00176792">
        <w:rPr>
          <w:lang w:val="en-US"/>
        </w:rPr>
        <w:t xml:space="preserve">selected three cellulose candidates as replacement cellulose in Test O.2 </w:t>
      </w:r>
      <w:r w:rsidR="00FE43ED" w:rsidRPr="00176792">
        <w:rPr>
          <w:lang w:val="en-US"/>
        </w:rPr>
        <w:t xml:space="preserve">and shipped </w:t>
      </w:r>
      <w:r w:rsidR="00176792" w:rsidRPr="00176792">
        <w:rPr>
          <w:lang w:val="en-US"/>
        </w:rPr>
        <w:t xml:space="preserve">together with the final approved </w:t>
      </w:r>
      <w:r w:rsidR="007D0548" w:rsidRPr="00176792">
        <w:t>RRT programme for Test O.2</w:t>
      </w:r>
      <w:r w:rsidR="00176792" w:rsidRPr="00176792">
        <w:t xml:space="preserve"> (step 1)</w:t>
      </w:r>
      <w:r w:rsidR="007D0548" w:rsidRPr="00176792">
        <w:t xml:space="preserve"> in February 2015.</w:t>
      </w:r>
      <w:r w:rsidR="00176792">
        <w:t xml:space="preserve"> The names and grades of </w:t>
      </w:r>
      <w:r w:rsidR="00FE43ED">
        <w:t xml:space="preserve">the </w:t>
      </w:r>
      <w:r w:rsidR="00176792">
        <w:t xml:space="preserve">reference substances and sample of oxidizing liquids were defined in the programme but were not </w:t>
      </w:r>
      <w:r w:rsidR="00664630">
        <w:t xml:space="preserve">delivered </w:t>
      </w:r>
      <w:r w:rsidR="00176792">
        <w:t>by INERIS.</w:t>
      </w:r>
    </w:p>
    <w:p w:rsidR="00176792" w:rsidRPr="00176792" w:rsidRDefault="009959A4" w:rsidP="00C56883">
      <w:pPr>
        <w:pStyle w:val="SingleTxtG"/>
        <w:pageBreakBefore/>
      </w:pPr>
      <w:r>
        <w:lastRenderedPageBreak/>
        <w:t>4</w:t>
      </w:r>
      <w:r w:rsidR="007D0548" w:rsidRPr="00176792">
        <w:t>.</w:t>
      </w:r>
      <w:r w:rsidR="007D0548" w:rsidRPr="00176792">
        <w:tab/>
      </w:r>
      <w:r w:rsidR="00176792">
        <w:t>The participants were free to start their testing as soon as they could</w:t>
      </w:r>
      <w:r w:rsidR="00FE43ED">
        <w:t xml:space="preserve"> after receiving the cellulose samples</w:t>
      </w:r>
      <w:r w:rsidR="00176792">
        <w:t xml:space="preserve">. </w:t>
      </w:r>
      <w:r w:rsidR="00176792" w:rsidRPr="00176792">
        <w:t>The results from the different laboratories were received from end of April to mid of June</w:t>
      </w:r>
      <w:r w:rsidR="00F44977">
        <w:t xml:space="preserve"> 2015</w:t>
      </w:r>
      <w:r w:rsidR="00176792" w:rsidRPr="00176792">
        <w:t xml:space="preserve"> and a</w:t>
      </w:r>
      <w:r w:rsidR="007D0548" w:rsidRPr="00176792">
        <w:t xml:space="preserve"> </w:t>
      </w:r>
      <w:r w:rsidR="00176792" w:rsidRPr="00176792">
        <w:t>large majority of laboratories have now sent their results for this step</w:t>
      </w:r>
      <w:r>
        <w:t xml:space="preserve"> to INERIS</w:t>
      </w:r>
      <w:r w:rsidR="00176792" w:rsidRPr="00176792">
        <w:t>.</w:t>
      </w:r>
    </w:p>
    <w:p w:rsidR="00176792" w:rsidRPr="00920103" w:rsidRDefault="009959A4" w:rsidP="007D0548">
      <w:pPr>
        <w:pStyle w:val="SingleTxtG"/>
      </w:pPr>
      <w:r w:rsidRPr="00920103">
        <w:t>5.</w:t>
      </w:r>
      <w:r w:rsidRPr="00920103">
        <w:tab/>
        <w:t xml:space="preserve">At this stage no </w:t>
      </w:r>
      <w:r w:rsidR="009F339D" w:rsidRPr="00920103">
        <w:t>full</w:t>
      </w:r>
      <w:r w:rsidRPr="00920103">
        <w:t xml:space="preserve"> results are available. However, the following </w:t>
      </w:r>
      <w:r w:rsidR="006A4471">
        <w:t>trends</w:t>
      </w:r>
      <w:r w:rsidRPr="00920103">
        <w:t xml:space="preserve"> can be observed:</w:t>
      </w:r>
    </w:p>
    <w:p w:rsidR="009959A4" w:rsidRPr="00DA6851" w:rsidRDefault="009959A4" w:rsidP="00DA6851">
      <w:pPr>
        <w:pStyle w:val="SingleTxtG"/>
        <w:ind w:left="1701" w:hanging="567"/>
      </w:pPr>
      <w:r w:rsidRPr="00DA6851">
        <w:tab/>
      </w:r>
      <w:r w:rsidR="00DA6851">
        <w:t>(</w:t>
      </w:r>
      <w:proofErr w:type="spellStart"/>
      <w:r w:rsidR="00DA6851">
        <w:t>i</w:t>
      </w:r>
      <w:proofErr w:type="spellEnd"/>
      <w:r w:rsidR="00DA6851">
        <w:t>)</w:t>
      </w:r>
      <w:r w:rsidR="00DA6851">
        <w:tab/>
      </w:r>
      <w:r w:rsidR="009F339D" w:rsidRPr="00DA6851">
        <w:t>No major issue</w:t>
      </w:r>
      <w:r w:rsidR="005E7D3B" w:rsidRPr="00DA6851">
        <w:t xml:space="preserve"> for the classification</w:t>
      </w:r>
      <w:r w:rsidR="009F339D" w:rsidRPr="00DA6851">
        <w:t xml:space="preserve"> were reported in using any of the three celluloses,</w:t>
      </w:r>
    </w:p>
    <w:p w:rsidR="009959A4" w:rsidRPr="00DA6851" w:rsidRDefault="009959A4" w:rsidP="00DA6851">
      <w:pPr>
        <w:pStyle w:val="SingleTxtG"/>
        <w:ind w:left="1701" w:hanging="567"/>
      </w:pPr>
      <w:r w:rsidRPr="00DA6851">
        <w:tab/>
      </w:r>
      <w:r w:rsidR="00DA6851">
        <w:t>(</w:t>
      </w:r>
      <w:r w:rsidRPr="00DA6851">
        <w:t>ii)</w:t>
      </w:r>
      <w:r w:rsidR="00DA6851">
        <w:tab/>
      </w:r>
      <w:r w:rsidR="009F339D" w:rsidRPr="00DA6851">
        <w:t>From the three cellulose candidates, two exhibit similar results,</w:t>
      </w:r>
    </w:p>
    <w:p w:rsidR="00920103" w:rsidRPr="00DA6851" w:rsidRDefault="009F339D" w:rsidP="00DA6851">
      <w:pPr>
        <w:pStyle w:val="SingleTxtG"/>
        <w:ind w:left="1701" w:hanging="567"/>
      </w:pPr>
      <w:r w:rsidRPr="00DA6851">
        <w:tab/>
      </w:r>
      <w:r w:rsidR="00DA6851">
        <w:t>(</w:t>
      </w:r>
      <w:r w:rsidRPr="00DA6851">
        <w:t>iii)</w:t>
      </w:r>
      <w:r w:rsidR="00DA6851">
        <w:tab/>
      </w:r>
      <w:r w:rsidR="00920103" w:rsidRPr="00DA6851">
        <w:t xml:space="preserve">There may be some adjustments required </w:t>
      </w:r>
      <w:r w:rsidR="005E7D3B" w:rsidRPr="00DA6851">
        <w:t>regarding the</w:t>
      </w:r>
      <w:r w:rsidR="00920103" w:rsidRPr="00DA6851">
        <w:t xml:space="preserve"> time</w:t>
      </w:r>
      <w:r w:rsidR="005E7D3B" w:rsidRPr="00DA6851">
        <w:t>s</w:t>
      </w:r>
      <w:r w:rsidR="00920103" w:rsidRPr="00DA6851">
        <w:t xml:space="preserve"> </w:t>
      </w:r>
      <w:r w:rsidR="005E7D3B" w:rsidRPr="00DA6851">
        <w:t xml:space="preserve">taken as references for classification when comparing the times obtained with the replacement cellulose and with the </w:t>
      </w:r>
      <w:proofErr w:type="spellStart"/>
      <w:r w:rsidR="005E7D3B" w:rsidRPr="00DA6851">
        <w:t>Whatman</w:t>
      </w:r>
      <w:proofErr w:type="spellEnd"/>
      <w:r w:rsidR="005E7D3B" w:rsidRPr="00DA6851">
        <w:t xml:space="preserve"> CF11 cellulose</w:t>
      </w:r>
      <w:r w:rsidR="00F44977" w:rsidRPr="00DA6851">
        <w:t xml:space="preserve"> - to be replaced -</w:t>
      </w:r>
      <w:r w:rsidR="005E7D3B" w:rsidRPr="00DA6851">
        <w:t xml:space="preserve"> for</w:t>
      </w:r>
      <w:r w:rsidR="00920103" w:rsidRPr="00DA6851">
        <w:t xml:space="preserve"> the reference substances,</w:t>
      </w:r>
    </w:p>
    <w:p w:rsidR="009F339D" w:rsidRPr="00DA6851" w:rsidRDefault="00C56883" w:rsidP="00DA6851">
      <w:pPr>
        <w:pStyle w:val="SingleTxtG"/>
        <w:ind w:left="1701" w:hanging="567"/>
      </w:pPr>
      <w:r w:rsidRPr="00DA6851">
        <w:tab/>
      </w:r>
      <w:proofErr w:type="gramStart"/>
      <w:r w:rsidR="00DA6851">
        <w:t>(</w:t>
      </w:r>
      <w:r w:rsidR="00920103" w:rsidRPr="00DA6851">
        <w:t>iv)</w:t>
      </w:r>
      <w:r w:rsidR="00DA6851">
        <w:tab/>
      </w:r>
      <w:r w:rsidR="00920103" w:rsidRPr="00DA6851">
        <w:t>Besides</w:t>
      </w:r>
      <w:proofErr w:type="gramEnd"/>
      <w:r w:rsidR="00920103" w:rsidRPr="00DA6851">
        <w:t xml:space="preserve"> of test results, long-term availability for the final choice of replacement cellulose will </w:t>
      </w:r>
      <w:r w:rsidR="008C6D48" w:rsidRPr="00DA6851">
        <w:t xml:space="preserve">need to </w:t>
      </w:r>
      <w:r w:rsidR="00920103" w:rsidRPr="00DA6851">
        <w:t>be taken into account.</w:t>
      </w:r>
    </w:p>
    <w:p w:rsidR="00176792" w:rsidRPr="008F72E9" w:rsidRDefault="00176792" w:rsidP="00176792">
      <w:pPr>
        <w:pStyle w:val="HChG"/>
        <w:keepNext w:val="0"/>
        <w:keepLines w:val="0"/>
        <w:ind w:firstLine="0"/>
      </w:pPr>
      <w:r>
        <w:t>Next step</w:t>
      </w:r>
      <w:r w:rsidR="00C56883">
        <w:t>s</w:t>
      </w:r>
    </w:p>
    <w:p w:rsidR="00C56883" w:rsidRDefault="00C56883" w:rsidP="00C56883">
      <w:pPr>
        <w:pStyle w:val="SingleTxtG"/>
      </w:pPr>
      <w:r w:rsidRPr="00C53B42">
        <w:t>6.</w:t>
      </w:r>
      <w:r w:rsidRPr="00C53B42">
        <w:tab/>
      </w:r>
      <w:r w:rsidR="008C6D48" w:rsidRPr="00C53B42">
        <w:t>Conclusion</w:t>
      </w:r>
      <w:r w:rsidR="005E7D3B">
        <w:t>s and recommendations</w:t>
      </w:r>
      <w:r w:rsidR="008C6D48" w:rsidRPr="00C53B42">
        <w:t xml:space="preserve"> from the UN Test O.2 testing programme will be drawn to identify the best replacement</w:t>
      </w:r>
      <w:r w:rsidR="008C6D48">
        <w:t xml:space="preserve"> cellulose from the three candidates in July</w:t>
      </w:r>
      <w:r w:rsidR="00F44977">
        <w:t xml:space="preserve"> 2015</w:t>
      </w:r>
      <w:r w:rsidR="008C6D48">
        <w:t>.</w:t>
      </w:r>
    </w:p>
    <w:p w:rsidR="008C6D48" w:rsidRDefault="008C6D48" w:rsidP="00C56883">
      <w:pPr>
        <w:pStyle w:val="SingleTxtG"/>
      </w:pPr>
      <w:r>
        <w:t>7.</w:t>
      </w:r>
      <w:r>
        <w:tab/>
        <w:t xml:space="preserve">A </w:t>
      </w:r>
      <w:r w:rsidRPr="00176792">
        <w:t>RRT programme for Test O.</w:t>
      </w:r>
      <w:r>
        <w:t>3</w:t>
      </w:r>
      <w:r w:rsidRPr="00176792">
        <w:t xml:space="preserve"> (step </w:t>
      </w:r>
      <w:r>
        <w:t>2</w:t>
      </w:r>
      <w:r w:rsidRPr="00176792">
        <w:t>)</w:t>
      </w:r>
      <w:r>
        <w:t xml:space="preserve"> will be circulated among the participants during July </w:t>
      </w:r>
      <w:r w:rsidR="00F44977">
        <w:t xml:space="preserve">2015 </w:t>
      </w:r>
      <w:r>
        <w:t>for comments</w:t>
      </w:r>
      <w:r w:rsidR="008610C5">
        <w:t>. The final version</w:t>
      </w:r>
      <w:r>
        <w:t xml:space="preserve"> will be distributed </w:t>
      </w:r>
      <w:r w:rsidR="008610C5">
        <w:t>to them early September</w:t>
      </w:r>
      <w:r w:rsidR="00F44977">
        <w:t xml:space="preserve"> 2015</w:t>
      </w:r>
      <w:r w:rsidR="008610C5">
        <w:t>.</w:t>
      </w:r>
      <w:r w:rsidR="005E7D3B">
        <w:t xml:space="preserve"> It is to be noted that two other laboratories have expressed their willingness to join the pool, which will be of 13 labs from 9 countries for step 2.</w:t>
      </w:r>
    </w:p>
    <w:p w:rsidR="00C53B42" w:rsidRDefault="00C53B42" w:rsidP="00C56883">
      <w:pPr>
        <w:pStyle w:val="SingleTxtG"/>
        <w:rPr>
          <w:highlight w:val="yellow"/>
        </w:rPr>
      </w:pPr>
      <w:r>
        <w:t>8.</w:t>
      </w:r>
      <w:r>
        <w:tab/>
        <w:t>A joint working document will be prepared for the 48th session of the TDG Sub-Committee and for the 30th session of the GHS Sub-Committee to report on progress in the RRT Programme.</w:t>
      </w:r>
    </w:p>
    <w:p w:rsidR="00C313F5" w:rsidRPr="00C313F5" w:rsidRDefault="00C313F5" w:rsidP="00C313F5">
      <w:pPr>
        <w:pStyle w:val="SingleTxtG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 w:rsidR="00C53B42">
        <w:rPr>
          <w:u w:val="single"/>
        </w:rPr>
        <w:tab/>
      </w:r>
      <w:r w:rsidR="00C53B42">
        <w:rPr>
          <w:u w:val="single"/>
        </w:rPr>
        <w:tab/>
      </w:r>
    </w:p>
    <w:sectPr w:rsidR="00C313F5" w:rsidRPr="00C313F5" w:rsidSect="002006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09" w:rsidRDefault="001F2D09"/>
  </w:endnote>
  <w:endnote w:type="continuationSeparator" w:id="0">
    <w:p w:rsidR="001F2D09" w:rsidRDefault="001F2D09"/>
  </w:endnote>
  <w:endnote w:type="continuationNotice" w:id="1">
    <w:p w:rsidR="001F2D09" w:rsidRDefault="001F2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2264E0" w:rsidRDefault="00E40641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176792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DA6851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176792" w:rsidRPr="0005570C" w:rsidRDefault="00176792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E40641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E40641" w:rsidRPr="0005570C">
      <w:rPr>
        <w:b/>
        <w:sz w:val="18"/>
      </w:rPr>
      <w:fldChar w:fldCharType="separate"/>
    </w:r>
    <w:r w:rsidR="00C53B42">
      <w:rPr>
        <w:b/>
        <w:noProof/>
        <w:sz w:val="18"/>
      </w:rPr>
      <w:t>3</w:t>
    </w:r>
    <w:r w:rsidR="00E40641"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Default="00B14F4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09" w:rsidRPr="000B175B" w:rsidRDefault="001F2D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2D09" w:rsidRPr="00FC68B7" w:rsidRDefault="001F2D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2D09" w:rsidRDefault="001F2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F54DDA" w:rsidRDefault="00176792" w:rsidP="00F54DDA">
    <w:pPr>
      <w:pStyle w:val="Header"/>
    </w:pPr>
    <w:r w:rsidRPr="00F54DDA">
      <w:rPr>
        <w:noProof/>
      </w:rPr>
      <w:t>UN/SCETDG/4</w:t>
    </w:r>
    <w:r w:rsidR="00DA6851">
      <w:rPr>
        <w:noProof/>
      </w:rPr>
      <w:t>7/INF.39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22"/>
  </w:num>
  <w:num w:numId="18">
    <w:abstractNumId w:val="17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23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0D61"/>
    <w:rsid w:val="0000660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60D0B"/>
    <w:rsid w:val="00064F24"/>
    <w:rsid w:val="000669D9"/>
    <w:rsid w:val="00067C1A"/>
    <w:rsid w:val="00071BC5"/>
    <w:rsid w:val="000729A7"/>
    <w:rsid w:val="00072C8C"/>
    <w:rsid w:val="000732CC"/>
    <w:rsid w:val="00073E97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6063F"/>
    <w:rsid w:val="001633FB"/>
    <w:rsid w:val="00166B07"/>
    <w:rsid w:val="00176792"/>
    <w:rsid w:val="00177434"/>
    <w:rsid w:val="00182A05"/>
    <w:rsid w:val="00187869"/>
    <w:rsid w:val="00191BE2"/>
    <w:rsid w:val="001948D6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2D09"/>
    <w:rsid w:val="001F57B4"/>
    <w:rsid w:val="00200662"/>
    <w:rsid w:val="00201CC1"/>
    <w:rsid w:val="00206EA3"/>
    <w:rsid w:val="002102C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2FA0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1A70"/>
    <w:rsid w:val="002A2560"/>
    <w:rsid w:val="002A7532"/>
    <w:rsid w:val="002B1CDA"/>
    <w:rsid w:val="002B2EA7"/>
    <w:rsid w:val="002B521D"/>
    <w:rsid w:val="002B79CF"/>
    <w:rsid w:val="002B7D6F"/>
    <w:rsid w:val="002C54A4"/>
    <w:rsid w:val="002C5EAE"/>
    <w:rsid w:val="002C7649"/>
    <w:rsid w:val="002D7530"/>
    <w:rsid w:val="002E0239"/>
    <w:rsid w:val="002E7C35"/>
    <w:rsid w:val="002F0918"/>
    <w:rsid w:val="002F143F"/>
    <w:rsid w:val="002F279C"/>
    <w:rsid w:val="00302963"/>
    <w:rsid w:val="00303816"/>
    <w:rsid w:val="003107FA"/>
    <w:rsid w:val="00316C13"/>
    <w:rsid w:val="00320A76"/>
    <w:rsid w:val="00321714"/>
    <w:rsid w:val="003229D8"/>
    <w:rsid w:val="00322F52"/>
    <w:rsid w:val="003311AD"/>
    <w:rsid w:val="003323B3"/>
    <w:rsid w:val="00333732"/>
    <w:rsid w:val="00342368"/>
    <w:rsid w:val="0034522A"/>
    <w:rsid w:val="00347184"/>
    <w:rsid w:val="0037024C"/>
    <w:rsid w:val="00372BDC"/>
    <w:rsid w:val="00373815"/>
    <w:rsid w:val="00374763"/>
    <w:rsid w:val="00381262"/>
    <w:rsid w:val="00384416"/>
    <w:rsid w:val="0039277A"/>
    <w:rsid w:val="00392C6B"/>
    <w:rsid w:val="003972E0"/>
    <w:rsid w:val="003B4359"/>
    <w:rsid w:val="003B47CC"/>
    <w:rsid w:val="003C2CC4"/>
    <w:rsid w:val="003D4B23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9309D"/>
    <w:rsid w:val="00494D24"/>
    <w:rsid w:val="00495B9D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5763"/>
    <w:rsid w:val="005206A2"/>
    <w:rsid w:val="005248FF"/>
    <w:rsid w:val="00527910"/>
    <w:rsid w:val="00532A62"/>
    <w:rsid w:val="005335B1"/>
    <w:rsid w:val="0053515F"/>
    <w:rsid w:val="0053786F"/>
    <w:rsid w:val="005420F2"/>
    <w:rsid w:val="00543B03"/>
    <w:rsid w:val="00551E96"/>
    <w:rsid w:val="00552C5F"/>
    <w:rsid w:val="005553A2"/>
    <w:rsid w:val="005557E8"/>
    <w:rsid w:val="00564293"/>
    <w:rsid w:val="00566392"/>
    <w:rsid w:val="00566B77"/>
    <w:rsid w:val="005676D5"/>
    <w:rsid w:val="005732BE"/>
    <w:rsid w:val="0057509F"/>
    <w:rsid w:val="00581B62"/>
    <w:rsid w:val="00581C11"/>
    <w:rsid w:val="00587940"/>
    <w:rsid w:val="00590144"/>
    <w:rsid w:val="005940E3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6C20"/>
    <w:rsid w:val="005E7D3B"/>
    <w:rsid w:val="005E7EA4"/>
    <w:rsid w:val="005F5444"/>
    <w:rsid w:val="006071AF"/>
    <w:rsid w:val="00611FC4"/>
    <w:rsid w:val="00613E48"/>
    <w:rsid w:val="0061401C"/>
    <w:rsid w:val="006176FB"/>
    <w:rsid w:val="0063330C"/>
    <w:rsid w:val="00633C10"/>
    <w:rsid w:val="0063419C"/>
    <w:rsid w:val="00640B26"/>
    <w:rsid w:val="00641876"/>
    <w:rsid w:val="00650267"/>
    <w:rsid w:val="00664630"/>
    <w:rsid w:val="00664F8E"/>
    <w:rsid w:val="00682466"/>
    <w:rsid w:val="006835C6"/>
    <w:rsid w:val="0068393D"/>
    <w:rsid w:val="00687A76"/>
    <w:rsid w:val="006A0AE9"/>
    <w:rsid w:val="006A17B4"/>
    <w:rsid w:val="006A4471"/>
    <w:rsid w:val="006A7392"/>
    <w:rsid w:val="006B31D3"/>
    <w:rsid w:val="006B3590"/>
    <w:rsid w:val="006B7406"/>
    <w:rsid w:val="006B79A2"/>
    <w:rsid w:val="006C0D34"/>
    <w:rsid w:val="006C1C4A"/>
    <w:rsid w:val="006C4DB3"/>
    <w:rsid w:val="006E21A6"/>
    <w:rsid w:val="006E564B"/>
    <w:rsid w:val="006E5A03"/>
    <w:rsid w:val="007018BB"/>
    <w:rsid w:val="00707A67"/>
    <w:rsid w:val="0071233A"/>
    <w:rsid w:val="00716D0F"/>
    <w:rsid w:val="00725764"/>
    <w:rsid w:val="0072632A"/>
    <w:rsid w:val="007315A6"/>
    <w:rsid w:val="007428A0"/>
    <w:rsid w:val="0075177E"/>
    <w:rsid w:val="00757A17"/>
    <w:rsid w:val="0076711B"/>
    <w:rsid w:val="007726D4"/>
    <w:rsid w:val="00782216"/>
    <w:rsid w:val="00790258"/>
    <w:rsid w:val="00790791"/>
    <w:rsid w:val="007909EA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0548"/>
    <w:rsid w:val="007D1E30"/>
    <w:rsid w:val="007D3266"/>
    <w:rsid w:val="007D5B34"/>
    <w:rsid w:val="007D75E7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24416"/>
    <w:rsid w:val="00826E4F"/>
    <w:rsid w:val="00832905"/>
    <w:rsid w:val="008337CE"/>
    <w:rsid w:val="00842FAF"/>
    <w:rsid w:val="00844A23"/>
    <w:rsid w:val="008553AE"/>
    <w:rsid w:val="008566E6"/>
    <w:rsid w:val="008610C5"/>
    <w:rsid w:val="00871FD5"/>
    <w:rsid w:val="008749E1"/>
    <w:rsid w:val="008900F3"/>
    <w:rsid w:val="0089467C"/>
    <w:rsid w:val="008979B1"/>
    <w:rsid w:val="008A6B25"/>
    <w:rsid w:val="008A6C4F"/>
    <w:rsid w:val="008A7362"/>
    <w:rsid w:val="008B0C07"/>
    <w:rsid w:val="008C0642"/>
    <w:rsid w:val="008C6D48"/>
    <w:rsid w:val="008D0E8A"/>
    <w:rsid w:val="008D44E2"/>
    <w:rsid w:val="008E0E46"/>
    <w:rsid w:val="008E1D4C"/>
    <w:rsid w:val="008E2AC7"/>
    <w:rsid w:val="008F36A7"/>
    <w:rsid w:val="008F42F2"/>
    <w:rsid w:val="008F6816"/>
    <w:rsid w:val="008F72E9"/>
    <w:rsid w:val="00905AEA"/>
    <w:rsid w:val="00910E37"/>
    <w:rsid w:val="0091450E"/>
    <w:rsid w:val="00915E24"/>
    <w:rsid w:val="009174F9"/>
    <w:rsid w:val="009178F6"/>
    <w:rsid w:val="00920103"/>
    <w:rsid w:val="00922076"/>
    <w:rsid w:val="00922603"/>
    <w:rsid w:val="00924330"/>
    <w:rsid w:val="0093457E"/>
    <w:rsid w:val="00940136"/>
    <w:rsid w:val="00945A5D"/>
    <w:rsid w:val="0094761C"/>
    <w:rsid w:val="00963CBA"/>
    <w:rsid w:val="00964960"/>
    <w:rsid w:val="00965ACC"/>
    <w:rsid w:val="00970D90"/>
    <w:rsid w:val="0097150D"/>
    <w:rsid w:val="00971B0B"/>
    <w:rsid w:val="00972131"/>
    <w:rsid w:val="00977813"/>
    <w:rsid w:val="009863A7"/>
    <w:rsid w:val="00986848"/>
    <w:rsid w:val="0099124E"/>
    <w:rsid w:val="00991261"/>
    <w:rsid w:val="00994010"/>
    <w:rsid w:val="00994014"/>
    <w:rsid w:val="009959A4"/>
    <w:rsid w:val="009A37C7"/>
    <w:rsid w:val="009B2FB7"/>
    <w:rsid w:val="009B3CC1"/>
    <w:rsid w:val="009B5318"/>
    <w:rsid w:val="009B6F46"/>
    <w:rsid w:val="009C2E92"/>
    <w:rsid w:val="009E2874"/>
    <w:rsid w:val="009E35FF"/>
    <w:rsid w:val="009E587B"/>
    <w:rsid w:val="009F339D"/>
    <w:rsid w:val="00A12267"/>
    <w:rsid w:val="00A1427D"/>
    <w:rsid w:val="00A22354"/>
    <w:rsid w:val="00A22441"/>
    <w:rsid w:val="00A24E0D"/>
    <w:rsid w:val="00A25434"/>
    <w:rsid w:val="00A27584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14F4D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BF2DFE"/>
    <w:rsid w:val="00C14CEE"/>
    <w:rsid w:val="00C17582"/>
    <w:rsid w:val="00C17CC7"/>
    <w:rsid w:val="00C20E3D"/>
    <w:rsid w:val="00C23226"/>
    <w:rsid w:val="00C248EF"/>
    <w:rsid w:val="00C313F5"/>
    <w:rsid w:val="00C3461F"/>
    <w:rsid w:val="00C3713C"/>
    <w:rsid w:val="00C40BAB"/>
    <w:rsid w:val="00C4186E"/>
    <w:rsid w:val="00C463DD"/>
    <w:rsid w:val="00C53B42"/>
    <w:rsid w:val="00C56883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3BCA"/>
    <w:rsid w:val="00CB4C9D"/>
    <w:rsid w:val="00CC23F0"/>
    <w:rsid w:val="00CD42C3"/>
    <w:rsid w:val="00CD68B3"/>
    <w:rsid w:val="00CE4A8F"/>
    <w:rsid w:val="00CE58B6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1548"/>
    <w:rsid w:val="00D2387E"/>
    <w:rsid w:val="00D23B3C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4D80"/>
    <w:rsid w:val="00D753D8"/>
    <w:rsid w:val="00D84DB1"/>
    <w:rsid w:val="00D9170E"/>
    <w:rsid w:val="00D95849"/>
    <w:rsid w:val="00D96CC5"/>
    <w:rsid w:val="00D978C6"/>
    <w:rsid w:val="00DA67AD"/>
    <w:rsid w:val="00DA6851"/>
    <w:rsid w:val="00DB0284"/>
    <w:rsid w:val="00DB281B"/>
    <w:rsid w:val="00DC16B9"/>
    <w:rsid w:val="00DC1797"/>
    <w:rsid w:val="00DD3B66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305E0"/>
    <w:rsid w:val="00E40163"/>
    <w:rsid w:val="00E40641"/>
    <w:rsid w:val="00E4194D"/>
    <w:rsid w:val="00E44EEF"/>
    <w:rsid w:val="00E450F1"/>
    <w:rsid w:val="00E45DE2"/>
    <w:rsid w:val="00E5126A"/>
    <w:rsid w:val="00E5317F"/>
    <w:rsid w:val="00E5644E"/>
    <w:rsid w:val="00E62EE3"/>
    <w:rsid w:val="00E66AF1"/>
    <w:rsid w:val="00E7260F"/>
    <w:rsid w:val="00E81252"/>
    <w:rsid w:val="00E84EAD"/>
    <w:rsid w:val="00E8535A"/>
    <w:rsid w:val="00E90EE6"/>
    <w:rsid w:val="00E92301"/>
    <w:rsid w:val="00E96630"/>
    <w:rsid w:val="00EA2878"/>
    <w:rsid w:val="00EB6541"/>
    <w:rsid w:val="00EB6832"/>
    <w:rsid w:val="00EC42EA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D7F"/>
    <w:rsid w:val="00F01117"/>
    <w:rsid w:val="00F01716"/>
    <w:rsid w:val="00F03012"/>
    <w:rsid w:val="00F054AD"/>
    <w:rsid w:val="00F10B6C"/>
    <w:rsid w:val="00F14001"/>
    <w:rsid w:val="00F148ED"/>
    <w:rsid w:val="00F14936"/>
    <w:rsid w:val="00F200A6"/>
    <w:rsid w:val="00F24697"/>
    <w:rsid w:val="00F40E75"/>
    <w:rsid w:val="00F416AA"/>
    <w:rsid w:val="00F44977"/>
    <w:rsid w:val="00F45C14"/>
    <w:rsid w:val="00F45D1A"/>
    <w:rsid w:val="00F475EB"/>
    <w:rsid w:val="00F51F72"/>
    <w:rsid w:val="00F54674"/>
    <w:rsid w:val="00F54DDA"/>
    <w:rsid w:val="00F6331D"/>
    <w:rsid w:val="00F660F2"/>
    <w:rsid w:val="00F72912"/>
    <w:rsid w:val="00F85D7A"/>
    <w:rsid w:val="00F873E7"/>
    <w:rsid w:val="00F93B34"/>
    <w:rsid w:val="00FA54B1"/>
    <w:rsid w:val="00FB7905"/>
    <w:rsid w:val="00FC68B7"/>
    <w:rsid w:val="00FD6B2B"/>
    <w:rsid w:val="00FE43ED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E7CB6-4E1D-4D7F-98A6-1AE1A696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1321580</vt:lpstr>
      <vt:lpstr>1321580</vt:lpstr>
    </vt:vector>
  </TitlesOfParts>
  <Company>CSD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AUFAUVRE</dc:creator>
  <cp:lastModifiedBy>Laurence Berthet</cp:lastModifiedBy>
  <cp:revision>3</cp:revision>
  <cp:lastPrinted>2015-06-17T13:10:00Z</cp:lastPrinted>
  <dcterms:created xsi:type="dcterms:W3CDTF">2015-06-17T13:11:00Z</dcterms:created>
  <dcterms:modified xsi:type="dcterms:W3CDTF">2015-06-17T13:13:00Z</dcterms:modified>
</cp:coreProperties>
</file>