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DB58B5" w:rsidTr="0034591A">
        <w:trPr>
          <w:trHeight w:hRule="exact" w:val="851"/>
        </w:trPr>
        <w:tc>
          <w:tcPr>
            <w:tcW w:w="1276" w:type="dxa"/>
            <w:tcBorders>
              <w:bottom w:val="single" w:sz="4" w:space="0" w:color="auto"/>
            </w:tcBorders>
          </w:tcPr>
          <w:p w:rsidR="00482AF2" w:rsidRPr="00DB58B5" w:rsidRDefault="00482AF2" w:rsidP="00866D64"/>
        </w:tc>
        <w:tc>
          <w:tcPr>
            <w:tcW w:w="2268" w:type="dxa"/>
            <w:tcBorders>
              <w:bottom w:val="single" w:sz="4" w:space="0" w:color="auto"/>
            </w:tcBorders>
            <w:vAlign w:val="bottom"/>
          </w:tcPr>
          <w:p w:rsidR="00482AF2" w:rsidRPr="00DB58B5" w:rsidRDefault="00482AF2" w:rsidP="00866D6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482AF2" w:rsidRPr="00DB58B5" w:rsidRDefault="00940661" w:rsidP="005447C1">
            <w:pPr>
              <w:jc w:val="right"/>
            </w:pPr>
            <w:r w:rsidRPr="00940661">
              <w:rPr>
                <w:sz w:val="40"/>
              </w:rPr>
              <w:t>ST</w:t>
            </w:r>
            <w:r>
              <w:t>/SG/AC.10/C.3/</w:t>
            </w:r>
            <w:r w:rsidR="0037083A">
              <w:t>9</w:t>
            </w:r>
            <w:r w:rsidR="005447C1">
              <w:t>5</w:t>
            </w:r>
          </w:p>
        </w:tc>
      </w:tr>
      <w:tr w:rsidR="00482AF2" w:rsidRPr="00DB58B5" w:rsidTr="00866D64">
        <w:trPr>
          <w:trHeight w:hRule="exact" w:val="2835"/>
        </w:trPr>
        <w:tc>
          <w:tcPr>
            <w:tcW w:w="1276" w:type="dxa"/>
            <w:tcBorders>
              <w:top w:val="single" w:sz="4" w:space="0" w:color="auto"/>
              <w:bottom w:val="single" w:sz="12" w:space="0" w:color="auto"/>
            </w:tcBorders>
          </w:tcPr>
          <w:p w:rsidR="00482AF2" w:rsidRPr="00DB58B5" w:rsidRDefault="00E75F20" w:rsidP="00866D64">
            <w:pPr>
              <w:spacing w:before="120"/>
              <w:jc w:val="center"/>
            </w:pPr>
            <w:r>
              <w:rPr>
                <w:noProof/>
                <w:lang w:val="en-GB" w:eastAsia="en-GB"/>
              </w:rPr>
              <w:drawing>
                <wp:inline distT="0" distB="0" distL="0" distR="0">
                  <wp:extent cx="715645" cy="588645"/>
                  <wp:effectExtent l="0" t="0" r="8255" b="190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740562" w:rsidRDefault="00482AF2" w:rsidP="00866D64">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940661" w:rsidRDefault="00BC3270" w:rsidP="00940661">
            <w:pPr>
              <w:spacing w:before="240" w:line="240" w:lineRule="exact"/>
            </w:pPr>
            <w:proofErr w:type="spellStart"/>
            <w:r>
              <w:t>Distr</w:t>
            </w:r>
            <w:proofErr w:type="spellEnd"/>
            <w:r>
              <w:t>. g</w:t>
            </w:r>
            <w:r w:rsidR="00940661">
              <w:t>énérale</w:t>
            </w:r>
          </w:p>
          <w:p w:rsidR="00940661" w:rsidRDefault="005447C1" w:rsidP="00E943C7">
            <w:pPr>
              <w:spacing w:after="120" w:line="240" w:lineRule="exact"/>
            </w:pPr>
            <w:r>
              <w:t>4</w:t>
            </w:r>
            <w:r w:rsidR="00230085">
              <w:t xml:space="preserve"> </w:t>
            </w:r>
            <w:r>
              <w:t>août</w:t>
            </w:r>
            <w:r w:rsidR="00230085">
              <w:t xml:space="preserve"> </w:t>
            </w:r>
            <w:r w:rsidR="00B80073">
              <w:t>2015</w:t>
            </w:r>
            <w:r w:rsidR="00E943C7">
              <w:br/>
            </w:r>
            <w:r w:rsidR="00F21C87" w:rsidRPr="00931222">
              <w:t>Français</w:t>
            </w:r>
            <w:r w:rsidR="00E943C7">
              <w:br/>
            </w:r>
            <w:r w:rsidR="00F21C87">
              <w:t>Original: anglais et français</w:t>
            </w:r>
          </w:p>
          <w:p w:rsidR="00482AF2" w:rsidRPr="00DB58B5" w:rsidRDefault="00482AF2" w:rsidP="00940661">
            <w:pPr>
              <w:spacing w:line="240" w:lineRule="exact"/>
            </w:pPr>
          </w:p>
        </w:tc>
      </w:tr>
    </w:tbl>
    <w:p w:rsidR="0034591A" w:rsidRPr="00CA0680" w:rsidRDefault="0034591A" w:rsidP="00CA0680">
      <w:pPr>
        <w:spacing w:before="120"/>
        <w:rPr>
          <w:b/>
          <w:sz w:val="24"/>
          <w:szCs w:val="24"/>
        </w:rPr>
      </w:pPr>
      <w:r w:rsidRPr="00CA0680">
        <w:rPr>
          <w:b/>
          <w:sz w:val="24"/>
          <w:szCs w:val="24"/>
        </w:rPr>
        <w:t>C</w:t>
      </w:r>
      <w:r w:rsidR="00CA0680" w:rsidRPr="00CA0680">
        <w:rPr>
          <w:b/>
          <w:sz w:val="24"/>
          <w:szCs w:val="24"/>
        </w:rPr>
        <w:t>omité d’experts du transport</w:t>
      </w:r>
      <w:r w:rsidR="00CA0680">
        <w:rPr>
          <w:b/>
          <w:sz w:val="24"/>
          <w:szCs w:val="24"/>
        </w:rPr>
        <w:t xml:space="preserve"> </w:t>
      </w:r>
      <w:r w:rsidR="00CA0680" w:rsidRPr="00CA0680">
        <w:rPr>
          <w:b/>
          <w:sz w:val="24"/>
          <w:szCs w:val="24"/>
        </w:rPr>
        <w:t>des marchandises dangereuses</w:t>
      </w:r>
      <w:r w:rsidR="00CA0680">
        <w:rPr>
          <w:b/>
          <w:sz w:val="24"/>
          <w:szCs w:val="24"/>
        </w:rPr>
        <w:br/>
      </w:r>
      <w:r w:rsidR="00CA0680" w:rsidRPr="00CA0680">
        <w:rPr>
          <w:b/>
          <w:sz w:val="24"/>
          <w:szCs w:val="24"/>
        </w:rPr>
        <w:t>et</w:t>
      </w:r>
      <w:r w:rsidR="00CA0680">
        <w:rPr>
          <w:b/>
          <w:sz w:val="24"/>
          <w:szCs w:val="24"/>
        </w:rPr>
        <w:t xml:space="preserve"> </w:t>
      </w:r>
      <w:r w:rsidR="00CA0680" w:rsidRPr="00CA0680">
        <w:rPr>
          <w:b/>
          <w:sz w:val="24"/>
          <w:szCs w:val="24"/>
        </w:rPr>
        <w:t xml:space="preserve">du </w:t>
      </w:r>
      <w:r w:rsidR="00CA0680">
        <w:rPr>
          <w:b/>
          <w:sz w:val="24"/>
          <w:szCs w:val="24"/>
        </w:rPr>
        <w:t>S</w:t>
      </w:r>
      <w:r w:rsidR="00CA0680" w:rsidRPr="00CA0680">
        <w:rPr>
          <w:b/>
          <w:sz w:val="24"/>
          <w:szCs w:val="24"/>
        </w:rPr>
        <w:t>ystème général harmonisé</w:t>
      </w:r>
      <w:r w:rsidR="00CA0680">
        <w:rPr>
          <w:b/>
          <w:sz w:val="24"/>
          <w:szCs w:val="24"/>
        </w:rPr>
        <w:t xml:space="preserve"> </w:t>
      </w:r>
      <w:r w:rsidR="00CA0680" w:rsidRPr="00CA0680">
        <w:rPr>
          <w:b/>
          <w:sz w:val="24"/>
          <w:szCs w:val="24"/>
        </w:rPr>
        <w:t>de classification</w:t>
      </w:r>
      <w:r w:rsidR="00CA0680">
        <w:rPr>
          <w:b/>
          <w:sz w:val="24"/>
          <w:szCs w:val="24"/>
        </w:rPr>
        <w:br/>
      </w:r>
      <w:r w:rsidR="00CA0680" w:rsidRPr="00CA0680">
        <w:rPr>
          <w:b/>
          <w:sz w:val="24"/>
          <w:szCs w:val="24"/>
        </w:rPr>
        <w:t>et d’étiquetage</w:t>
      </w:r>
      <w:r w:rsidR="00CA0680">
        <w:rPr>
          <w:b/>
          <w:sz w:val="24"/>
          <w:szCs w:val="24"/>
        </w:rPr>
        <w:t xml:space="preserve"> </w:t>
      </w:r>
      <w:r w:rsidR="00CA0680" w:rsidRPr="00CA0680">
        <w:rPr>
          <w:b/>
          <w:sz w:val="24"/>
          <w:szCs w:val="24"/>
        </w:rPr>
        <w:t>des produits chimiques</w:t>
      </w:r>
    </w:p>
    <w:p w:rsidR="0034591A" w:rsidRPr="00CA0680" w:rsidRDefault="0034591A" w:rsidP="0094723C">
      <w:pPr>
        <w:spacing w:before="120"/>
        <w:rPr>
          <w:b/>
        </w:rPr>
      </w:pPr>
      <w:r w:rsidRPr="00CA0680">
        <w:rPr>
          <w:b/>
        </w:rPr>
        <w:t>Sous</w:t>
      </w:r>
      <w:r w:rsidR="00CA0680">
        <w:rPr>
          <w:b/>
        </w:rPr>
        <w:t>-</w:t>
      </w:r>
      <w:r w:rsidRPr="00CA0680">
        <w:rPr>
          <w:b/>
        </w:rPr>
        <w:t>Comité d’experts du transport</w:t>
      </w:r>
      <w:r w:rsidR="00CA0680" w:rsidRPr="00CA0680">
        <w:rPr>
          <w:b/>
        </w:rPr>
        <w:t xml:space="preserve"> </w:t>
      </w:r>
      <w:r w:rsidRPr="00CA0680">
        <w:rPr>
          <w:b/>
        </w:rPr>
        <w:t>des marchandises dangereuses</w:t>
      </w:r>
    </w:p>
    <w:p w:rsidR="00CA0680" w:rsidRPr="00207F30" w:rsidRDefault="00ED21C2" w:rsidP="0094723C">
      <w:pPr>
        <w:spacing w:before="120"/>
        <w:rPr>
          <w:b/>
        </w:rPr>
      </w:pPr>
      <w:r>
        <w:rPr>
          <w:b/>
          <w:bCs/>
          <w:lang w:val="fr-FR"/>
        </w:rPr>
        <w:t>Quarant</w:t>
      </w:r>
      <w:r w:rsidR="00F531A4">
        <w:rPr>
          <w:b/>
          <w:bCs/>
          <w:lang w:val="fr-FR"/>
        </w:rPr>
        <w:t>e-</w:t>
      </w:r>
      <w:r w:rsidR="005447C1">
        <w:rPr>
          <w:b/>
          <w:bCs/>
          <w:lang w:val="fr-FR"/>
        </w:rPr>
        <w:t>huitième</w:t>
      </w:r>
      <w:r w:rsidR="00353080" w:rsidRPr="00207F30">
        <w:rPr>
          <w:b/>
        </w:rPr>
        <w:t xml:space="preserve"> </w:t>
      </w:r>
      <w:r w:rsidR="0034591A" w:rsidRPr="00207F30">
        <w:rPr>
          <w:b/>
        </w:rPr>
        <w:t>session</w:t>
      </w:r>
    </w:p>
    <w:p w:rsidR="00BC3270" w:rsidRDefault="0034591A" w:rsidP="00BC3270">
      <w:r>
        <w:t xml:space="preserve">Genève, </w:t>
      </w:r>
      <w:r w:rsidR="005447C1">
        <w:t>30 novembre – 9 décembre</w:t>
      </w:r>
      <w:r w:rsidR="0037083A">
        <w:t xml:space="preserve"> 2015</w:t>
      </w:r>
      <w:r w:rsidR="00BC3270">
        <w:br/>
        <w:t>Point 1 de l'ordre du jour provisoire</w:t>
      </w:r>
    </w:p>
    <w:p w:rsidR="00CA0680" w:rsidRDefault="00BC3270" w:rsidP="00BC3270">
      <w:r>
        <w:rPr>
          <w:b/>
        </w:rPr>
        <w:t>Adoption de l'ordre du jour</w:t>
      </w:r>
    </w:p>
    <w:p w:rsidR="00CA0680" w:rsidRPr="00CA0680" w:rsidRDefault="00964328" w:rsidP="00964328">
      <w:pPr>
        <w:pStyle w:val="HChG"/>
      </w:pPr>
      <w:r>
        <w:rPr>
          <w:lang w:val="fr-FR"/>
        </w:rPr>
        <w:tab/>
      </w:r>
      <w:r>
        <w:rPr>
          <w:lang w:val="fr-FR"/>
        </w:rPr>
        <w:tab/>
        <w:t>Ordre du jour provisoire</w:t>
      </w:r>
      <w:r w:rsidR="00BC3270">
        <w:rPr>
          <w:lang w:val="fr-FR"/>
        </w:rPr>
        <w:t xml:space="preserve"> de la </w:t>
      </w:r>
      <w:r w:rsidR="00047119">
        <w:rPr>
          <w:lang w:val="fr-FR"/>
        </w:rPr>
        <w:t>quarant</w:t>
      </w:r>
      <w:r w:rsidR="00F531A4">
        <w:rPr>
          <w:lang w:val="fr-FR"/>
        </w:rPr>
        <w:t>e-</w:t>
      </w:r>
      <w:r w:rsidR="005447C1">
        <w:rPr>
          <w:lang w:val="fr-FR"/>
        </w:rPr>
        <w:t>huitième</w:t>
      </w:r>
      <w:r w:rsidR="00BC3270">
        <w:rPr>
          <w:lang w:val="fr-FR"/>
        </w:rPr>
        <w:t xml:space="preserve"> session</w:t>
      </w:r>
      <w:r w:rsidRPr="00964328">
        <w:rPr>
          <w:rStyle w:val="FootnoteReference"/>
          <w:b w:val="0"/>
        </w:rPr>
        <w:footnoteReference w:id="2"/>
      </w:r>
      <w:r w:rsidRPr="00964328">
        <w:rPr>
          <w:b w:val="0"/>
          <w:vertAlign w:val="superscript"/>
          <w:lang w:val="fr-FR"/>
        </w:rPr>
        <w:t xml:space="preserve"> </w:t>
      </w:r>
      <w:r w:rsidRPr="00964328">
        <w:rPr>
          <w:rStyle w:val="FootnoteReference"/>
          <w:b w:val="0"/>
        </w:rPr>
        <w:footnoteReference w:id="3"/>
      </w:r>
      <w:r w:rsidRPr="00964328">
        <w:rPr>
          <w:b w:val="0"/>
          <w:vertAlign w:val="superscript"/>
          <w:lang w:val="fr-FR"/>
        </w:rPr>
        <w:t xml:space="preserve"> </w:t>
      </w:r>
      <w:r w:rsidRPr="00964328">
        <w:rPr>
          <w:rStyle w:val="FootnoteReference"/>
          <w:b w:val="0"/>
        </w:rPr>
        <w:footnoteReference w:id="4"/>
      </w:r>
    </w:p>
    <w:p w:rsidR="00CA0680" w:rsidRDefault="0079614D" w:rsidP="0079614D">
      <w:pPr>
        <w:pStyle w:val="H56G"/>
        <w:rPr>
          <w:lang w:val="fr-FR"/>
        </w:rPr>
      </w:pPr>
      <w:r>
        <w:rPr>
          <w:lang w:val="fr-FR"/>
        </w:rPr>
        <w:tab/>
      </w:r>
      <w:r>
        <w:rPr>
          <w:lang w:val="fr-FR"/>
        </w:rPr>
        <w:tab/>
        <w:t xml:space="preserve">Qui s'ouvrira au Palais des Nations, à Genève, le lundi </w:t>
      </w:r>
      <w:r w:rsidR="0037083A">
        <w:rPr>
          <w:lang w:val="fr-FR"/>
        </w:rPr>
        <w:t>22 juin 2015</w:t>
      </w:r>
      <w:r>
        <w:rPr>
          <w:lang w:val="fr-FR"/>
        </w:rPr>
        <w:t xml:space="preserve"> à 10 heures</w:t>
      </w:r>
    </w:p>
    <w:p w:rsidR="0079614D" w:rsidRDefault="0079614D" w:rsidP="00DA360C">
      <w:pPr>
        <w:pStyle w:val="SingleTxtG"/>
        <w:numPr>
          <w:ilvl w:val="0"/>
          <w:numId w:val="3"/>
        </w:numPr>
        <w:rPr>
          <w:lang w:val="fr-FR"/>
        </w:rPr>
      </w:pPr>
      <w:r>
        <w:rPr>
          <w:lang w:val="fr-FR"/>
        </w:rPr>
        <w:t>Adoption de l'ordre du jour</w:t>
      </w:r>
      <w:r w:rsidR="00DA360C">
        <w:rPr>
          <w:lang w:val="fr-FR"/>
        </w:rPr>
        <w:t>.</w:t>
      </w:r>
    </w:p>
    <w:p w:rsidR="0076684C" w:rsidRDefault="0076684C" w:rsidP="0076684C">
      <w:pPr>
        <w:pStyle w:val="SingleTxtG"/>
        <w:numPr>
          <w:ilvl w:val="0"/>
          <w:numId w:val="3"/>
        </w:numPr>
        <w:rPr>
          <w:lang w:val="fr-FR"/>
        </w:rPr>
      </w:pPr>
      <w:r>
        <w:rPr>
          <w:lang w:val="fr-FR"/>
        </w:rPr>
        <w:t>Explosifs et questions connexes</w:t>
      </w:r>
      <w:r w:rsidR="00230085">
        <w:rPr>
          <w:rStyle w:val="FootnoteReference"/>
        </w:rPr>
        <w:footnoteReference w:id="5"/>
      </w:r>
      <w:r>
        <w:rPr>
          <w:lang w:val="fr-FR"/>
        </w:rPr>
        <w:t>:</w:t>
      </w:r>
    </w:p>
    <w:p w:rsidR="0076684C" w:rsidRDefault="00C46DAC" w:rsidP="00C46DAC">
      <w:pPr>
        <w:pStyle w:val="SingleTxtG"/>
        <w:tabs>
          <w:tab w:val="left" w:pos="2268"/>
        </w:tabs>
        <w:ind w:left="1710"/>
        <w:rPr>
          <w:lang w:val="fr-FR"/>
        </w:rPr>
      </w:pPr>
      <w:r>
        <w:rPr>
          <w:lang w:val="fr-FR"/>
        </w:rPr>
        <w:t>a)</w:t>
      </w:r>
      <w:r>
        <w:rPr>
          <w:lang w:val="fr-FR"/>
        </w:rPr>
        <w:tab/>
      </w:r>
      <w:r w:rsidR="0076684C">
        <w:rPr>
          <w:lang w:val="fr-FR"/>
        </w:rPr>
        <w:t>Épreuves et critères relatifs aux compositions éclair;</w:t>
      </w:r>
    </w:p>
    <w:p w:rsidR="0076684C" w:rsidRDefault="00C46DAC" w:rsidP="00C46DAC">
      <w:pPr>
        <w:pStyle w:val="SingleTxtG"/>
        <w:tabs>
          <w:tab w:val="left" w:pos="2268"/>
        </w:tabs>
        <w:ind w:left="1710"/>
        <w:rPr>
          <w:lang w:val="fr-FR"/>
        </w:rPr>
      </w:pPr>
      <w:r>
        <w:rPr>
          <w:lang w:val="fr-FR"/>
        </w:rPr>
        <w:t>b)</w:t>
      </w:r>
      <w:r>
        <w:rPr>
          <w:lang w:val="fr-FR"/>
        </w:rPr>
        <w:tab/>
      </w:r>
      <w:r w:rsidR="0076684C">
        <w:rPr>
          <w:lang w:val="fr-FR"/>
        </w:rPr>
        <w:t>Épreuves de la série 6;</w:t>
      </w:r>
    </w:p>
    <w:p w:rsidR="0076684C" w:rsidRDefault="00C46DAC" w:rsidP="00C46DAC">
      <w:pPr>
        <w:pStyle w:val="SingleTxtG"/>
        <w:tabs>
          <w:tab w:val="left" w:pos="2268"/>
        </w:tabs>
        <w:ind w:left="1710"/>
        <w:rPr>
          <w:lang w:val="fr-FR"/>
        </w:rPr>
      </w:pPr>
      <w:r>
        <w:rPr>
          <w:lang w:val="fr-FR"/>
        </w:rPr>
        <w:t>c)</w:t>
      </w:r>
      <w:r>
        <w:rPr>
          <w:lang w:val="fr-FR"/>
        </w:rPr>
        <w:tab/>
      </w:r>
      <w:r w:rsidR="0076684C">
        <w:rPr>
          <w:lang w:val="fr-FR"/>
        </w:rPr>
        <w:t>Révision des épreuves des parties I et II du Manuel d’épreuves et de critères;</w:t>
      </w:r>
    </w:p>
    <w:p w:rsidR="0076684C" w:rsidRDefault="00C46DAC" w:rsidP="00C46DAC">
      <w:pPr>
        <w:pStyle w:val="SingleTxtG"/>
        <w:tabs>
          <w:tab w:val="left" w:pos="2268"/>
        </w:tabs>
        <w:ind w:left="1710"/>
        <w:rPr>
          <w:lang w:val="fr-FR"/>
        </w:rPr>
      </w:pPr>
      <w:r>
        <w:rPr>
          <w:lang w:val="fr-FR"/>
        </w:rPr>
        <w:t>d)</w:t>
      </w:r>
      <w:r>
        <w:rPr>
          <w:lang w:val="fr-FR"/>
        </w:rPr>
        <w:tab/>
      </w:r>
      <w:r w:rsidR="0076684C">
        <w:rPr>
          <w:lang w:val="fr-FR"/>
        </w:rPr>
        <w:t xml:space="preserve">Révision des instructions d’emballage </w:t>
      </w:r>
      <w:r>
        <w:rPr>
          <w:lang w:val="fr-FR"/>
        </w:rPr>
        <w:t>relatives aux</w:t>
      </w:r>
      <w:r w:rsidR="0076684C">
        <w:rPr>
          <w:lang w:val="fr-FR"/>
        </w:rPr>
        <w:t xml:space="preserve"> explosifs;</w:t>
      </w:r>
    </w:p>
    <w:p w:rsidR="0076684C" w:rsidRDefault="00C46DAC" w:rsidP="00C46DAC">
      <w:pPr>
        <w:pStyle w:val="SingleTxtG"/>
        <w:tabs>
          <w:tab w:val="left" w:pos="2268"/>
        </w:tabs>
        <w:ind w:left="1710"/>
        <w:rPr>
          <w:lang w:val="fr-FR"/>
        </w:rPr>
      </w:pPr>
      <w:r>
        <w:rPr>
          <w:lang w:val="fr-FR"/>
        </w:rPr>
        <w:t>e)</w:t>
      </w:r>
      <w:r>
        <w:rPr>
          <w:lang w:val="fr-FR"/>
        </w:rPr>
        <w:tab/>
        <w:t>Norme harmonisée applicable aux marques de sûreté</w:t>
      </w:r>
      <w:r w:rsidR="0076684C">
        <w:rPr>
          <w:lang w:val="fr-FR"/>
        </w:rPr>
        <w:t>;</w:t>
      </w:r>
    </w:p>
    <w:p w:rsidR="00C46DAC" w:rsidRDefault="00C46DAC" w:rsidP="00C46DAC">
      <w:pPr>
        <w:pStyle w:val="SingleTxtG"/>
        <w:tabs>
          <w:tab w:val="left" w:pos="2268"/>
        </w:tabs>
        <w:ind w:left="1710"/>
        <w:rPr>
          <w:lang w:val="fr-FR"/>
        </w:rPr>
      </w:pPr>
      <w:r>
        <w:rPr>
          <w:lang w:val="fr-FR"/>
        </w:rPr>
        <w:lastRenderedPageBreak/>
        <w:t>f)</w:t>
      </w:r>
      <w:r>
        <w:rPr>
          <w:lang w:val="fr-FR"/>
        </w:rPr>
        <w:tab/>
        <w:t>Classement des artifices de divertissement;</w:t>
      </w:r>
    </w:p>
    <w:p w:rsidR="005A287A" w:rsidRDefault="005A287A" w:rsidP="00C46DAC">
      <w:pPr>
        <w:pStyle w:val="SingleTxtG"/>
        <w:tabs>
          <w:tab w:val="left" w:pos="2268"/>
        </w:tabs>
        <w:ind w:left="1710"/>
        <w:rPr>
          <w:lang w:val="fr-FR"/>
        </w:rPr>
      </w:pPr>
      <w:r>
        <w:rPr>
          <w:lang w:val="fr-FR"/>
        </w:rPr>
        <w:t>g)</w:t>
      </w:r>
      <w:r>
        <w:rPr>
          <w:lang w:val="fr-FR"/>
        </w:rPr>
        <w:tab/>
        <w:t>Classement des objets</w:t>
      </w:r>
      <w:r w:rsidR="00AC68FA">
        <w:rPr>
          <w:lang w:val="fr-FR"/>
        </w:rPr>
        <w:t xml:space="preserve"> sous le numéro ONU 0349;</w:t>
      </w:r>
    </w:p>
    <w:p w:rsidR="00AC68FA" w:rsidRDefault="00AC68FA" w:rsidP="00C46DAC">
      <w:pPr>
        <w:pStyle w:val="SingleTxtG"/>
        <w:tabs>
          <w:tab w:val="left" w:pos="2268"/>
        </w:tabs>
        <w:ind w:left="1710"/>
        <w:rPr>
          <w:lang w:val="fr-FR"/>
        </w:rPr>
      </w:pPr>
      <w:r>
        <w:rPr>
          <w:lang w:val="fr-FR"/>
        </w:rPr>
        <w:t>h)</w:t>
      </w:r>
      <w:r>
        <w:rPr>
          <w:lang w:val="fr-FR"/>
        </w:rPr>
        <w:tab/>
        <w:t>Examen du chapitre 2.1 du SGH;</w:t>
      </w:r>
    </w:p>
    <w:p w:rsidR="00AC68FA" w:rsidRDefault="00AC68FA" w:rsidP="00C46DAC">
      <w:pPr>
        <w:pStyle w:val="SingleTxtG"/>
        <w:tabs>
          <w:tab w:val="left" w:pos="2268"/>
        </w:tabs>
        <w:ind w:left="1710"/>
        <w:rPr>
          <w:lang w:val="fr-FR"/>
        </w:rPr>
      </w:pPr>
      <w:r>
        <w:rPr>
          <w:lang w:val="fr-FR"/>
        </w:rPr>
        <w:t>i)</w:t>
      </w:r>
      <w:r>
        <w:rPr>
          <w:lang w:val="fr-FR"/>
        </w:rPr>
        <w:tab/>
        <w:t>Questions diverses.</w:t>
      </w:r>
    </w:p>
    <w:p w:rsidR="0076684C" w:rsidRPr="009A42E1" w:rsidRDefault="009A42E1" w:rsidP="009A42E1">
      <w:pPr>
        <w:pStyle w:val="SingleTxtG"/>
        <w:numPr>
          <w:ilvl w:val="0"/>
          <w:numId w:val="3"/>
        </w:numPr>
        <w:rPr>
          <w:lang w:val="fr-FR"/>
        </w:rPr>
      </w:pPr>
      <w:r w:rsidRPr="009A42E1">
        <w:rPr>
          <w:lang w:val="fr-FR"/>
        </w:rPr>
        <w:t>Inscr</w:t>
      </w:r>
      <w:r w:rsidR="00AC68FA">
        <w:rPr>
          <w:lang w:val="fr-FR"/>
        </w:rPr>
        <w:t>iption, classement et emballage.</w:t>
      </w:r>
      <w:bookmarkStart w:id="0" w:name="_GoBack"/>
      <w:bookmarkEnd w:id="0"/>
    </w:p>
    <w:p w:rsidR="0076684C" w:rsidRPr="00286DE4" w:rsidRDefault="00286DE4" w:rsidP="00286DE4">
      <w:pPr>
        <w:pStyle w:val="SingleTxtG"/>
        <w:numPr>
          <w:ilvl w:val="0"/>
          <w:numId w:val="3"/>
        </w:numPr>
        <w:rPr>
          <w:lang w:val="fr-FR"/>
        </w:rPr>
      </w:pPr>
      <w:r w:rsidRPr="00286DE4">
        <w:rPr>
          <w:lang w:val="fr-FR"/>
        </w:rPr>
        <w:t>Systèmes de stockage de l’électricité</w:t>
      </w:r>
      <w:r>
        <w:rPr>
          <w:lang w:val="fr-FR"/>
        </w:rPr>
        <w:t>:</w:t>
      </w:r>
    </w:p>
    <w:p w:rsidR="0076684C" w:rsidRDefault="00AC68FA" w:rsidP="00AC68FA">
      <w:pPr>
        <w:pStyle w:val="SingleTxtG"/>
        <w:tabs>
          <w:tab w:val="left" w:pos="2268"/>
        </w:tabs>
        <w:ind w:left="1701"/>
        <w:rPr>
          <w:lang w:val="fr-FR"/>
        </w:rPr>
      </w:pPr>
      <w:r>
        <w:rPr>
          <w:lang w:val="fr-FR"/>
        </w:rPr>
        <w:t>a)</w:t>
      </w:r>
      <w:r>
        <w:rPr>
          <w:lang w:val="fr-FR"/>
        </w:rPr>
        <w:tab/>
      </w:r>
      <w:r w:rsidR="00286DE4">
        <w:rPr>
          <w:lang w:val="fr-FR"/>
        </w:rPr>
        <w:t>Épreuves des batteries au lithium;</w:t>
      </w:r>
    </w:p>
    <w:p w:rsidR="00286DE4" w:rsidRDefault="00AC68FA" w:rsidP="00AC68FA">
      <w:pPr>
        <w:pStyle w:val="SingleTxtG"/>
        <w:tabs>
          <w:tab w:val="left" w:pos="2268"/>
        </w:tabs>
        <w:ind w:firstLine="567"/>
        <w:rPr>
          <w:lang w:val="fr-FR"/>
        </w:rPr>
      </w:pPr>
      <w:r>
        <w:rPr>
          <w:lang w:val="fr-FR"/>
        </w:rPr>
        <w:t>b)</w:t>
      </w:r>
      <w:r>
        <w:rPr>
          <w:lang w:val="fr-FR"/>
        </w:rPr>
        <w:tab/>
      </w:r>
      <w:r w:rsidR="00286DE4">
        <w:rPr>
          <w:lang w:val="fr-FR"/>
        </w:rPr>
        <w:t>Grandes batteries;</w:t>
      </w:r>
    </w:p>
    <w:p w:rsidR="00286DE4" w:rsidRDefault="00AC68FA" w:rsidP="00AC68FA">
      <w:pPr>
        <w:pStyle w:val="SingleTxtG"/>
        <w:tabs>
          <w:tab w:val="left" w:pos="2268"/>
        </w:tabs>
        <w:ind w:left="2268" w:hanging="567"/>
        <w:rPr>
          <w:lang w:val="fr-FR"/>
        </w:rPr>
      </w:pPr>
      <w:r>
        <w:rPr>
          <w:lang w:val="fr-FR"/>
        </w:rPr>
        <w:t>c)</w:t>
      </w:r>
      <w:r>
        <w:rPr>
          <w:lang w:val="fr-FR"/>
        </w:rPr>
        <w:tab/>
      </w:r>
      <w:r w:rsidR="000E5444">
        <w:rPr>
          <w:lang w:val="fr-FR"/>
        </w:rPr>
        <w:t>Piles</w:t>
      </w:r>
      <w:r w:rsidR="00286DE4">
        <w:rPr>
          <w:lang w:val="fr-FR"/>
        </w:rPr>
        <w:t xml:space="preserve"> thermiques;</w:t>
      </w:r>
    </w:p>
    <w:p w:rsidR="00286DE4" w:rsidRPr="00286DE4" w:rsidRDefault="0043593D" w:rsidP="0043593D">
      <w:pPr>
        <w:pStyle w:val="SingleTxtG"/>
        <w:tabs>
          <w:tab w:val="left" w:pos="2268"/>
        </w:tabs>
        <w:ind w:left="2268" w:hanging="567"/>
        <w:rPr>
          <w:lang w:val="fr-FR"/>
        </w:rPr>
      </w:pPr>
      <w:r>
        <w:rPr>
          <w:lang w:val="fr-FR"/>
        </w:rPr>
        <w:t>d)</w:t>
      </w:r>
      <w:r>
        <w:rPr>
          <w:lang w:val="fr-FR"/>
        </w:rPr>
        <w:tab/>
        <w:t>Questions diverses.</w:t>
      </w:r>
    </w:p>
    <w:p w:rsidR="0076684C" w:rsidRDefault="00AE16EC" w:rsidP="00AE16EC">
      <w:pPr>
        <w:pStyle w:val="SingleTxtG"/>
        <w:numPr>
          <w:ilvl w:val="0"/>
          <w:numId w:val="3"/>
        </w:numPr>
        <w:rPr>
          <w:lang w:val="fr-FR"/>
        </w:rPr>
      </w:pPr>
      <w:r>
        <w:rPr>
          <w:lang w:val="fr-FR"/>
        </w:rPr>
        <w:t>Transport de gaz:</w:t>
      </w:r>
    </w:p>
    <w:p w:rsidR="00AE16EC" w:rsidRDefault="00AE16EC" w:rsidP="00AE16EC">
      <w:pPr>
        <w:pStyle w:val="SingleTxtG"/>
        <w:numPr>
          <w:ilvl w:val="0"/>
          <w:numId w:val="7"/>
        </w:numPr>
        <w:tabs>
          <w:tab w:val="left" w:pos="2268"/>
        </w:tabs>
        <w:ind w:left="1701" w:firstLine="9"/>
        <w:rPr>
          <w:lang w:val="fr-FR"/>
        </w:rPr>
      </w:pPr>
      <w:r>
        <w:rPr>
          <w:lang w:val="fr-FR"/>
        </w:rPr>
        <w:t>Reconnaissance universelle des récipients à pression ONU et non-ONU;</w:t>
      </w:r>
    </w:p>
    <w:p w:rsidR="00AE16EC" w:rsidRDefault="0043593D" w:rsidP="00AE16EC">
      <w:pPr>
        <w:pStyle w:val="SingleTxtG"/>
        <w:numPr>
          <w:ilvl w:val="0"/>
          <w:numId w:val="7"/>
        </w:numPr>
        <w:tabs>
          <w:tab w:val="left" w:pos="2268"/>
        </w:tabs>
        <w:ind w:left="1701" w:firstLine="9"/>
        <w:rPr>
          <w:lang w:val="fr-FR"/>
        </w:rPr>
      </w:pPr>
      <w:r>
        <w:rPr>
          <w:lang w:val="fr-FR"/>
        </w:rPr>
        <w:t>Questions d</w:t>
      </w:r>
      <w:r w:rsidR="00AE16EC">
        <w:rPr>
          <w:lang w:val="fr-FR"/>
        </w:rPr>
        <w:t>ivers</w:t>
      </w:r>
      <w:r>
        <w:rPr>
          <w:lang w:val="fr-FR"/>
        </w:rPr>
        <w:t>es</w:t>
      </w:r>
      <w:r w:rsidR="00AE16EC">
        <w:rPr>
          <w:lang w:val="fr-FR"/>
        </w:rPr>
        <w:t>.</w:t>
      </w:r>
    </w:p>
    <w:p w:rsidR="00286DE4" w:rsidRDefault="002F436C" w:rsidP="002F436C">
      <w:pPr>
        <w:pStyle w:val="SingleTxtG"/>
        <w:numPr>
          <w:ilvl w:val="0"/>
          <w:numId w:val="3"/>
        </w:numPr>
        <w:rPr>
          <w:lang w:val="fr-FR"/>
        </w:rPr>
      </w:pPr>
      <w:r>
        <w:rPr>
          <w:lang w:val="fr-FR"/>
        </w:rPr>
        <w:t>Propositions diverses d’amendements au Règlement type pour le transport des marchandises dangereuses:</w:t>
      </w:r>
    </w:p>
    <w:p w:rsidR="00D94843" w:rsidRDefault="0043593D" w:rsidP="00C070B1">
      <w:pPr>
        <w:pStyle w:val="SingleTxtG"/>
        <w:tabs>
          <w:tab w:val="left" w:pos="2268"/>
        </w:tabs>
        <w:ind w:left="1701"/>
        <w:rPr>
          <w:lang w:val="fr-FR"/>
        </w:rPr>
      </w:pPr>
      <w:r>
        <w:rPr>
          <w:lang w:val="fr-FR"/>
        </w:rPr>
        <w:t>a)</w:t>
      </w:r>
      <w:r>
        <w:rPr>
          <w:lang w:val="fr-FR"/>
        </w:rPr>
        <w:tab/>
      </w:r>
      <w:r w:rsidR="00D03312">
        <w:rPr>
          <w:lang w:val="fr-FR"/>
        </w:rPr>
        <w:t>Marchandises dangereuses</w:t>
      </w:r>
      <w:r w:rsidR="00DE1974">
        <w:rPr>
          <w:lang w:val="fr-FR"/>
        </w:rPr>
        <w:t xml:space="preserve"> contenu</w:t>
      </w:r>
      <w:r w:rsidR="00D03312">
        <w:rPr>
          <w:lang w:val="fr-FR"/>
        </w:rPr>
        <w:t>e</w:t>
      </w:r>
      <w:r w:rsidR="00DE1974">
        <w:rPr>
          <w:lang w:val="fr-FR"/>
        </w:rPr>
        <w:t>s dans des machines</w:t>
      </w:r>
      <w:r w:rsidR="00D03312">
        <w:rPr>
          <w:lang w:val="fr-FR"/>
        </w:rPr>
        <w:t xml:space="preserve">, des appareils ou des </w:t>
      </w:r>
      <w:r w:rsidR="00D03312">
        <w:rPr>
          <w:lang w:val="fr-FR"/>
        </w:rPr>
        <w:tab/>
        <w:t>objets</w:t>
      </w:r>
      <w:r w:rsidR="00D94843">
        <w:rPr>
          <w:lang w:val="fr-FR"/>
        </w:rPr>
        <w:t>, N.S.A;</w:t>
      </w:r>
    </w:p>
    <w:p w:rsidR="00DE1974" w:rsidRDefault="005C73FA" w:rsidP="00C070B1">
      <w:pPr>
        <w:pStyle w:val="SingleTxtG"/>
        <w:tabs>
          <w:tab w:val="left" w:pos="2268"/>
        </w:tabs>
        <w:ind w:left="1701"/>
        <w:rPr>
          <w:lang w:val="fr-FR"/>
        </w:rPr>
      </w:pPr>
      <w:r>
        <w:rPr>
          <w:lang w:val="fr-FR"/>
        </w:rPr>
        <w:t>b</w:t>
      </w:r>
      <w:r w:rsidR="00C070B1">
        <w:rPr>
          <w:lang w:val="fr-FR"/>
        </w:rPr>
        <w:t>)</w:t>
      </w:r>
      <w:r w:rsidR="00C070B1">
        <w:rPr>
          <w:lang w:val="fr-FR"/>
        </w:rPr>
        <w:tab/>
      </w:r>
      <w:r w:rsidR="00DE1974">
        <w:rPr>
          <w:lang w:val="fr-FR"/>
        </w:rPr>
        <w:t>Marquage et étiquetage;</w:t>
      </w:r>
    </w:p>
    <w:p w:rsidR="00DE1974" w:rsidRDefault="005C73FA" w:rsidP="00C070B1">
      <w:pPr>
        <w:pStyle w:val="SingleTxtG"/>
        <w:tabs>
          <w:tab w:val="left" w:pos="2268"/>
        </w:tabs>
        <w:ind w:left="1701"/>
        <w:rPr>
          <w:lang w:val="fr-FR"/>
        </w:rPr>
      </w:pPr>
      <w:r>
        <w:rPr>
          <w:lang w:val="fr-FR"/>
        </w:rPr>
        <w:t>c</w:t>
      </w:r>
      <w:r w:rsidR="00C070B1">
        <w:rPr>
          <w:lang w:val="fr-FR"/>
        </w:rPr>
        <w:t>)</w:t>
      </w:r>
      <w:r w:rsidR="00C070B1">
        <w:rPr>
          <w:lang w:val="fr-FR"/>
        </w:rPr>
        <w:tab/>
      </w:r>
      <w:r w:rsidR="00DE1974">
        <w:rPr>
          <w:lang w:val="fr-FR"/>
        </w:rPr>
        <w:t>Emballage</w:t>
      </w:r>
      <w:r w:rsidR="00C070B1">
        <w:rPr>
          <w:lang w:val="fr-FR"/>
        </w:rPr>
        <w:t>s</w:t>
      </w:r>
      <w:r w:rsidR="00DE1974">
        <w:rPr>
          <w:lang w:val="fr-FR"/>
        </w:rPr>
        <w:t>;</w:t>
      </w:r>
    </w:p>
    <w:p w:rsidR="00DE1974" w:rsidRDefault="005C73FA" w:rsidP="00C070B1">
      <w:pPr>
        <w:pStyle w:val="SingleTxtG"/>
        <w:tabs>
          <w:tab w:val="left" w:pos="2268"/>
        </w:tabs>
        <w:ind w:left="1701"/>
        <w:rPr>
          <w:lang w:val="fr-FR"/>
        </w:rPr>
      </w:pPr>
      <w:r>
        <w:rPr>
          <w:lang w:val="fr-FR"/>
        </w:rPr>
        <w:t>d</w:t>
      </w:r>
      <w:r w:rsidR="00C070B1">
        <w:rPr>
          <w:lang w:val="fr-FR"/>
        </w:rPr>
        <w:t>)</w:t>
      </w:r>
      <w:r w:rsidR="00C070B1">
        <w:rPr>
          <w:lang w:val="fr-FR"/>
        </w:rPr>
        <w:tab/>
      </w:r>
      <w:r w:rsidR="00DE1974">
        <w:rPr>
          <w:lang w:val="fr-FR"/>
        </w:rPr>
        <w:t>Citernes</w:t>
      </w:r>
      <w:r w:rsidR="00C070B1">
        <w:rPr>
          <w:lang w:val="fr-FR"/>
        </w:rPr>
        <w:t xml:space="preserve"> mobiles</w:t>
      </w:r>
      <w:r w:rsidR="00DE1974">
        <w:rPr>
          <w:lang w:val="fr-FR"/>
        </w:rPr>
        <w:t>;</w:t>
      </w:r>
    </w:p>
    <w:p w:rsidR="00DE1974" w:rsidRDefault="005C73FA" w:rsidP="00C070B1">
      <w:pPr>
        <w:pStyle w:val="SingleTxtG"/>
        <w:tabs>
          <w:tab w:val="left" w:pos="2268"/>
        </w:tabs>
        <w:ind w:left="1701"/>
        <w:rPr>
          <w:lang w:val="fr-FR"/>
        </w:rPr>
      </w:pPr>
      <w:r>
        <w:rPr>
          <w:lang w:val="fr-FR"/>
        </w:rPr>
        <w:t>e</w:t>
      </w:r>
      <w:r w:rsidR="00C070B1">
        <w:rPr>
          <w:lang w:val="fr-FR"/>
        </w:rPr>
        <w:t>)</w:t>
      </w:r>
      <w:r w:rsidR="00C070B1">
        <w:rPr>
          <w:lang w:val="fr-FR"/>
        </w:rPr>
        <w:tab/>
        <w:t>Autres propositions diverses</w:t>
      </w:r>
      <w:r w:rsidR="00DE1974">
        <w:rPr>
          <w:lang w:val="fr-FR"/>
        </w:rPr>
        <w:t>.</w:t>
      </w:r>
    </w:p>
    <w:p w:rsidR="00C070B1" w:rsidRDefault="00C070B1" w:rsidP="00C070B1">
      <w:pPr>
        <w:pStyle w:val="SingleTxtG"/>
        <w:tabs>
          <w:tab w:val="left" w:pos="1701"/>
        </w:tabs>
        <w:ind w:left="1701" w:hanging="567"/>
        <w:rPr>
          <w:lang w:val="fr-FR"/>
        </w:rPr>
      </w:pPr>
      <w:r>
        <w:rPr>
          <w:lang w:val="fr-FR"/>
        </w:rPr>
        <w:t>7.</w:t>
      </w:r>
      <w:r>
        <w:rPr>
          <w:lang w:val="fr-FR"/>
        </w:rPr>
        <w:tab/>
        <w:t>Harmonisation générale des règlements de transport des marchandises dangereuses avec le Règlement type;</w:t>
      </w:r>
    </w:p>
    <w:p w:rsidR="00290A9D" w:rsidRDefault="00C070B1" w:rsidP="00C070B1">
      <w:pPr>
        <w:pStyle w:val="SingleTxtG"/>
        <w:rPr>
          <w:lang w:val="fr-FR"/>
        </w:rPr>
      </w:pPr>
      <w:r>
        <w:rPr>
          <w:lang w:val="fr-FR"/>
        </w:rPr>
        <w:t>8.</w:t>
      </w:r>
      <w:r>
        <w:rPr>
          <w:lang w:val="fr-FR"/>
        </w:rPr>
        <w:tab/>
      </w:r>
      <w:r w:rsidR="00290A9D">
        <w:rPr>
          <w:lang w:val="fr-FR"/>
        </w:rPr>
        <w:t>Coopération avec l’Agence internation</w:t>
      </w:r>
      <w:r>
        <w:rPr>
          <w:lang w:val="fr-FR"/>
        </w:rPr>
        <w:t>ale de l’énergie atomique</w:t>
      </w:r>
      <w:r w:rsidR="00290A9D">
        <w:rPr>
          <w:lang w:val="fr-FR"/>
        </w:rPr>
        <w:t>.</w:t>
      </w:r>
    </w:p>
    <w:p w:rsidR="00290A9D" w:rsidRDefault="00C070B1" w:rsidP="00C070B1">
      <w:pPr>
        <w:pStyle w:val="SingleTxtG"/>
        <w:ind w:left="1710" w:hanging="576"/>
        <w:rPr>
          <w:lang w:val="fr-FR"/>
        </w:rPr>
      </w:pPr>
      <w:r>
        <w:rPr>
          <w:lang w:val="fr-FR"/>
        </w:rPr>
        <w:t>9.</w:t>
      </w:r>
      <w:r>
        <w:rPr>
          <w:lang w:val="fr-FR"/>
        </w:rPr>
        <w:tab/>
      </w:r>
      <w:r w:rsidR="00290A9D">
        <w:rPr>
          <w:lang w:val="fr-FR"/>
        </w:rPr>
        <w:t>Princip</w:t>
      </w:r>
      <w:r w:rsidR="003D2725">
        <w:rPr>
          <w:lang w:val="fr-FR"/>
        </w:rPr>
        <w:t>es directeurs du Règlement type:</w:t>
      </w:r>
    </w:p>
    <w:p w:rsidR="003D2725" w:rsidRDefault="00C070B1" w:rsidP="00C070B1">
      <w:pPr>
        <w:pStyle w:val="SingleTxtG"/>
        <w:tabs>
          <w:tab w:val="left" w:pos="2268"/>
        </w:tabs>
        <w:ind w:left="1710"/>
        <w:rPr>
          <w:lang w:val="fr-FR"/>
        </w:rPr>
      </w:pPr>
      <w:r>
        <w:rPr>
          <w:lang w:val="fr-FR"/>
        </w:rPr>
        <w:t>a)</w:t>
      </w:r>
      <w:r>
        <w:rPr>
          <w:lang w:val="fr-FR"/>
        </w:rPr>
        <w:tab/>
      </w:r>
      <w:r w:rsidR="00DE3F77">
        <w:rPr>
          <w:lang w:val="fr-FR"/>
        </w:rPr>
        <w:t>Affectation des codes E;</w:t>
      </w:r>
    </w:p>
    <w:p w:rsidR="00DE3F77" w:rsidRDefault="00C070B1" w:rsidP="00C070B1">
      <w:pPr>
        <w:pStyle w:val="SingleTxtG"/>
        <w:tabs>
          <w:tab w:val="left" w:pos="2268"/>
        </w:tabs>
        <w:ind w:left="1710"/>
        <w:rPr>
          <w:lang w:val="fr-FR"/>
        </w:rPr>
      </w:pPr>
      <w:r>
        <w:rPr>
          <w:lang w:val="fr-FR"/>
        </w:rPr>
        <w:t>b)</w:t>
      </w:r>
      <w:r>
        <w:rPr>
          <w:lang w:val="fr-FR"/>
        </w:rPr>
        <w:tab/>
        <w:t>Elaboration de directives relatives à l’utilisation du Règlement type</w:t>
      </w:r>
      <w:r w:rsidR="00D9470B">
        <w:rPr>
          <w:lang w:val="fr-FR"/>
        </w:rPr>
        <w:t>;</w:t>
      </w:r>
    </w:p>
    <w:p w:rsidR="00C070B1" w:rsidRDefault="00C070B1" w:rsidP="00C070B1">
      <w:pPr>
        <w:pStyle w:val="SingleTxtG"/>
        <w:tabs>
          <w:tab w:val="left" w:pos="2268"/>
        </w:tabs>
        <w:ind w:left="1710"/>
        <w:rPr>
          <w:lang w:val="fr-FR"/>
        </w:rPr>
      </w:pPr>
      <w:r>
        <w:rPr>
          <w:lang w:val="fr-FR"/>
        </w:rPr>
        <w:t>c)</w:t>
      </w:r>
      <w:r>
        <w:rPr>
          <w:lang w:val="fr-FR"/>
        </w:rPr>
        <w:tab/>
        <w:t>Questions diverses.</w:t>
      </w:r>
    </w:p>
    <w:p w:rsidR="00286DE4" w:rsidRDefault="003D605C" w:rsidP="00C070B1">
      <w:pPr>
        <w:pStyle w:val="SingleTxtG"/>
        <w:rPr>
          <w:lang w:val="fr-FR"/>
        </w:rPr>
      </w:pPr>
      <w:r>
        <w:rPr>
          <w:lang w:val="fr-FR"/>
        </w:rPr>
        <w:br w:type="page"/>
      </w:r>
      <w:r w:rsidR="00C070B1">
        <w:rPr>
          <w:lang w:val="fr-FR"/>
        </w:rPr>
        <w:lastRenderedPageBreak/>
        <w:t>10.</w:t>
      </w:r>
      <w:r w:rsidR="00C070B1">
        <w:rPr>
          <w:lang w:val="fr-FR"/>
        </w:rPr>
        <w:tab/>
        <w:t xml:space="preserve">Questions relatives au Système général harmonisé de classification et d’étiquetage </w:t>
      </w:r>
      <w:r w:rsidR="00C070B1">
        <w:rPr>
          <w:lang w:val="fr-FR"/>
        </w:rPr>
        <w:tab/>
        <w:t>des produits chimiques (SGH)</w:t>
      </w:r>
      <w:r w:rsidR="009F0B85">
        <w:rPr>
          <w:rStyle w:val="FootnoteReference"/>
        </w:rPr>
        <w:footnoteReference w:id="6"/>
      </w:r>
      <w:proofErr w:type="gramStart"/>
      <w:r w:rsidR="009F0B85" w:rsidRPr="009F0B85">
        <w:rPr>
          <w:vertAlign w:val="superscript"/>
          <w:lang w:val="fr-FR"/>
        </w:rPr>
        <w:t xml:space="preserve">, </w:t>
      </w:r>
      <w:r w:rsidR="009F0B85">
        <w:rPr>
          <w:rStyle w:val="FootnoteReference"/>
        </w:rPr>
        <w:footnoteReference w:id="7"/>
      </w:r>
      <w:r w:rsidR="00C070B1">
        <w:rPr>
          <w:lang w:val="fr-FR"/>
        </w:rPr>
        <w:t>;</w:t>
      </w:r>
      <w:proofErr w:type="gramEnd"/>
    </w:p>
    <w:p w:rsidR="00C070B1" w:rsidRDefault="00C070B1" w:rsidP="00C070B1">
      <w:pPr>
        <w:pStyle w:val="SingleTxtG"/>
        <w:rPr>
          <w:lang w:val="fr-FR"/>
        </w:rPr>
      </w:pPr>
      <w:r>
        <w:rPr>
          <w:lang w:val="fr-FR"/>
        </w:rPr>
        <w:tab/>
        <w:t>a)</w:t>
      </w:r>
      <w:r>
        <w:rPr>
          <w:lang w:val="fr-FR"/>
        </w:rPr>
        <w:tab/>
        <w:t>Critères relatifs à l’</w:t>
      </w:r>
      <w:proofErr w:type="spellStart"/>
      <w:r>
        <w:rPr>
          <w:lang w:val="fr-FR"/>
        </w:rPr>
        <w:t>hydroréactivité</w:t>
      </w:r>
      <w:proofErr w:type="spellEnd"/>
      <w:r>
        <w:rPr>
          <w:lang w:val="fr-FR"/>
        </w:rPr>
        <w:t>;</w:t>
      </w:r>
    </w:p>
    <w:p w:rsidR="00C070B1" w:rsidRDefault="00C070B1" w:rsidP="00C070B1">
      <w:pPr>
        <w:pStyle w:val="SingleTxtG"/>
        <w:rPr>
          <w:lang w:val="fr-FR"/>
        </w:rPr>
      </w:pPr>
      <w:r>
        <w:rPr>
          <w:lang w:val="fr-FR"/>
        </w:rPr>
        <w:tab/>
        <w:t>b)</w:t>
      </w:r>
      <w:r>
        <w:rPr>
          <w:lang w:val="fr-FR"/>
        </w:rPr>
        <w:tab/>
        <w:t>Épreuves et critères relatifs aux matières liquides et solides comburantes;</w:t>
      </w:r>
    </w:p>
    <w:p w:rsidR="00220CD3" w:rsidRDefault="00220CD3" w:rsidP="00C070B1">
      <w:pPr>
        <w:pStyle w:val="SingleTxtG"/>
        <w:rPr>
          <w:lang w:val="fr-FR"/>
        </w:rPr>
      </w:pPr>
      <w:r>
        <w:rPr>
          <w:lang w:val="fr-FR"/>
        </w:rPr>
        <w:tab/>
        <w:t>c)</w:t>
      </w:r>
      <w:r>
        <w:rPr>
          <w:lang w:val="fr-FR"/>
        </w:rPr>
        <w:tab/>
        <w:t>Critères de classification relatifs aux gaz inflammables;</w:t>
      </w:r>
    </w:p>
    <w:p w:rsidR="00220CD3" w:rsidRDefault="00220CD3" w:rsidP="00C070B1">
      <w:pPr>
        <w:pStyle w:val="SingleTxtG"/>
        <w:rPr>
          <w:lang w:val="fr-FR"/>
        </w:rPr>
      </w:pPr>
      <w:r>
        <w:rPr>
          <w:lang w:val="fr-FR"/>
        </w:rPr>
        <w:tab/>
        <w:t>d)</w:t>
      </w:r>
      <w:r>
        <w:rPr>
          <w:lang w:val="fr-FR"/>
        </w:rPr>
        <w:tab/>
        <w:t>Jugement d’experts et force probante des données;</w:t>
      </w:r>
    </w:p>
    <w:p w:rsidR="00220CD3" w:rsidRDefault="00220CD3" w:rsidP="00C070B1">
      <w:pPr>
        <w:pStyle w:val="SingleTxtG"/>
        <w:rPr>
          <w:lang w:val="fr-FR"/>
        </w:rPr>
      </w:pPr>
      <w:r>
        <w:rPr>
          <w:lang w:val="fr-FR"/>
        </w:rPr>
        <w:tab/>
        <w:t>e)</w:t>
      </w:r>
      <w:r>
        <w:rPr>
          <w:lang w:val="fr-FR"/>
        </w:rPr>
        <w:tab/>
        <w:t>Critères relatifs à la corrosivité;</w:t>
      </w:r>
    </w:p>
    <w:p w:rsidR="003D605C" w:rsidRDefault="003D605C" w:rsidP="00C070B1">
      <w:pPr>
        <w:pStyle w:val="SingleTxtG"/>
        <w:rPr>
          <w:lang w:val="fr-FR"/>
        </w:rPr>
      </w:pPr>
      <w:r>
        <w:rPr>
          <w:lang w:val="fr-FR"/>
        </w:rPr>
        <w:tab/>
        <w:t>f)</w:t>
      </w:r>
      <w:r>
        <w:rPr>
          <w:lang w:val="fr-FR"/>
        </w:rPr>
        <w:tab/>
        <w:t>Mise à jour des références aux directives de l’OCDE;</w:t>
      </w:r>
    </w:p>
    <w:p w:rsidR="003D605C" w:rsidRDefault="003D605C" w:rsidP="00C070B1">
      <w:pPr>
        <w:pStyle w:val="SingleTxtG"/>
        <w:rPr>
          <w:lang w:val="fr-FR"/>
        </w:rPr>
      </w:pPr>
      <w:r>
        <w:rPr>
          <w:lang w:val="fr-FR"/>
        </w:rPr>
        <w:tab/>
        <w:t>g)</w:t>
      </w:r>
      <w:r>
        <w:rPr>
          <w:lang w:val="fr-FR"/>
        </w:rPr>
        <w:tab/>
        <w:t>Utilisation du Manuel d’épreuves et de critères dans le contexte du SGH;</w:t>
      </w:r>
    </w:p>
    <w:p w:rsidR="005748D5" w:rsidRDefault="005748D5" w:rsidP="00C070B1">
      <w:pPr>
        <w:pStyle w:val="SingleTxtG"/>
        <w:rPr>
          <w:lang w:val="fr-FR"/>
        </w:rPr>
      </w:pPr>
      <w:r>
        <w:rPr>
          <w:lang w:val="fr-FR"/>
        </w:rPr>
        <w:tab/>
      </w:r>
      <w:r w:rsidR="009F0B85">
        <w:rPr>
          <w:lang w:val="fr-FR"/>
        </w:rPr>
        <w:t>h</w:t>
      </w:r>
      <w:r>
        <w:rPr>
          <w:lang w:val="fr-FR"/>
        </w:rPr>
        <w:t>)</w:t>
      </w:r>
      <w:r>
        <w:rPr>
          <w:lang w:val="fr-FR"/>
        </w:rPr>
        <w:tab/>
        <w:t>Divers.</w:t>
      </w:r>
    </w:p>
    <w:p w:rsidR="003D605C" w:rsidRDefault="00C070B1" w:rsidP="00C070B1">
      <w:pPr>
        <w:pStyle w:val="SingleTxtG"/>
        <w:rPr>
          <w:lang w:val="fr-FR"/>
        </w:rPr>
      </w:pPr>
      <w:r>
        <w:rPr>
          <w:lang w:val="fr-FR"/>
        </w:rPr>
        <w:t>11.</w:t>
      </w:r>
      <w:r>
        <w:rPr>
          <w:lang w:val="fr-FR"/>
        </w:rPr>
        <w:tab/>
      </w:r>
      <w:r w:rsidR="003D605C">
        <w:rPr>
          <w:lang w:val="fr-FR"/>
        </w:rPr>
        <w:t>Questions diverses.</w:t>
      </w:r>
    </w:p>
    <w:p w:rsidR="003F6673" w:rsidRDefault="003D605C" w:rsidP="00C070B1">
      <w:pPr>
        <w:pStyle w:val="SingleTxtG"/>
        <w:rPr>
          <w:lang w:val="fr-FR"/>
        </w:rPr>
      </w:pPr>
      <w:r>
        <w:rPr>
          <w:lang w:val="fr-FR"/>
        </w:rPr>
        <w:t>12.</w:t>
      </w:r>
      <w:r>
        <w:rPr>
          <w:lang w:val="fr-FR"/>
        </w:rPr>
        <w:tab/>
        <w:t>A</w:t>
      </w:r>
      <w:r w:rsidR="003F6673">
        <w:rPr>
          <w:lang w:val="fr-FR"/>
        </w:rPr>
        <w:t>doption du rapport.</w:t>
      </w:r>
    </w:p>
    <w:p w:rsidR="00286DE4" w:rsidRPr="009F0B85" w:rsidRDefault="003F6673" w:rsidP="009F0B8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86DE4" w:rsidRPr="009F0B85" w:rsidSect="00E766D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33" w:rsidRDefault="003B3533"/>
  </w:endnote>
  <w:endnote w:type="continuationSeparator" w:id="0">
    <w:p w:rsidR="003B3533" w:rsidRDefault="003B3533"/>
  </w:endnote>
  <w:endnote w:type="continuationNotice" w:id="1">
    <w:p w:rsidR="003B3533" w:rsidRDefault="003B3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61" w:rsidRPr="00940661" w:rsidRDefault="00940661" w:rsidP="00940661">
    <w:pPr>
      <w:pStyle w:val="Footer"/>
      <w:tabs>
        <w:tab w:val="right" w:pos="9638"/>
      </w:tabs>
      <w:rPr>
        <w:sz w:val="18"/>
      </w:rPr>
    </w:pPr>
    <w:r w:rsidRPr="00940661">
      <w:rPr>
        <w:b/>
        <w:sz w:val="18"/>
      </w:rPr>
      <w:fldChar w:fldCharType="begin"/>
    </w:r>
    <w:r w:rsidRPr="00940661">
      <w:rPr>
        <w:b/>
        <w:sz w:val="18"/>
      </w:rPr>
      <w:instrText xml:space="preserve"> PAGE  \* MERGEFORMAT </w:instrText>
    </w:r>
    <w:r w:rsidRPr="00940661">
      <w:rPr>
        <w:b/>
        <w:sz w:val="18"/>
      </w:rPr>
      <w:fldChar w:fldCharType="separate"/>
    </w:r>
    <w:r w:rsidR="00E766DD">
      <w:rPr>
        <w:b/>
        <w:noProof/>
        <w:sz w:val="18"/>
      </w:rPr>
      <w:t>2</w:t>
    </w:r>
    <w:r w:rsidRPr="0094066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61" w:rsidRPr="00940661" w:rsidRDefault="00940661" w:rsidP="00940661">
    <w:pPr>
      <w:pStyle w:val="Footer"/>
      <w:tabs>
        <w:tab w:val="right" w:pos="9638"/>
      </w:tabs>
      <w:rPr>
        <w:b/>
        <w:sz w:val="18"/>
      </w:rPr>
    </w:pPr>
    <w:r>
      <w:tab/>
    </w:r>
    <w:r w:rsidRPr="00940661">
      <w:rPr>
        <w:b/>
        <w:sz w:val="18"/>
      </w:rPr>
      <w:fldChar w:fldCharType="begin"/>
    </w:r>
    <w:r w:rsidRPr="00940661">
      <w:rPr>
        <w:b/>
        <w:sz w:val="18"/>
      </w:rPr>
      <w:instrText xml:space="preserve"> PAGE  \* MERGEFORMAT </w:instrText>
    </w:r>
    <w:r w:rsidRPr="00940661">
      <w:rPr>
        <w:b/>
        <w:sz w:val="18"/>
      </w:rPr>
      <w:fldChar w:fldCharType="separate"/>
    </w:r>
    <w:r w:rsidR="00E766DD">
      <w:rPr>
        <w:b/>
        <w:noProof/>
        <w:sz w:val="18"/>
      </w:rPr>
      <w:t>3</w:t>
    </w:r>
    <w:r w:rsidRPr="009406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DE" w:rsidRPr="00940661" w:rsidRDefault="00E75F20">
    <w:pPr>
      <w:pStyle w:val="Footer"/>
      <w:rPr>
        <w:sz w:val="20"/>
      </w:rPr>
    </w:pPr>
    <w:r>
      <w:rPr>
        <w:noProof/>
        <w:lang w:val="en-GB" w:eastAsia="en-GB"/>
      </w:rPr>
      <w:drawing>
        <wp:anchor distT="0" distB="0" distL="114300" distR="114300" simplePos="0" relativeHeight="251657728" behindDoc="0" locked="0" layoutInCell="1" allowOverlap="1" wp14:anchorId="4929E5DD" wp14:editId="6764351C">
          <wp:simplePos x="0" y="0"/>
          <wp:positionH relativeFrom="column">
            <wp:posOffset>5040630</wp:posOffset>
          </wp:positionH>
          <wp:positionV relativeFrom="paragraph">
            <wp:posOffset>-107950</wp:posOffset>
          </wp:positionV>
          <wp:extent cx="1104265" cy="233045"/>
          <wp:effectExtent l="0" t="0" r="635"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661">
      <w:rPr>
        <w:sz w:val="20"/>
      </w:rPr>
      <w:t>GE.</w:t>
    </w:r>
    <w:r w:rsidR="000A5DD4">
      <w:rPr>
        <w:sz w:val="20"/>
      </w:rPr>
      <w:t>1</w:t>
    </w:r>
    <w:r w:rsidR="0037083A">
      <w:rPr>
        <w:sz w:val="20"/>
      </w:rPr>
      <w:t>5</w:t>
    </w:r>
    <w:r w:rsidR="00BC3270">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33" w:rsidRPr="00D27D5E" w:rsidRDefault="003B3533" w:rsidP="00D27D5E">
      <w:pPr>
        <w:tabs>
          <w:tab w:val="right" w:pos="2155"/>
        </w:tabs>
        <w:spacing w:after="80"/>
        <w:ind w:left="680"/>
        <w:rPr>
          <w:u w:val="single"/>
        </w:rPr>
      </w:pPr>
      <w:r>
        <w:rPr>
          <w:u w:val="single"/>
        </w:rPr>
        <w:tab/>
      </w:r>
    </w:p>
  </w:footnote>
  <w:footnote w:type="continuationSeparator" w:id="0">
    <w:p w:rsidR="003B3533" w:rsidRPr="00A40B11" w:rsidRDefault="003B3533" w:rsidP="00A40B11">
      <w:pPr>
        <w:tabs>
          <w:tab w:val="right" w:pos="2155"/>
        </w:tabs>
        <w:spacing w:after="80"/>
        <w:ind w:left="680"/>
        <w:rPr>
          <w:u w:val="single"/>
        </w:rPr>
      </w:pPr>
      <w:r w:rsidRPr="00A40B11">
        <w:rPr>
          <w:u w:val="single"/>
        </w:rPr>
        <w:tab/>
      </w:r>
    </w:p>
  </w:footnote>
  <w:footnote w:type="continuationNotice" w:id="1">
    <w:p w:rsidR="003B3533" w:rsidRDefault="003B3533"/>
  </w:footnote>
  <w:footnote w:id="2">
    <w:p w:rsidR="00964328" w:rsidRPr="00230085" w:rsidRDefault="0079614D" w:rsidP="0079614D">
      <w:pPr>
        <w:pStyle w:val="FootnoteText"/>
        <w:rPr>
          <w:szCs w:val="18"/>
          <w:lang w:val="fr-FR"/>
        </w:rPr>
      </w:pPr>
      <w:r w:rsidRPr="00F243AC">
        <w:rPr>
          <w:szCs w:val="18"/>
          <w:vertAlign w:val="superscript"/>
          <w:lang w:val="fr-FR"/>
        </w:rPr>
        <w:tab/>
      </w:r>
      <w:r w:rsidR="00964328" w:rsidRPr="00F243AC">
        <w:rPr>
          <w:rStyle w:val="FootnoteReference"/>
          <w:szCs w:val="18"/>
          <w:lang w:val="fr-FR"/>
        </w:rPr>
        <w:footnoteRef/>
      </w:r>
      <w:r w:rsidR="00964328" w:rsidRPr="00F243AC">
        <w:rPr>
          <w:szCs w:val="18"/>
          <w:vertAlign w:val="superscript"/>
          <w:lang w:val="fr-FR"/>
        </w:rPr>
        <w:t xml:space="preserve"> </w:t>
      </w:r>
      <w:r w:rsidR="00964328" w:rsidRPr="00F243AC">
        <w:rPr>
          <w:szCs w:val="18"/>
          <w:lang w:val="fr-FR"/>
        </w:rPr>
        <w:tab/>
      </w:r>
      <w:r w:rsidR="00964328" w:rsidRPr="00230085">
        <w:rPr>
          <w:szCs w:val="18"/>
          <w:lang w:val="fr-FR"/>
        </w:rPr>
        <w:t>Les notes explicatives seront distribuées</w:t>
      </w:r>
      <w:r w:rsidR="00622807" w:rsidRPr="00230085">
        <w:rPr>
          <w:szCs w:val="18"/>
          <w:lang w:val="fr-FR"/>
        </w:rPr>
        <w:t xml:space="preserve"> sous la cote ST/SG/AC.10/C.3/9</w:t>
      </w:r>
      <w:r w:rsidR="005447C1">
        <w:rPr>
          <w:szCs w:val="18"/>
          <w:lang w:val="fr-FR"/>
        </w:rPr>
        <w:t>5</w:t>
      </w:r>
      <w:r w:rsidR="00964328" w:rsidRPr="00230085">
        <w:rPr>
          <w:szCs w:val="18"/>
          <w:lang w:val="fr-FR"/>
        </w:rPr>
        <w:t>/Add.1</w:t>
      </w:r>
      <w:r w:rsidR="00D16C86" w:rsidRPr="00230085">
        <w:rPr>
          <w:szCs w:val="18"/>
          <w:lang w:val="fr-FR"/>
        </w:rPr>
        <w:t xml:space="preserve">. La date limite de soumission </w:t>
      </w:r>
      <w:r w:rsidR="00964328" w:rsidRPr="00230085">
        <w:rPr>
          <w:szCs w:val="18"/>
          <w:lang w:val="fr-FR"/>
        </w:rPr>
        <w:t xml:space="preserve">des documents est le </w:t>
      </w:r>
      <w:r w:rsidR="005447C1">
        <w:rPr>
          <w:szCs w:val="18"/>
          <w:lang w:val="fr-FR"/>
        </w:rPr>
        <w:t>4 septembre</w:t>
      </w:r>
      <w:r w:rsidR="00622807" w:rsidRPr="00230085">
        <w:rPr>
          <w:szCs w:val="18"/>
          <w:lang w:val="fr-FR"/>
        </w:rPr>
        <w:t xml:space="preserve"> 2015</w:t>
      </w:r>
      <w:r w:rsidR="00964328" w:rsidRPr="00230085">
        <w:rPr>
          <w:szCs w:val="18"/>
          <w:lang w:val="fr-FR"/>
        </w:rPr>
        <w:t>.</w:t>
      </w:r>
    </w:p>
  </w:footnote>
  <w:footnote w:id="3">
    <w:p w:rsidR="00964328" w:rsidRPr="00230085" w:rsidRDefault="0079614D" w:rsidP="0079614D">
      <w:pPr>
        <w:pStyle w:val="FootnoteText"/>
        <w:rPr>
          <w:szCs w:val="18"/>
          <w:lang w:val="fr-FR"/>
        </w:rPr>
      </w:pPr>
      <w:r w:rsidRPr="00230085">
        <w:rPr>
          <w:szCs w:val="18"/>
          <w:vertAlign w:val="superscript"/>
          <w:lang w:val="fr-FR"/>
        </w:rPr>
        <w:tab/>
      </w:r>
      <w:r w:rsidR="00964328" w:rsidRPr="00230085">
        <w:rPr>
          <w:szCs w:val="18"/>
          <w:vertAlign w:val="superscript"/>
          <w:lang w:val="fr-FR"/>
        </w:rPr>
        <w:footnoteRef/>
      </w:r>
      <w:r w:rsidR="00964328" w:rsidRPr="00230085">
        <w:rPr>
          <w:szCs w:val="18"/>
          <w:vertAlign w:val="superscript"/>
          <w:lang w:val="fr-FR"/>
        </w:rPr>
        <w:t xml:space="preserve"> </w:t>
      </w:r>
      <w:r w:rsidR="00964328" w:rsidRPr="00230085">
        <w:rPr>
          <w:szCs w:val="18"/>
          <w:lang w:val="fr-FR"/>
        </w:rPr>
        <w:tab/>
        <w:t>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hyperlink r:id="rId1" w:history="1">
        <w:r w:rsidR="00964328" w:rsidRPr="00230085">
          <w:rPr>
            <w:rStyle w:val="Hyperlink"/>
            <w:szCs w:val="18"/>
            <w:lang w:val="fr-FR"/>
          </w:rPr>
          <w:t>http://www.unece.org/trans/main/dgdb/dgsubc3/c3age.html</w:t>
        </w:r>
      </w:hyperlink>
      <w:r w:rsidR="00964328" w:rsidRPr="00230085">
        <w:rPr>
          <w:szCs w:val="18"/>
          <w:lang w:val="fr-FR"/>
        </w:rPr>
        <w:t>). Pendant la réunion, les documents seront disponibles auprès de la Section de la distribution</w:t>
      </w:r>
      <w:r w:rsidR="00DF39F1" w:rsidRPr="00230085">
        <w:rPr>
          <w:szCs w:val="18"/>
          <w:lang w:val="fr-FR"/>
        </w:rPr>
        <w:t xml:space="preserve"> des documents (salle C.337, 3</w:t>
      </w:r>
      <w:r w:rsidR="00DF39F1" w:rsidRPr="00230085">
        <w:rPr>
          <w:szCs w:val="18"/>
          <w:vertAlign w:val="superscript"/>
          <w:lang w:val="fr-FR"/>
        </w:rPr>
        <w:t>e</w:t>
      </w:r>
      <w:r w:rsidR="00DF39F1" w:rsidRPr="00230085">
        <w:rPr>
          <w:szCs w:val="18"/>
          <w:lang w:val="fr-FR"/>
        </w:rPr>
        <w:t> </w:t>
      </w:r>
      <w:r w:rsidR="00964328" w:rsidRPr="00230085">
        <w:rPr>
          <w:szCs w:val="18"/>
          <w:lang w:val="fr-FR"/>
        </w:rPr>
        <w:t xml:space="preserve">étage, Palais des Nations). </w:t>
      </w:r>
    </w:p>
  </w:footnote>
  <w:footnote w:id="4">
    <w:p w:rsidR="00964328" w:rsidRPr="00230085" w:rsidRDefault="0079614D" w:rsidP="0079614D">
      <w:pPr>
        <w:pStyle w:val="FootnoteText"/>
        <w:rPr>
          <w:szCs w:val="18"/>
          <w:lang w:val="fr-FR"/>
        </w:rPr>
      </w:pPr>
      <w:r w:rsidRPr="00230085">
        <w:rPr>
          <w:szCs w:val="18"/>
          <w:lang w:val="fr-FR"/>
        </w:rPr>
        <w:tab/>
      </w:r>
      <w:r w:rsidR="00964328" w:rsidRPr="00230085">
        <w:rPr>
          <w:rStyle w:val="FootnoteReference"/>
          <w:szCs w:val="18"/>
          <w:lang w:val="fr-FR"/>
        </w:rPr>
        <w:footnoteRef/>
      </w:r>
      <w:r w:rsidR="00964328" w:rsidRPr="00230085">
        <w:rPr>
          <w:szCs w:val="18"/>
          <w:lang w:val="fr-FR"/>
        </w:rPr>
        <w:t xml:space="preserve"> </w:t>
      </w:r>
      <w:r w:rsidR="00964328" w:rsidRPr="00230085">
        <w:rPr>
          <w:szCs w:val="18"/>
          <w:lang w:val="fr-FR"/>
        </w:rPr>
        <w:tab/>
      </w:r>
      <w:r w:rsidR="00C34BF0" w:rsidRPr="00230085">
        <w:rPr>
          <w:color w:val="000000"/>
          <w:szCs w:val="18"/>
          <w:lang w:val="fr-FR"/>
        </w:rPr>
        <w:t xml:space="preserve">Les délégués sont priés de s'inscrire en ligne avec le nouveau système d'enregistrement en ligne sur le site web de la CEE-ONU </w:t>
      </w:r>
      <w:r w:rsidR="005447C1" w:rsidRPr="005447C1">
        <w:rPr>
          <w:color w:val="000000"/>
          <w:szCs w:val="18"/>
          <w:lang w:val="en-GB"/>
        </w:rPr>
        <w:t>https://www2.unece.org/uncdb/app/ext/meeting-registration?id=NRtvSq</w:t>
      </w:r>
      <w:r w:rsidR="00C34BF0" w:rsidRPr="00230085">
        <w:rPr>
          <w:color w:val="000000"/>
          <w:szCs w:val="18"/>
          <w:lang w:val="fr-FR"/>
        </w:rPr>
        <w:t xml:space="preserve">. À l'arrivée au Palais des Nations, les délégués doivent obtenir un badge d'identification à la Section de la sécurité et de la sûreté située au Portail de </w:t>
      </w:r>
      <w:proofErr w:type="spellStart"/>
      <w:r w:rsidR="00C34BF0" w:rsidRPr="00230085">
        <w:rPr>
          <w:color w:val="000000"/>
          <w:szCs w:val="18"/>
          <w:lang w:val="fr-FR"/>
        </w:rPr>
        <w:t>Pregny</w:t>
      </w:r>
      <w:proofErr w:type="spellEnd"/>
      <w:r w:rsidR="00C34BF0" w:rsidRPr="00230085">
        <w:rPr>
          <w:color w:val="000000"/>
          <w:szCs w:val="18"/>
          <w:lang w:val="fr-FR"/>
        </w:rPr>
        <w:t xml:space="preserve"> (14, avenue de la Paix). En cas de difficulté, veuillez contacter le secrétariat par téléphone (</w:t>
      </w:r>
      <w:proofErr w:type="spellStart"/>
      <w:r w:rsidR="00C34BF0" w:rsidRPr="00230085">
        <w:rPr>
          <w:color w:val="000000"/>
          <w:szCs w:val="18"/>
          <w:lang w:val="fr-FR"/>
        </w:rPr>
        <w:t>ext</w:t>
      </w:r>
      <w:proofErr w:type="spellEnd"/>
      <w:r w:rsidR="00C34BF0" w:rsidRPr="00230085">
        <w:rPr>
          <w:color w:val="000000"/>
          <w:szCs w:val="18"/>
          <w:lang w:val="fr-FR"/>
        </w:rPr>
        <w:t>. 72106). Pour une carte du Palais des Nations et d'autres renseignements utiles, voir le site web (</w:t>
      </w:r>
      <w:r w:rsidR="00C34BF0" w:rsidRPr="00230085">
        <w:rPr>
          <w:color w:val="0000FF"/>
          <w:szCs w:val="18"/>
          <w:u w:val="single"/>
          <w:lang w:val="fr-FR"/>
        </w:rPr>
        <w:t>http://www.unece.org/meetings/practical.htm</w:t>
      </w:r>
      <w:r w:rsidR="00C34BF0" w:rsidRPr="00230085">
        <w:rPr>
          <w:szCs w:val="18"/>
          <w:lang w:val="fr-FR"/>
        </w:rPr>
        <w:t>)</w:t>
      </w:r>
      <w:r w:rsidR="00C34BF0" w:rsidRPr="00230085">
        <w:rPr>
          <w:color w:val="0000FF"/>
          <w:szCs w:val="18"/>
          <w:lang w:val="fr-FR"/>
        </w:rPr>
        <w:t>.</w:t>
      </w:r>
    </w:p>
  </w:footnote>
  <w:footnote w:id="5">
    <w:p w:rsidR="00230085" w:rsidRDefault="00230085" w:rsidP="00230085">
      <w:pPr>
        <w:pStyle w:val="FootnoteText"/>
        <w:ind w:hanging="182"/>
      </w:pPr>
      <w:r w:rsidRPr="00230085">
        <w:rPr>
          <w:rStyle w:val="FootnoteReference"/>
          <w:szCs w:val="18"/>
        </w:rPr>
        <w:footnoteRef/>
      </w:r>
      <w:r w:rsidRPr="00230085">
        <w:rPr>
          <w:szCs w:val="18"/>
        </w:rPr>
        <w:t xml:space="preserve"> </w:t>
      </w:r>
      <w:r w:rsidRPr="00230085">
        <w:rPr>
          <w:szCs w:val="18"/>
        </w:rPr>
        <w:tab/>
        <w:t>Il est prévu qu’après examen préliminaire en plénière,</w:t>
      </w:r>
      <w:r>
        <w:t xml:space="preserve"> la plupart des questions relatives à ce point de l’ordre du jour so</w:t>
      </w:r>
      <w:r w:rsidR="00C46DAC">
        <w:t>ie</w:t>
      </w:r>
      <w:r>
        <w:t>nt confié</w:t>
      </w:r>
      <w:r w:rsidR="00C46DAC">
        <w:t>e</w:t>
      </w:r>
      <w:r>
        <w:t>s à un groupe de travail sur les explosifs qui se réunira en parallèle.</w:t>
      </w:r>
    </w:p>
  </w:footnote>
  <w:footnote w:id="6">
    <w:p w:rsidR="009F0B85" w:rsidRDefault="009F0B85" w:rsidP="009F0B85">
      <w:pPr>
        <w:pStyle w:val="FootnoteText"/>
        <w:widowControl w:val="0"/>
        <w:tabs>
          <w:tab w:val="clear" w:pos="1021"/>
          <w:tab w:val="right" w:pos="1020"/>
        </w:tabs>
      </w:pPr>
      <w:r>
        <w:tab/>
      </w:r>
      <w:r>
        <w:rPr>
          <w:rStyle w:val="FootnoteReference"/>
        </w:rPr>
        <w:footnoteRef/>
      </w:r>
      <w:r>
        <w:tab/>
      </w:r>
      <w:r w:rsidRPr="009F0B85">
        <w:t>Les participants aux travaux du Sous-Comité d’experts du Système général harmonisé de classification et d’étiquetage des produits chimiques</w:t>
      </w:r>
      <w:r>
        <w:t xml:space="preserve"> (</w:t>
      </w:r>
      <w:r w:rsidR="00E90DB4">
        <w:t>S</w:t>
      </w:r>
      <w:r>
        <w:t>ous-Comité SGH)</w:t>
      </w:r>
      <w:r w:rsidRPr="009F0B85">
        <w:t xml:space="preserve"> qui ne participent pas habituellement aux travaux d</w:t>
      </w:r>
      <w:r>
        <w:t>e ce</w:t>
      </w:r>
      <w:r w:rsidRPr="009F0B85">
        <w:t xml:space="preserve"> Sous-Comité </w:t>
      </w:r>
      <w:r>
        <w:t>(</w:t>
      </w:r>
      <w:r w:rsidRPr="009F0B85">
        <w:t>TMD</w:t>
      </w:r>
      <w:r>
        <w:t>)</w:t>
      </w:r>
      <w:r w:rsidRPr="009F0B85">
        <w:t xml:space="preserve"> sont invités à participer aux travaux du Sous-Comité TMD quand celui-ci discute les dangers physiques en tant que centre de liaison SGH (voir aussi ST/SG/AC.10/C.4/2, par. 43b)).</w:t>
      </w:r>
      <w:r>
        <w:t xml:space="preserve"> </w:t>
      </w:r>
    </w:p>
  </w:footnote>
  <w:footnote w:id="7">
    <w:p w:rsidR="009F0B85" w:rsidRDefault="009F0B85" w:rsidP="009F0B85">
      <w:pPr>
        <w:pStyle w:val="FootnoteText"/>
        <w:widowControl w:val="0"/>
        <w:tabs>
          <w:tab w:val="clear" w:pos="1021"/>
          <w:tab w:val="right" w:pos="1020"/>
        </w:tabs>
      </w:pPr>
      <w:r>
        <w:tab/>
      </w:r>
      <w:r>
        <w:rPr>
          <w:rStyle w:val="FootnoteReference"/>
        </w:rPr>
        <w:footnoteRef/>
      </w:r>
      <w:r>
        <w:tab/>
      </w:r>
      <w:r w:rsidR="00E90DB4">
        <w:t>Il est possible que certaines de ces questions soient discutées conjointement avec le Sous-Comité SGH le 9 décembre au matin durant la session du Sous-Comité TMD ou le 9 décembre après-midi durant la session du Sous-Comité SGH, voir le rapport du Comité sur sa septième session, document ST/SG/AC.10/42, paragraphe 16, et celui du Sous-Comité à sa quarante-septième session, document ST/SG/AC.10/C.3/94, paragraphe 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61" w:rsidRPr="00940661" w:rsidRDefault="00940661">
    <w:pPr>
      <w:pStyle w:val="Header"/>
    </w:pPr>
    <w:r>
      <w:t>ST/SG/</w:t>
    </w:r>
    <w:r w:rsidR="00B7391E">
      <w:t>AC</w:t>
    </w:r>
    <w:r w:rsidR="0037083A">
      <w:t>.10/C.3/9</w:t>
    </w:r>
    <w:r w:rsidR="005C73FA">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61" w:rsidRPr="00940661" w:rsidRDefault="0037083A" w:rsidP="00940661">
    <w:pPr>
      <w:pStyle w:val="Header"/>
      <w:jc w:val="right"/>
    </w:pPr>
    <w:r>
      <w:t>ST/SG/AC.10/C.3/9</w:t>
    </w:r>
    <w:r w:rsidR="005C73FA">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B3A"/>
    <w:multiLevelType w:val="hybridMultilevel"/>
    <w:tmpl w:val="A81CB564"/>
    <w:lvl w:ilvl="0" w:tplc="279A884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
    <w:nsid w:val="1D8D6C17"/>
    <w:multiLevelType w:val="hybridMultilevel"/>
    <w:tmpl w:val="FB2A049A"/>
    <w:lvl w:ilvl="0" w:tplc="C5A00EA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nsid w:val="2CC71C93"/>
    <w:multiLevelType w:val="hybridMultilevel"/>
    <w:tmpl w:val="AA7E4936"/>
    <w:lvl w:ilvl="0" w:tplc="F876818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2F5E5CE8"/>
    <w:multiLevelType w:val="hybridMultilevel"/>
    <w:tmpl w:val="CC903FF6"/>
    <w:lvl w:ilvl="0" w:tplc="2932DEB2">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3DD73273"/>
    <w:multiLevelType w:val="hybridMultilevel"/>
    <w:tmpl w:val="10841B64"/>
    <w:lvl w:ilvl="0" w:tplc="3710E372">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6">
    <w:nsid w:val="4FEE3565"/>
    <w:multiLevelType w:val="hybridMultilevel"/>
    <w:tmpl w:val="260AB04C"/>
    <w:lvl w:ilvl="0" w:tplc="ABCC5108">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
    <w:nsid w:val="59596C5D"/>
    <w:multiLevelType w:val="hybridMultilevel"/>
    <w:tmpl w:val="9EA00E0C"/>
    <w:lvl w:ilvl="0" w:tplc="81A8A050">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nsid w:val="6A92402C"/>
    <w:multiLevelType w:val="hybridMultilevel"/>
    <w:tmpl w:val="CBAAC46A"/>
    <w:lvl w:ilvl="0" w:tplc="61A45D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8"/>
  </w:num>
  <w:num w:numId="2">
    <w:abstractNumId w:val="4"/>
  </w:num>
  <w:num w:numId="3">
    <w:abstractNumId w:val="2"/>
  </w:num>
  <w:num w:numId="4">
    <w:abstractNumId w:val="5"/>
  </w:num>
  <w:num w:numId="5">
    <w:abstractNumId w:val="0"/>
  </w:num>
  <w:num w:numId="6">
    <w:abstractNumId w:val="1"/>
  </w:num>
  <w:num w:numId="7">
    <w:abstractNumId w:val="6"/>
  </w:num>
  <w:num w:numId="8">
    <w:abstractNumId w:val="9"/>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61"/>
    <w:rsid w:val="00016AC5"/>
    <w:rsid w:val="0002744D"/>
    <w:rsid w:val="00047119"/>
    <w:rsid w:val="00072E7B"/>
    <w:rsid w:val="00073282"/>
    <w:rsid w:val="000A5DD4"/>
    <w:rsid w:val="000B3711"/>
    <w:rsid w:val="000C0086"/>
    <w:rsid w:val="000D2DC3"/>
    <w:rsid w:val="000E5444"/>
    <w:rsid w:val="000F41F2"/>
    <w:rsid w:val="000F7DC2"/>
    <w:rsid w:val="001175F9"/>
    <w:rsid w:val="001506B8"/>
    <w:rsid w:val="00154CB9"/>
    <w:rsid w:val="00160540"/>
    <w:rsid w:val="00192EEB"/>
    <w:rsid w:val="001A20FB"/>
    <w:rsid w:val="001C21E1"/>
    <w:rsid w:val="001D44B7"/>
    <w:rsid w:val="001D7F8A"/>
    <w:rsid w:val="001E3FEB"/>
    <w:rsid w:val="001E4A02"/>
    <w:rsid w:val="001E68C9"/>
    <w:rsid w:val="001F0E00"/>
    <w:rsid w:val="00207F30"/>
    <w:rsid w:val="002156CB"/>
    <w:rsid w:val="00216375"/>
    <w:rsid w:val="00220B3D"/>
    <w:rsid w:val="00220CD3"/>
    <w:rsid w:val="00221861"/>
    <w:rsid w:val="00225A8C"/>
    <w:rsid w:val="00230085"/>
    <w:rsid w:val="002659F1"/>
    <w:rsid w:val="00286DE4"/>
    <w:rsid w:val="002878ED"/>
    <w:rsid w:val="00287E79"/>
    <w:rsid w:val="00290A9D"/>
    <w:rsid w:val="002928F9"/>
    <w:rsid w:val="002970C2"/>
    <w:rsid w:val="002A5D07"/>
    <w:rsid w:val="002C7CEF"/>
    <w:rsid w:val="002F436C"/>
    <w:rsid w:val="003016B7"/>
    <w:rsid w:val="0031503C"/>
    <w:rsid w:val="00340EEC"/>
    <w:rsid w:val="0034591A"/>
    <w:rsid w:val="003515AA"/>
    <w:rsid w:val="00353080"/>
    <w:rsid w:val="0037083A"/>
    <w:rsid w:val="00374106"/>
    <w:rsid w:val="00377E02"/>
    <w:rsid w:val="003976D5"/>
    <w:rsid w:val="003B3533"/>
    <w:rsid w:val="003B60C7"/>
    <w:rsid w:val="003D2725"/>
    <w:rsid w:val="003D3BED"/>
    <w:rsid w:val="003D605C"/>
    <w:rsid w:val="003D610C"/>
    <w:rsid w:val="003D6C68"/>
    <w:rsid w:val="003F5B56"/>
    <w:rsid w:val="003F6673"/>
    <w:rsid w:val="00415577"/>
    <w:rsid w:val="004159D0"/>
    <w:rsid w:val="00415DB9"/>
    <w:rsid w:val="00421F7A"/>
    <w:rsid w:val="0043593D"/>
    <w:rsid w:val="004572CE"/>
    <w:rsid w:val="0046126F"/>
    <w:rsid w:val="00482AF2"/>
    <w:rsid w:val="004A0F69"/>
    <w:rsid w:val="004B41A4"/>
    <w:rsid w:val="004E6D08"/>
    <w:rsid w:val="0051142A"/>
    <w:rsid w:val="00524945"/>
    <w:rsid w:val="00543D5E"/>
    <w:rsid w:val="005447C1"/>
    <w:rsid w:val="00567B6B"/>
    <w:rsid w:val="00571F41"/>
    <w:rsid w:val="005748D5"/>
    <w:rsid w:val="0058132F"/>
    <w:rsid w:val="005A287A"/>
    <w:rsid w:val="005C68EA"/>
    <w:rsid w:val="005C73FA"/>
    <w:rsid w:val="005E1840"/>
    <w:rsid w:val="005E5D1F"/>
    <w:rsid w:val="00603122"/>
    <w:rsid w:val="00611D43"/>
    <w:rsid w:val="00612D48"/>
    <w:rsid w:val="00616B45"/>
    <w:rsid w:val="00622807"/>
    <w:rsid w:val="00630D9B"/>
    <w:rsid w:val="00631953"/>
    <w:rsid w:val="006439EC"/>
    <w:rsid w:val="00665715"/>
    <w:rsid w:val="006679FB"/>
    <w:rsid w:val="00677BBD"/>
    <w:rsid w:val="006924C3"/>
    <w:rsid w:val="006B4590"/>
    <w:rsid w:val="006B7B6C"/>
    <w:rsid w:val="006C340C"/>
    <w:rsid w:val="006C4154"/>
    <w:rsid w:val="006F4FC7"/>
    <w:rsid w:val="006F5717"/>
    <w:rsid w:val="0070347C"/>
    <w:rsid w:val="00703DCC"/>
    <w:rsid w:val="007176C1"/>
    <w:rsid w:val="00740709"/>
    <w:rsid w:val="0076684C"/>
    <w:rsid w:val="00770A16"/>
    <w:rsid w:val="00776A50"/>
    <w:rsid w:val="0078375C"/>
    <w:rsid w:val="0079614D"/>
    <w:rsid w:val="007E74CE"/>
    <w:rsid w:val="007F55CB"/>
    <w:rsid w:val="008358DB"/>
    <w:rsid w:val="00844750"/>
    <w:rsid w:val="00851BA3"/>
    <w:rsid w:val="0086254F"/>
    <w:rsid w:val="00866D64"/>
    <w:rsid w:val="00877DCF"/>
    <w:rsid w:val="00894C2C"/>
    <w:rsid w:val="008A56E7"/>
    <w:rsid w:val="008B4042"/>
    <w:rsid w:val="008B44C4"/>
    <w:rsid w:val="008E12DE"/>
    <w:rsid w:val="008E7FAE"/>
    <w:rsid w:val="008F7CAC"/>
    <w:rsid w:val="00911BF7"/>
    <w:rsid w:val="00931BEB"/>
    <w:rsid w:val="00940661"/>
    <w:rsid w:val="0094723C"/>
    <w:rsid w:val="00951BBA"/>
    <w:rsid w:val="00962830"/>
    <w:rsid w:val="00964328"/>
    <w:rsid w:val="00977EC8"/>
    <w:rsid w:val="0098460E"/>
    <w:rsid w:val="009A42E1"/>
    <w:rsid w:val="009C74D5"/>
    <w:rsid w:val="009D3A8C"/>
    <w:rsid w:val="009E7956"/>
    <w:rsid w:val="009E79B0"/>
    <w:rsid w:val="009F0B85"/>
    <w:rsid w:val="00A1534D"/>
    <w:rsid w:val="00A2492E"/>
    <w:rsid w:val="00A36290"/>
    <w:rsid w:val="00A40B11"/>
    <w:rsid w:val="00A40F0E"/>
    <w:rsid w:val="00AC67A1"/>
    <w:rsid w:val="00AC68FA"/>
    <w:rsid w:val="00AC7977"/>
    <w:rsid w:val="00AE16EC"/>
    <w:rsid w:val="00AE352C"/>
    <w:rsid w:val="00AF5DB6"/>
    <w:rsid w:val="00AF6346"/>
    <w:rsid w:val="00B10104"/>
    <w:rsid w:val="00B106D6"/>
    <w:rsid w:val="00B15353"/>
    <w:rsid w:val="00B32E2D"/>
    <w:rsid w:val="00B56198"/>
    <w:rsid w:val="00B61990"/>
    <w:rsid w:val="00B6757B"/>
    <w:rsid w:val="00B7391E"/>
    <w:rsid w:val="00B74AC9"/>
    <w:rsid w:val="00B80073"/>
    <w:rsid w:val="00BC3270"/>
    <w:rsid w:val="00BF0556"/>
    <w:rsid w:val="00BF1492"/>
    <w:rsid w:val="00C056B2"/>
    <w:rsid w:val="00C070B1"/>
    <w:rsid w:val="00C07352"/>
    <w:rsid w:val="00C1075E"/>
    <w:rsid w:val="00C1786D"/>
    <w:rsid w:val="00C255FA"/>
    <w:rsid w:val="00C261F8"/>
    <w:rsid w:val="00C33100"/>
    <w:rsid w:val="00C34BF0"/>
    <w:rsid w:val="00C45D0A"/>
    <w:rsid w:val="00C46DAC"/>
    <w:rsid w:val="00C53961"/>
    <w:rsid w:val="00CA0680"/>
    <w:rsid w:val="00CD1A71"/>
    <w:rsid w:val="00CD1FBB"/>
    <w:rsid w:val="00CD2641"/>
    <w:rsid w:val="00CF79D3"/>
    <w:rsid w:val="00D016B5"/>
    <w:rsid w:val="00D03312"/>
    <w:rsid w:val="00D034F1"/>
    <w:rsid w:val="00D07094"/>
    <w:rsid w:val="00D150F8"/>
    <w:rsid w:val="00D16C86"/>
    <w:rsid w:val="00D27D5E"/>
    <w:rsid w:val="00D37ABB"/>
    <w:rsid w:val="00D43BA2"/>
    <w:rsid w:val="00D57D4A"/>
    <w:rsid w:val="00D8458D"/>
    <w:rsid w:val="00D8724B"/>
    <w:rsid w:val="00D9470B"/>
    <w:rsid w:val="00D94843"/>
    <w:rsid w:val="00DA360C"/>
    <w:rsid w:val="00DE1974"/>
    <w:rsid w:val="00DE3F77"/>
    <w:rsid w:val="00DE6D90"/>
    <w:rsid w:val="00DF002F"/>
    <w:rsid w:val="00DF39F1"/>
    <w:rsid w:val="00E0244D"/>
    <w:rsid w:val="00E232EC"/>
    <w:rsid w:val="00E67C9C"/>
    <w:rsid w:val="00E75F20"/>
    <w:rsid w:val="00E766DD"/>
    <w:rsid w:val="00E81E94"/>
    <w:rsid w:val="00E82607"/>
    <w:rsid w:val="00E90DB4"/>
    <w:rsid w:val="00E943C7"/>
    <w:rsid w:val="00EA7ABF"/>
    <w:rsid w:val="00EC5AFA"/>
    <w:rsid w:val="00ED21C2"/>
    <w:rsid w:val="00EE17A1"/>
    <w:rsid w:val="00EE74F4"/>
    <w:rsid w:val="00F21C87"/>
    <w:rsid w:val="00F2245A"/>
    <w:rsid w:val="00F243AC"/>
    <w:rsid w:val="00F443E1"/>
    <w:rsid w:val="00F531A4"/>
    <w:rsid w:val="00F81FD9"/>
    <w:rsid w:val="00FA5A79"/>
    <w:rsid w:val="00FB0BFE"/>
    <w:rsid w:val="00FB2AE6"/>
    <w:rsid w:val="00FB4C51"/>
    <w:rsid w:val="00FD0176"/>
    <w:rsid w:val="00FD4586"/>
    <w:rsid w:val="00FF1DB3"/>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semiHidden/>
    <w:rsid w:val="00CD264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D2641"/>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rsid w:val="00CD2641"/>
    <w:rPr>
      <w:rFonts w:ascii="Times New Roman" w:hAnsi="Times New Roman"/>
      <w:b/>
      <w:sz w:val="18"/>
      <w:lang w:val="fr-CH"/>
    </w:rPr>
  </w:style>
  <w:style w:type="paragraph" w:styleId="Footer">
    <w:name w:val="footer"/>
    <w:aliases w:val="3_G"/>
    <w:basedOn w:val="Normal"/>
    <w:next w:val="Normal"/>
    <w:rsid w:val="00CD2641"/>
    <w:pPr>
      <w:spacing w:line="240" w:lineRule="auto"/>
    </w:pPr>
    <w:rPr>
      <w:sz w:val="16"/>
    </w:rPr>
  </w:style>
  <w:style w:type="character" w:styleId="Hyperlink">
    <w:name w:val="Hyperlink"/>
    <w:semiHidden/>
    <w:rsid w:val="00CD2641"/>
    <w:rPr>
      <w:color w:val="auto"/>
      <w:u w:val="none"/>
    </w:rPr>
  </w:style>
  <w:style w:type="character" w:styleId="FollowedHyperlink">
    <w:name w:val="FollowedHyperlink"/>
    <w:semiHidden/>
    <w:rsid w:val="00CD2641"/>
    <w:rPr>
      <w:color w:val="auto"/>
      <w:u w:val="none"/>
    </w:rPr>
  </w:style>
  <w:style w:type="table" w:styleId="TableGrid1">
    <w:name w:val="Table Grid 1"/>
    <w:basedOn w:val="TableNormal"/>
    <w:semiHidden/>
    <w:rsid w:val="00CD2641"/>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D264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rsid w:val="005447C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7C1"/>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semiHidden/>
    <w:rsid w:val="00CD264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D2641"/>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rsid w:val="00CD2641"/>
    <w:rPr>
      <w:rFonts w:ascii="Times New Roman" w:hAnsi="Times New Roman"/>
      <w:b/>
      <w:sz w:val="18"/>
      <w:lang w:val="fr-CH"/>
    </w:rPr>
  </w:style>
  <w:style w:type="paragraph" w:styleId="Footer">
    <w:name w:val="footer"/>
    <w:aliases w:val="3_G"/>
    <w:basedOn w:val="Normal"/>
    <w:next w:val="Normal"/>
    <w:rsid w:val="00CD2641"/>
    <w:pPr>
      <w:spacing w:line="240" w:lineRule="auto"/>
    </w:pPr>
    <w:rPr>
      <w:sz w:val="16"/>
    </w:rPr>
  </w:style>
  <w:style w:type="character" w:styleId="Hyperlink">
    <w:name w:val="Hyperlink"/>
    <w:semiHidden/>
    <w:rsid w:val="00CD2641"/>
    <w:rPr>
      <w:color w:val="auto"/>
      <w:u w:val="none"/>
    </w:rPr>
  </w:style>
  <w:style w:type="character" w:styleId="FollowedHyperlink">
    <w:name w:val="FollowedHyperlink"/>
    <w:semiHidden/>
    <w:rsid w:val="00CD2641"/>
    <w:rPr>
      <w:color w:val="auto"/>
      <w:u w:val="none"/>
    </w:rPr>
  </w:style>
  <w:style w:type="table" w:styleId="TableGrid1">
    <w:name w:val="Table Grid 1"/>
    <w:basedOn w:val="TableNormal"/>
    <w:semiHidden/>
    <w:rsid w:val="00CD2641"/>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D264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rsid w:val="005447C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7C1"/>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dgdb/dgsubc3/c3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het\Templates\ST_SG\AC10_C3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F4D1-2584-4ABD-A545-28F08B80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AC10_C3_F.dot</Template>
  <TotalTime>9</TotalTime>
  <Pages>3</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ST/SG/AC.10/C.3/</vt:lpstr>
    </vt:vector>
  </TitlesOfParts>
  <Company>Corinne</Company>
  <LinksUpToDate>false</LinksUpToDate>
  <CharactersWithSpaces>2629</CharactersWithSpaces>
  <SharedDoc>false</SharedDoc>
  <HLinks>
    <vt:vector size="6" baseType="variant">
      <vt:variant>
        <vt:i4>3801197</vt:i4>
      </vt:variant>
      <vt:variant>
        <vt:i4>0</vt:i4>
      </vt:variant>
      <vt:variant>
        <vt:i4>0</vt:i4>
      </vt:variant>
      <vt:variant>
        <vt:i4>5</vt:i4>
      </vt:variant>
      <vt:variant>
        <vt:lpwstr>http://www.unece.org/trans/main/dgdb/dgsubc3/c3age.html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Berthet</dc:creator>
  <cp:lastModifiedBy>07</cp:lastModifiedBy>
  <cp:revision>7</cp:revision>
  <cp:lastPrinted>2015-03-02T14:22:00Z</cp:lastPrinted>
  <dcterms:created xsi:type="dcterms:W3CDTF">2015-08-04T09:34:00Z</dcterms:created>
  <dcterms:modified xsi:type="dcterms:W3CDTF">2015-08-04T09:42:00Z</dcterms:modified>
</cp:coreProperties>
</file>