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2E" w:rsidRPr="00E6601F" w:rsidRDefault="0026692E" w:rsidP="0026692E">
      <w:pPr>
        <w:spacing w:line="240" w:lineRule="auto"/>
        <w:rPr>
          <w:sz w:val="2"/>
          <w:lang w:val="fr-CH"/>
        </w:rPr>
        <w:sectPr w:rsidR="0026692E" w:rsidRPr="00E6601F" w:rsidSect="0026692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E6601F">
        <w:rPr>
          <w:rStyle w:val="CommentReference"/>
          <w:lang w:val="fr-CH"/>
        </w:rPr>
        <w:commentReference w:id="1"/>
      </w:r>
    </w:p>
    <w:tbl>
      <w:tblPr>
        <w:tblW w:w="10152" w:type="dxa"/>
        <w:tblLayout w:type="fixed"/>
        <w:tblLook w:val="0000" w:firstRow="0" w:lastRow="0" w:firstColumn="0" w:lastColumn="0" w:noHBand="0" w:noVBand="0"/>
      </w:tblPr>
      <w:tblGrid>
        <w:gridCol w:w="5472"/>
        <w:gridCol w:w="288"/>
        <w:gridCol w:w="4392"/>
      </w:tblGrid>
      <w:tr w:rsidR="000E355C" w:rsidRPr="00E6601F" w:rsidTr="009E014C">
        <w:tc>
          <w:tcPr>
            <w:tcW w:w="10152" w:type="dxa"/>
            <w:gridSpan w:val="3"/>
            <w:shd w:val="clear" w:color="auto" w:fill="auto"/>
          </w:tcPr>
          <w:p w:rsidR="000E355C" w:rsidRPr="00E6601F" w:rsidRDefault="000E355C" w:rsidP="000E355C">
            <w:pPr>
              <w:pStyle w:val="H1"/>
              <w:rPr>
                <w:lang w:val="fr-CH"/>
              </w:rPr>
            </w:pPr>
            <w:r w:rsidRPr="00E6601F">
              <w:rPr>
                <w:lang w:val="fr-CH"/>
              </w:rPr>
              <w:lastRenderedPageBreak/>
              <w:t xml:space="preserve">Comité d’experts du transport des marchandises </w:t>
            </w:r>
            <w:r w:rsidRPr="00E6601F">
              <w:rPr>
                <w:lang w:val="fr-CH"/>
              </w:rPr>
              <w:br/>
              <w:t xml:space="preserve">dangereuses et du Système général harmonisé </w:t>
            </w:r>
            <w:r w:rsidRPr="00E6601F">
              <w:rPr>
                <w:lang w:val="fr-CH"/>
              </w:rPr>
              <w:br/>
              <w:t>de classification et d’étiquetage des produits chimiques</w:t>
            </w:r>
          </w:p>
          <w:p w:rsidR="000E355C" w:rsidRPr="00E6601F" w:rsidRDefault="000E355C" w:rsidP="0026692E">
            <w:pPr>
              <w:rPr>
                <w:lang w:val="fr-CH"/>
              </w:rPr>
            </w:pPr>
          </w:p>
        </w:tc>
      </w:tr>
      <w:tr w:rsidR="0026692E" w:rsidRPr="00E6601F" w:rsidTr="0026692E">
        <w:tc>
          <w:tcPr>
            <w:tcW w:w="5472" w:type="dxa"/>
            <w:shd w:val="clear" w:color="auto" w:fill="auto"/>
          </w:tcPr>
          <w:p w:rsidR="0026692E"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Sous-Comité d</w:t>
            </w:r>
            <w:r w:rsidR="005E7295" w:rsidRPr="00E6601F">
              <w:rPr>
                <w:lang w:val="fr-CH"/>
              </w:rPr>
              <w:t>’experts du transport des </w:t>
            </w:r>
            <w:r w:rsidRPr="00E6601F">
              <w:rPr>
                <w:lang w:val="fr-CH"/>
              </w:rPr>
              <w:t>marchandises dangereuses</w:t>
            </w:r>
          </w:p>
        </w:tc>
        <w:tc>
          <w:tcPr>
            <w:tcW w:w="288" w:type="dxa"/>
            <w:shd w:val="clear" w:color="auto" w:fill="auto"/>
          </w:tcPr>
          <w:p w:rsidR="0026692E" w:rsidRPr="00E6601F" w:rsidRDefault="0026692E" w:rsidP="00757463">
            <w:pPr>
              <w:pStyle w:val="H23"/>
              <w:ind w:right="432"/>
              <w:rPr>
                <w:lang w:val="fr-CH"/>
              </w:rPr>
            </w:pPr>
          </w:p>
        </w:tc>
        <w:tc>
          <w:tcPr>
            <w:tcW w:w="4392" w:type="dxa"/>
            <w:shd w:val="clear" w:color="auto" w:fill="auto"/>
          </w:tcPr>
          <w:p w:rsidR="005E7295"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spacing w:val="4"/>
                <w:lang w:val="fr-CH"/>
              </w:rPr>
            </w:pPr>
            <w:r w:rsidRPr="00E6601F">
              <w:rPr>
                <w:spacing w:val="4"/>
                <w:lang w:val="fr-CH"/>
              </w:rPr>
              <w:t>Sous-Comité d</w:t>
            </w:r>
            <w:r w:rsidR="005E7295" w:rsidRPr="00E6601F">
              <w:rPr>
                <w:spacing w:val="4"/>
                <w:lang w:val="fr-CH"/>
              </w:rPr>
              <w:t xml:space="preserve">’experts du </w:t>
            </w:r>
            <w:r w:rsidRPr="00E6601F">
              <w:rPr>
                <w:spacing w:val="4"/>
                <w:lang w:val="fr-CH"/>
              </w:rPr>
              <w:t xml:space="preserve">Système </w:t>
            </w:r>
            <w:r w:rsidR="005E7295" w:rsidRPr="00E6601F">
              <w:rPr>
                <w:spacing w:val="4"/>
                <w:lang w:val="fr-CH"/>
              </w:rPr>
              <w:t>général harmonisé de classification et </w:t>
            </w:r>
            <w:r w:rsidRPr="00E6601F">
              <w:rPr>
                <w:spacing w:val="4"/>
                <w:lang w:val="fr-CH"/>
              </w:rPr>
              <w:t>d’</w:t>
            </w:r>
            <w:r w:rsidR="005E7295" w:rsidRPr="00E6601F">
              <w:rPr>
                <w:spacing w:val="4"/>
                <w:lang w:val="fr-CH"/>
              </w:rPr>
              <w:t>étiquetage</w:t>
            </w:r>
            <w:r w:rsidRPr="00E6601F">
              <w:rPr>
                <w:spacing w:val="4"/>
                <w:lang w:val="fr-CH"/>
              </w:rPr>
              <w:t xml:space="preserve"> des produits chimiques</w:t>
            </w:r>
          </w:p>
        </w:tc>
      </w:tr>
      <w:tr w:rsidR="000E355C" w:rsidRPr="00E6601F" w:rsidTr="0026692E">
        <w:tc>
          <w:tcPr>
            <w:tcW w:w="5472" w:type="dxa"/>
            <w:shd w:val="clear" w:color="auto" w:fill="auto"/>
          </w:tcPr>
          <w:p w:rsidR="005E7295" w:rsidRPr="00E6601F" w:rsidRDefault="005E7295"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432"/>
              <w:rPr>
                <w:sz w:val="10"/>
                <w:lang w:val="fr-CH"/>
              </w:rPr>
            </w:pPr>
          </w:p>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Quarante-huitième session</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5E7295" w:rsidRPr="00E6601F" w:rsidRDefault="005E7295"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432"/>
              <w:rPr>
                <w:sz w:val="10"/>
                <w:lang w:val="fr-CH"/>
              </w:rPr>
            </w:pPr>
          </w:p>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Trentième session</w:t>
            </w:r>
          </w:p>
        </w:tc>
      </w:tr>
      <w:tr w:rsidR="000E355C" w:rsidRPr="00E6601F" w:rsidTr="0026692E">
        <w:tc>
          <w:tcPr>
            <w:tcW w:w="547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Genève, 30 novembre-9 décembre 2015</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Genève, 9-11 décembre 2015</w:t>
            </w:r>
          </w:p>
        </w:tc>
      </w:tr>
      <w:tr w:rsidR="000E355C" w:rsidRPr="00E6601F" w:rsidTr="0026692E">
        <w:tc>
          <w:tcPr>
            <w:tcW w:w="547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Point 10 h) de l’ordre du jour provisoire</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Point 2 de l’ordre du jour provisoire</w:t>
            </w:r>
          </w:p>
        </w:tc>
      </w:tr>
      <w:tr w:rsidR="000E355C" w:rsidRPr="00E6601F" w:rsidTr="0026692E">
        <w:tc>
          <w:tcPr>
            <w:tcW w:w="5472" w:type="dxa"/>
            <w:shd w:val="clear" w:color="auto" w:fill="auto"/>
          </w:tcPr>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Questions relatives au Système général harmonisé de</w:t>
            </w:r>
            <w:r w:rsidR="005E7295" w:rsidRPr="00E6601F">
              <w:rPr>
                <w:lang w:val="fr-CH"/>
              </w:rPr>
              <w:t> </w:t>
            </w:r>
            <w:r w:rsidRPr="00E6601F">
              <w:rPr>
                <w:lang w:val="fr-CH"/>
              </w:rPr>
              <w:t>classification et d’étiquetage des produits chimiques (SGH)</w:t>
            </w:r>
            <w:r w:rsidR="005E7295" w:rsidRPr="00E6601F">
              <w:rPr>
                <w:lang w:val="fr-CH"/>
              </w:rPr>
              <w:t> </w:t>
            </w:r>
            <w:r w:rsidRPr="00E6601F">
              <w:rPr>
                <w:lang w:val="fr-CH"/>
              </w:rPr>
              <w:t>: divers</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Travau</w:t>
            </w:r>
            <w:r w:rsidR="00757463" w:rsidRPr="00E6601F">
              <w:rPr>
                <w:lang w:val="fr-CH"/>
              </w:rPr>
              <w:t>x à mener conjointement avec le </w:t>
            </w:r>
            <w:r w:rsidRPr="00E6601F">
              <w:rPr>
                <w:lang w:val="fr-CH"/>
              </w:rPr>
              <w:t xml:space="preserve">Sous-Comité d’experts du transport des </w:t>
            </w:r>
            <w:r w:rsidRPr="00E6601F">
              <w:rPr>
                <w:spacing w:val="4"/>
                <w:lang w:val="fr-CH"/>
              </w:rPr>
              <w:t xml:space="preserve">marchandises dangereuses </w:t>
            </w:r>
            <w:r w:rsidR="00757463" w:rsidRPr="00E6601F">
              <w:rPr>
                <w:spacing w:val="4"/>
                <w:lang w:val="fr-CH"/>
              </w:rPr>
              <w:br/>
            </w:r>
            <w:r w:rsidRPr="00E6601F">
              <w:rPr>
                <w:spacing w:val="4"/>
                <w:lang w:val="fr-CH"/>
              </w:rPr>
              <w:t>(Sous-Comité TMD)</w:t>
            </w:r>
          </w:p>
        </w:tc>
      </w:tr>
    </w:tbl>
    <w:p w:rsidR="0026692E" w:rsidRPr="00E6601F" w:rsidRDefault="0026692E" w:rsidP="000E355C">
      <w:pPr>
        <w:pStyle w:val="SingleTxt"/>
        <w:spacing w:after="0" w:line="120" w:lineRule="exact"/>
        <w:rPr>
          <w:sz w:val="10"/>
          <w:lang w:val="fr-CH"/>
        </w:rPr>
      </w:pPr>
    </w:p>
    <w:p w:rsidR="000E355C" w:rsidRPr="00E6601F" w:rsidRDefault="000E355C" w:rsidP="000E355C">
      <w:pPr>
        <w:pStyle w:val="SingleTxt"/>
        <w:spacing w:after="0" w:line="120" w:lineRule="exact"/>
        <w:rPr>
          <w:sz w:val="10"/>
          <w:lang w:val="fr-CH"/>
        </w:rPr>
      </w:pPr>
    </w:p>
    <w:p w:rsidR="000E355C" w:rsidRPr="00E6601F" w:rsidRDefault="000E355C" w:rsidP="000E355C">
      <w:pPr>
        <w:pStyle w:val="SingleTxt"/>
        <w:spacing w:after="0" w:line="120" w:lineRule="exact"/>
        <w:rPr>
          <w:sz w:val="10"/>
          <w:lang w:val="fr-CH"/>
        </w:rPr>
      </w:pPr>
    </w:p>
    <w:p w:rsidR="000E355C" w:rsidRPr="00E6601F" w:rsidRDefault="00B74AA9" w:rsidP="00B74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Interdiction d’utiliser, lors du transport, des pictogrammes SGH non liés aux transports lorsque ceux-ci ne font pas partie</w:t>
      </w:r>
      <w:r w:rsidRPr="00E6601F">
        <w:rPr>
          <w:lang w:val="fr-CH"/>
        </w:rPr>
        <w:t> </w:t>
      </w:r>
      <w:r w:rsidR="000E355C" w:rsidRPr="00E6601F">
        <w:rPr>
          <w:lang w:val="fr-CH"/>
        </w:rPr>
        <w:t>d’une étiquette SGH complète</w:t>
      </w:r>
    </w:p>
    <w:p w:rsidR="00B74AA9" w:rsidRPr="00E6601F" w:rsidRDefault="00B74AA9" w:rsidP="00B74AA9">
      <w:pPr>
        <w:pStyle w:val="SingleTxt"/>
        <w:spacing w:after="0" w:line="120" w:lineRule="exact"/>
        <w:rPr>
          <w:sz w:val="10"/>
          <w:lang w:val="fr-CH"/>
        </w:rPr>
      </w:pPr>
    </w:p>
    <w:p w:rsidR="00B74AA9" w:rsidRPr="00E6601F" w:rsidRDefault="00B74AA9" w:rsidP="00B74AA9">
      <w:pPr>
        <w:pStyle w:val="SingleTxt"/>
        <w:spacing w:after="0" w:line="120" w:lineRule="exact"/>
        <w:rPr>
          <w:sz w:val="10"/>
          <w:lang w:val="fr-CH"/>
        </w:rPr>
      </w:pPr>
    </w:p>
    <w:p w:rsidR="000E355C" w:rsidRPr="00E6601F" w:rsidRDefault="00B74AA9" w:rsidP="00B74A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Com</w:t>
      </w:r>
      <w:bookmarkStart w:id="2" w:name="insstart"/>
      <w:bookmarkEnd w:id="2"/>
      <w:r w:rsidR="000E355C" w:rsidRPr="00E6601F">
        <w:rPr>
          <w:lang w:val="fr-CH"/>
        </w:rPr>
        <w:t>munication du Conseil consultatif des marchandises dangereuses (DGAC)</w:t>
      </w:r>
      <w:r w:rsidRPr="00E6601F">
        <w:rPr>
          <w:rStyle w:val="FootnoteReference"/>
          <w:b w:val="0"/>
          <w:sz w:val="20"/>
          <w:szCs w:val="20"/>
          <w:lang w:val="fr-CH"/>
        </w:rPr>
        <w:footnoteReference w:id="1"/>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t>Introduction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Le DGAC a soulevé cette question au sein du Sous-Comité SGH au cours de la période biennale précédente et la nouvelle section suivante du SGH a été approuvée</w:t>
      </w:r>
      <w:r w:rsidR="003F5A85" w:rsidRPr="00E6601F">
        <w:rPr>
          <w:lang w:val="fr-CH"/>
        </w:rPr>
        <w:t> </w:t>
      </w:r>
      <w:r w:rsidRPr="00E6601F">
        <w:rPr>
          <w:lang w:val="fr-CH"/>
        </w:rPr>
        <w:t>:</w:t>
      </w:r>
    </w:p>
    <w:p w:rsidR="000E355C" w:rsidRPr="00E6601F" w:rsidRDefault="003F5A85" w:rsidP="000E355C">
      <w:pPr>
        <w:pStyle w:val="SingleTxt"/>
        <w:rPr>
          <w:lang w:val="fr-CH"/>
        </w:rPr>
      </w:pPr>
      <w:r w:rsidRPr="00E6601F">
        <w:rPr>
          <w:lang w:val="fr-CH"/>
        </w:rPr>
        <w:tab/>
        <w:t>« 1.4.10.4.4</w:t>
      </w:r>
      <w:r w:rsidR="000E355C" w:rsidRPr="00E6601F">
        <w:rPr>
          <w:lang w:val="fr-CH"/>
        </w:rPr>
        <w:tab/>
      </w:r>
      <w:r w:rsidR="000E355C" w:rsidRPr="00E6601F">
        <w:rPr>
          <w:i/>
          <w:lang w:val="fr-CH"/>
        </w:rPr>
        <w:t>Utilisation de pictogrammes SGH pendant le transport</w:t>
      </w:r>
    </w:p>
    <w:p w:rsidR="000E355C" w:rsidRPr="00E6601F" w:rsidRDefault="003F5A85" w:rsidP="003F5A85">
      <w:pPr>
        <w:pStyle w:val="SingleTxt"/>
        <w:ind w:left="1742" w:hanging="475"/>
        <w:rPr>
          <w:lang w:val="fr-CH"/>
        </w:rPr>
      </w:pPr>
      <w:r w:rsidRPr="00E6601F">
        <w:rPr>
          <w:lang w:val="fr-CH"/>
        </w:rPr>
        <w:tab/>
      </w:r>
      <w:r w:rsidR="000E355C" w:rsidRPr="00E6601F">
        <w:rPr>
          <w:lang w:val="fr-CH"/>
        </w:rPr>
        <w:t xml:space="preserve">Lors du transport, un pictogramme SGH non exigé par les </w:t>
      </w:r>
      <w:r w:rsidR="000E355C" w:rsidRPr="00E6601F">
        <w:rPr>
          <w:i/>
          <w:lang w:val="fr-CH"/>
        </w:rPr>
        <w:t>Recommandations relatives au transport des marchandises dangereuses, Règlement type</w:t>
      </w:r>
      <w:r w:rsidR="000E355C" w:rsidRPr="00E6601F">
        <w:rPr>
          <w:lang w:val="fr-CH"/>
        </w:rPr>
        <w:t xml:space="preserve"> ne doit apparaître que dans le cadre d’une étiquette SGH complète (voir</w:t>
      </w:r>
      <w:r w:rsidR="00E6601F" w:rsidRPr="00E6601F">
        <w:rPr>
          <w:lang w:val="fr-CH"/>
        </w:rPr>
        <w:t> </w:t>
      </w:r>
      <w:r w:rsidR="000E355C" w:rsidRPr="00E6601F">
        <w:rPr>
          <w:lang w:val="fr-CH"/>
        </w:rPr>
        <w:t>1.4.10.5.4.1) mais pas de manière indépendante.</w:t>
      </w:r>
      <w:r w:rsidRPr="00E6601F">
        <w:rPr>
          <w:lang w:val="fr-CH"/>
        </w:rPr>
        <w:t> »</w:t>
      </w:r>
      <w:r w:rsidR="000E355C" w:rsidRPr="00E6601F">
        <w:rPr>
          <w:lang w:val="fr-CH"/>
        </w:rPr>
        <w:t>.</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 xml:space="preserve">À la quarante-septième session du Sous-Comité d’experts du transport des marchandises dangereuses, le DGAC a proposé d’ajouter au Règlement type une section dans laquelle serait formulée cette interdiction (voir le document ST/SG/AC.10/C.3/2015/23 − ST/SG/AC.10/C.4/2015/3). L’idée était de rapprocher le texte non réglementaire du SGH et le Règlement type. Certaines difficultés ont été </w:t>
      </w:r>
      <w:r w:rsidRPr="00E6601F">
        <w:rPr>
          <w:lang w:val="fr-CH"/>
        </w:rPr>
        <w:lastRenderedPageBreak/>
        <w:t>soulevées, mais la majorité des participants à la discussion ont estimé que l’interdiction d’apposer, lors du transport, une signalétique relevant d’autres règlements pourrait créer des difficultés d’ordre juridique.</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Des remarques ont été reçues du Sous-Comité, qui allaient dans le sens d’une proposition modifiée visant à insérer le texte du SGH dans le Règlement sous la forme d’une note. Le DGAC propose maintenant qu’il soit donné suite à ces suggestions.</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a en outre été suggéré d’ajouter, dans le SGH, un exemple concernant les citernes mobiles et les conteneurs à gaz à éléments multiples. Cet exemple serait analogue à celui qui figure après le paragraphe e) de l’exemple 7 donné à l’annexe</w:t>
      </w:r>
      <w:r w:rsidR="003F5A85" w:rsidRPr="00E6601F">
        <w:rPr>
          <w:lang w:val="fr-CH"/>
        </w:rPr>
        <w:t> </w:t>
      </w:r>
      <w:r w:rsidRPr="00E6601F">
        <w:rPr>
          <w:lang w:val="fr-CH"/>
        </w:rPr>
        <w:t>7 du SGH. Le DGAC a l’intention de rédiger à ce sujet un document informel qui servira de point de départ à la réflexion que mènera le Sous-Comité SGH à sa trentième session.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t>Discussion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a été jugé bon de reproduire des images tirées de propositions antérieures à l’appui de la discussion.</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Le DGAC estime que la solution consistant à insérer une note présente deux grands avantages. Tout d’abord, cela permet d’éliminer les difficultés d’ordre juridique. En second lieu, c’est une manière d’intégrer le texte complet de la section du SGH concernée au Règlement type. Son application n’est pas obligatoire, mais elle devrait utilement éclairer les autorités des transports.</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reste à déterminer l’emplacement optimal de cette note dans le Règlement type. Les étiquettes SGH couvrent le large éventail des dangers signalés par les marques, les étiquettes et les panneaux relatifs au transport de marchandises dangereuses. C’est pourquoi le DGAC propose d’insérer une nouvelle note à la fin du chapitre 5.1 (Dispositions générales) du Règlement type.</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Proposition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est proposé d’insérer une nouvelle note à la fin du chapitre 5.1 du Règlement type, comme suit</w:t>
      </w:r>
      <w:r w:rsidR="003F5A85" w:rsidRPr="00E6601F">
        <w:rPr>
          <w:lang w:val="fr-CH"/>
        </w:rPr>
        <w:t> </w:t>
      </w:r>
      <w:r w:rsidRPr="00E6601F">
        <w:rPr>
          <w:lang w:val="fr-CH"/>
        </w:rPr>
        <w:t>:</w:t>
      </w:r>
    </w:p>
    <w:p w:rsidR="000E355C" w:rsidRPr="00E6601F" w:rsidRDefault="002D60FD" w:rsidP="002D60FD">
      <w:pPr>
        <w:pStyle w:val="SingleTxt"/>
        <w:ind w:left="1742" w:hanging="475"/>
        <w:rPr>
          <w:lang w:val="fr-CH"/>
        </w:rPr>
      </w:pPr>
      <w:r>
        <w:rPr>
          <w:i/>
          <w:lang w:val="fr-CH"/>
        </w:rPr>
        <w:tab/>
      </w:r>
      <w:r>
        <w:rPr>
          <w:b/>
          <w:i/>
          <w:lang w:val="fr-CH"/>
        </w:rPr>
        <w:t>NOTE</w:t>
      </w:r>
      <w:r w:rsidR="003F5A85" w:rsidRPr="00E6601F">
        <w:rPr>
          <w:lang w:val="fr-CH"/>
        </w:rPr>
        <w:t> </w:t>
      </w:r>
      <w:r w:rsidR="000E355C" w:rsidRPr="00E6601F">
        <w:rPr>
          <w:lang w:val="fr-CH"/>
        </w:rPr>
        <w:t>:</w:t>
      </w:r>
      <w:r w:rsidR="000E355C" w:rsidRPr="00E6601F">
        <w:rPr>
          <w:lang w:val="fr-CH"/>
        </w:rPr>
        <w:tab/>
        <w:t>Conformément au Système général harmonisé de classification et d’étiquetage des produits chimiques (SGH), un pictogramme SGH non exigé par le présent Règlement ne doit apparaître que dans le cadre d’une étiquette SGH complète, mais pas de manière indépendante (voir SGH, 1.4.10.4.4).</w:t>
      </w:r>
    </w:p>
    <w:p w:rsidR="003F5A85" w:rsidRPr="00E6601F" w:rsidRDefault="003F5A85" w:rsidP="000E355C">
      <w:pPr>
        <w:pStyle w:val="SingleTxt"/>
        <w:rPr>
          <w:lang w:val="fr-CH"/>
        </w:rPr>
      </w:pPr>
    </w:p>
    <w:p w:rsidR="000E355C" w:rsidRPr="00E6601F" w:rsidRDefault="000E355C">
      <w:pPr>
        <w:spacing w:line="240" w:lineRule="auto"/>
        <w:rPr>
          <w:lang w:val="fr-CH"/>
        </w:rPr>
      </w:pPr>
      <w:r w:rsidRPr="00E6601F">
        <w:rPr>
          <w:lang w:val="fr-CH"/>
        </w:rPr>
        <w:br w:type="page"/>
      </w:r>
    </w:p>
    <w:p w:rsidR="000E355C" w:rsidRPr="00E6601F" w:rsidRDefault="003F5A85"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lastRenderedPageBreak/>
        <w:t>Annexe</w:t>
      </w:r>
    </w:p>
    <w:p w:rsidR="003F5A85" w:rsidRPr="00E6601F" w:rsidRDefault="003F5A85" w:rsidP="003F5A85">
      <w:pPr>
        <w:pStyle w:val="SingleTxt"/>
        <w:spacing w:after="0" w:line="120" w:lineRule="exact"/>
        <w:rPr>
          <w:sz w:val="10"/>
          <w:lang w:val="fr-CH"/>
        </w:rPr>
      </w:pPr>
    </w:p>
    <w:p w:rsidR="000E355C" w:rsidRPr="00E6601F" w:rsidRDefault="000E355C"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t xml:space="preserve">Exemples de pictogrammes SGH apparaissant </w:t>
      </w:r>
      <w:r w:rsidR="003F5A85" w:rsidRPr="00E6601F">
        <w:rPr>
          <w:lang w:val="fr-CH"/>
        </w:rPr>
        <w:br/>
      </w:r>
      <w:r w:rsidRPr="00E6601F">
        <w:rPr>
          <w:lang w:val="fr-CH"/>
        </w:rPr>
        <w:t xml:space="preserve">isolément, pratique non conforme </w:t>
      </w:r>
      <w:r w:rsidR="003F5A85" w:rsidRPr="00E6601F">
        <w:rPr>
          <w:lang w:val="fr-CH"/>
        </w:rPr>
        <w:t xml:space="preserve">aux dispositions </w:t>
      </w:r>
      <w:r w:rsidR="003F5A85" w:rsidRPr="00E6601F">
        <w:rPr>
          <w:lang w:val="fr-CH"/>
        </w:rPr>
        <w:br/>
        <w:t xml:space="preserve">du paragraphe </w:t>
      </w:r>
      <w:r w:rsidRPr="00E6601F">
        <w:rPr>
          <w:lang w:val="fr-CH"/>
        </w:rPr>
        <w:t>1.4.10.4.4 du SGH</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3F5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Exemple 1</w:t>
      </w:r>
    </w:p>
    <w:p w:rsidR="000E355C" w:rsidRPr="00E6601F" w:rsidRDefault="000E355C"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240" w:lineRule="auto"/>
        <w:rPr>
          <w:lang w:val="fr-CH"/>
        </w:rPr>
      </w:pPr>
      <w:r w:rsidRPr="00E6601F">
        <w:rPr>
          <w:noProof/>
          <w:lang w:val="en-GB" w:eastAsia="en-GB"/>
        </w:rPr>
        <w:drawing>
          <wp:inline distT="0" distB="0" distL="0" distR="0" wp14:anchorId="54777E5A" wp14:editId="073731AB">
            <wp:extent cx="4102100" cy="3187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16">
                      <a:extLst>
                        <a:ext uri="{28A0092B-C50C-407E-A947-70E740481C1C}">
                          <a14:useLocalDpi xmlns:a14="http://schemas.microsoft.com/office/drawing/2010/main" val="0"/>
                        </a:ext>
                      </a:extLst>
                    </a:blip>
                    <a:stretch>
                      <a:fillRect/>
                    </a:stretch>
                  </pic:blipFill>
                  <pic:spPr>
                    <a:xfrm>
                      <a:off x="0" y="0"/>
                      <a:ext cx="4102100" cy="3187700"/>
                    </a:xfrm>
                    <a:prstGeom prst="rect">
                      <a:avLst/>
                    </a:prstGeom>
                  </pic:spPr>
                </pic:pic>
              </a:graphicData>
            </a:graphic>
          </wp:inline>
        </w:drawing>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3F5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Exemple 2</w:t>
      </w:r>
    </w:p>
    <w:p w:rsidR="000E355C" w:rsidRPr="00E6601F" w:rsidRDefault="000E355C"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0E355C">
      <w:pPr>
        <w:pStyle w:val="SingleTxt"/>
        <w:spacing w:after="0" w:line="240" w:lineRule="auto"/>
        <w:rPr>
          <w:b/>
          <w:lang w:val="fr-CH"/>
        </w:rPr>
      </w:pPr>
      <w:r w:rsidRPr="00E6601F">
        <w:rPr>
          <w:noProof/>
          <w:lang w:val="en-GB" w:eastAsia="en-GB"/>
        </w:rPr>
        <w:drawing>
          <wp:inline distT="0" distB="0" distL="0" distR="0" wp14:anchorId="6B7920F8" wp14:editId="20F2BE9C">
            <wp:extent cx="4373229" cy="327300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a:blip r:embed="rId17">
                      <a:extLst>
                        <a:ext uri="{28A0092B-C50C-407E-A947-70E740481C1C}">
                          <a14:useLocalDpi xmlns:a14="http://schemas.microsoft.com/office/drawing/2010/main" val="0"/>
                        </a:ext>
                      </a:extLst>
                    </a:blip>
                    <a:stretch>
                      <a:fillRect/>
                    </a:stretch>
                  </pic:blipFill>
                  <pic:spPr>
                    <a:xfrm>
                      <a:off x="0" y="0"/>
                      <a:ext cx="4374617" cy="3274041"/>
                    </a:xfrm>
                    <a:prstGeom prst="rect">
                      <a:avLst/>
                    </a:prstGeom>
                  </pic:spPr>
                </pic:pic>
              </a:graphicData>
            </a:graphic>
          </wp:inline>
        </w:drawing>
      </w:r>
    </w:p>
    <w:p w:rsidR="003F5A85" w:rsidRPr="00E6601F" w:rsidRDefault="003F5A85" w:rsidP="003C450B">
      <w:pPr>
        <w:pStyle w:val="SingleTxt"/>
        <w:spacing w:after="0" w:line="240" w:lineRule="auto"/>
        <w:rPr>
          <w:b/>
          <w:sz w:val="2"/>
          <w:lang w:val="fr-CH"/>
        </w:rPr>
      </w:pPr>
      <w:r w:rsidRPr="00E6601F">
        <w:rPr>
          <w:b/>
          <w:noProof/>
          <w:w w:val="100"/>
          <w:sz w:val="2"/>
          <w:lang w:val="en-GB" w:eastAsia="en-GB"/>
        </w:rPr>
        <mc:AlternateContent>
          <mc:Choice Requires="wps">
            <w:drawing>
              <wp:anchor distT="0" distB="0" distL="114300" distR="114300" simplePos="0" relativeHeight="251659264" behindDoc="0" locked="0" layoutInCell="1" allowOverlap="1" wp14:anchorId="1B872B89" wp14:editId="2B9DD779">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F5A85" w:rsidRPr="00E6601F" w:rsidSect="0026692E">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24T07:08:00Z" w:initials="Start">
    <w:p w:rsidR="0026692E" w:rsidRDefault="002669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NO&gt;&gt;N1520479F&lt;&lt;ODS JOB NO&gt;&gt;</w:t>
      </w:r>
    </w:p>
    <w:p w:rsidR="0026692E" w:rsidRDefault="0026692E">
      <w:pPr>
        <w:pStyle w:val="CommentText"/>
      </w:pPr>
      <w:r>
        <w:t>&lt;&lt;ODS DOC SYMBOL1&gt;&gt;ST/SG/AC.10/C.3/2015/54&lt;&lt;ODS DOC SYMBOL1&gt;&gt;</w:t>
      </w:r>
    </w:p>
    <w:p w:rsidR="0026692E" w:rsidRDefault="0026692E">
      <w:pPr>
        <w:pStyle w:val="CommentText"/>
      </w:pPr>
      <w:r>
        <w:t>&lt;&lt;ODS DOC SYMBOL2&gt;&gt;ST/SG/AC.10/C.4/2015/11&lt;&lt;ODS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25" w:rsidRDefault="00051325" w:rsidP="00F3330B">
      <w:pPr>
        <w:spacing w:line="240" w:lineRule="auto"/>
      </w:pPr>
      <w:r>
        <w:separator/>
      </w:r>
    </w:p>
  </w:endnote>
  <w:endnote w:type="continuationSeparator" w:id="0">
    <w:p w:rsidR="00051325" w:rsidRDefault="0005132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6692E" w:rsidTr="0026692E">
      <w:trPr>
        <w:jc w:val="center"/>
      </w:trPr>
      <w:tc>
        <w:tcPr>
          <w:tcW w:w="5126" w:type="dxa"/>
          <w:shd w:val="clear" w:color="auto" w:fill="auto"/>
        </w:tcPr>
        <w:p w:rsidR="0026692E" w:rsidRPr="0026692E" w:rsidRDefault="0026692E" w:rsidP="0026692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6313">
            <w:rPr>
              <w:b w:val="0"/>
              <w:w w:val="103"/>
              <w:sz w:val="14"/>
            </w:rPr>
            <w:t>GE.15-15185</w:t>
          </w:r>
          <w:r>
            <w:rPr>
              <w:b w:val="0"/>
              <w:w w:val="103"/>
              <w:sz w:val="14"/>
            </w:rPr>
            <w:fldChar w:fldCharType="end"/>
          </w:r>
        </w:p>
      </w:tc>
      <w:tc>
        <w:tcPr>
          <w:tcW w:w="5127" w:type="dxa"/>
          <w:shd w:val="clear" w:color="auto" w:fill="auto"/>
        </w:tcPr>
        <w:p w:rsidR="0026692E" w:rsidRPr="0026692E" w:rsidRDefault="0026692E" w:rsidP="0026692E">
          <w:pPr>
            <w:pStyle w:val="Footer"/>
            <w:rPr>
              <w:w w:val="103"/>
            </w:rPr>
          </w:pPr>
          <w:r>
            <w:rPr>
              <w:w w:val="103"/>
            </w:rPr>
            <w:fldChar w:fldCharType="begin"/>
          </w:r>
          <w:r>
            <w:rPr>
              <w:w w:val="103"/>
            </w:rPr>
            <w:instrText xml:space="preserve"> PAGE  \* Arabic  \* MERGEFORMAT </w:instrText>
          </w:r>
          <w:r>
            <w:rPr>
              <w:w w:val="103"/>
            </w:rPr>
            <w:fldChar w:fldCharType="separate"/>
          </w:r>
          <w:r w:rsidR="0030631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6313">
            <w:rPr>
              <w:noProof/>
              <w:w w:val="103"/>
            </w:rPr>
            <w:t>3</w:t>
          </w:r>
          <w:r>
            <w:rPr>
              <w:w w:val="103"/>
            </w:rPr>
            <w:fldChar w:fldCharType="end"/>
          </w:r>
        </w:p>
      </w:tc>
    </w:tr>
  </w:tbl>
  <w:p w:rsidR="0026692E" w:rsidRPr="0026692E" w:rsidRDefault="0026692E" w:rsidP="0026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6692E" w:rsidTr="0026692E">
      <w:trPr>
        <w:jc w:val="center"/>
      </w:trPr>
      <w:tc>
        <w:tcPr>
          <w:tcW w:w="5126" w:type="dxa"/>
          <w:shd w:val="clear" w:color="auto" w:fill="auto"/>
        </w:tcPr>
        <w:p w:rsidR="0026692E" w:rsidRPr="0026692E" w:rsidRDefault="0026692E" w:rsidP="0026692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631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6313">
            <w:rPr>
              <w:noProof/>
              <w:w w:val="103"/>
            </w:rPr>
            <w:t>3</w:t>
          </w:r>
          <w:r>
            <w:rPr>
              <w:w w:val="103"/>
            </w:rPr>
            <w:fldChar w:fldCharType="end"/>
          </w:r>
        </w:p>
      </w:tc>
      <w:tc>
        <w:tcPr>
          <w:tcW w:w="5127" w:type="dxa"/>
          <w:shd w:val="clear" w:color="auto" w:fill="auto"/>
        </w:tcPr>
        <w:p w:rsidR="0026692E" w:rsidRPr="0026692E" w:rsidRDefault="0026692E" w:rsidP="0026692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6313">
            <w:rPr>
              <w:b w:val="0"/>
              <w:w w:val="103"/>
              <w:sz w:val="14"/>
            </w:rPr>
            <w:t>GE.15-15185</w:t>
          </w:r>
          <w:r>
            <w:rPr>
              <w:b w:val="0"/>
              <w:w w:val="103"/>
              <w:sz w:val="14"/>
            </w:rPr>
            <w:fldChar w:fldCharType="end"/>
          </w:r>
        </w:p>
      </w:tc>
    </w:tr>
  </w:tbl>
  <w:p w:rsidR="0026692E" w:rsidRPr="0026692E" w:rsidRDefault="0026692E" w:rsidP="00266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2E" w:rsidRDefault="0026692E">
    <w:pPr>
      <w:pStyle w:val="Footer"/>
    </w:pPr>
    <w:r>
      <w:rPr>
        <w:noProof/>
        <w:lang w:val="en-GB" w:eastAsia="en-GB"/>
      </w:rPr>
      <w:drawing>
        <wp:anchor distT="0" distB="0" distL="114300" distR="114300" simplePos="0" relativeHeight="251658240" behindDoc="0" locked="0" layoutInCell="1" allowOverlap="1" wp14:anchorId="039C112B" wp14:editId="154B5E5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6692E" w:rsidTr="0026692E">
      <w:tc>
        <w:tcPr>
          <w:tcW w:w="3859" w:type="dxa"/>
        </w:tcPr>
        <w:p w:rsidR="0026692E" w:rsidRDefault="0026692E" w:rsidP="0026692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6313">
            <w:rPr>
              <w:b w:val="0"/>
              <w:sz w:val="20"/>
            </w:rPr>
            <w:t>GE.15-15185 (F)</w:t>
          </w:r>
          <w:r>
            <w:rPr>
              <w:b w:val="0"/>
              <w:sz w:val="20"/>
            </w:rPr>
            <w:fldChar w:fldCharType="end"/>
          </w:r>
          <w:r w:rsidR="000E355C">
            <w:rPr>
              <w:b w:val="0"/>
              <w:sz w:val="20"/>
            </w:rPr>
            <w:t xml:space="preserve">    23</w:t>
          </w:r>
          <w:r>
            <w:rPr>
              <w:b w:val="0"/>
              <w:sz w:val="20"/>
            </w:rPr>
            <w:t>1115    241115</w:t>
          </w:r>
        </w:p>
        <w:p w:rsidR="0026692E" w:rsidRPr="0026692E" w:rsidRDefault="0026692E" w:rsidP="0026692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06313">
            <w:rPr>
              <w:rFonts w:ascii="Barcode 3 of 9 by request" w:hAnsi="Barcode 3 of 9 by request"/>
              <w:b w:val="0"/>
              <w:spacing w:val="0"/>
              <w:w w:val="100"/>
              <w:sz w:val="24"/>
            </w:rPr>
            <w:t>*1515185*</w:t>
          </w:r>
          <w:r>
            <w:rPr>
              <w:rFonts w:ascii="Barcode 3 of 9 by request" w:hAnsi="Barcode 3 of 9 by request"/>
              <w:b w:val="0"/>
              <w:spacing w:val="0"/>
              <w:w w:val="100"/>
              <w:sz w:val="24"/>
            </w:rPr>
            <w:fldChar w:fldCharType="end"/>
          </w:r>
        </w:p>
      </w:tc>
      <w:tc>
        <w:tcPr>
          <w:tcW w:w="5127" w:type="dxa"/>
        </w:tcPr>
        <w:p w:rsidR="0026692E" w:rsidRDefault="0026692E" w:rsidP="0026692E">
          <w:pPr>
            <w:pStyle w:val="Footer"/>
            <w:spacing w:line="240" w:lineRule="atLeast"/>
            <w:jc w:val="right"/>
            <w:rPr>
              <w:b w:val="0"/>
              <w:sz w:val="20"/>
            </w:rPr>
          </w:pPr>
          <w:r>
            <w:rPr>
              <w:b w:val="0"/>
              <w:noProof/>
              <w:sz w:val="20"/>
              <w:lang w:val="en-GB" w:eastAsia="en-GB"/>
            </w:rPr>
            <w:drawing>
              <wp:inline distT="0" distB="0" distL="0" distR="0" wp14:anchorId="076DE5AD" wp14:editId="1E10E3A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6692E" w:rsidRPr="0026692E" w:rsidRDefault="0026692E" w:rsidP="0026692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25" w:rsidRPr="00B74AA9" w:rsidRDefault="00B74AA9" w:rsidP="00B74AA9">
      <w:pPr>
        <w:pStyle w:val="Footer"/>
        <w:spacing w:after="80"/>
        <w:ind w:left="792"/>
        <w:rPr>
          <w:sz w:val="16"/>
        </w:rPr>
      </w:pPr>
      <w:r w:rsidRPr="00B74AA9">
        <w:rPr>
          <w:sz w:val="16"/>
        </w:rPr>
        <w:t>__________________</w:t>
      </w:r>
    </w:p>
  </w:footnote>
  <w:footnote w:type="continuationSeparator" w:id="0">
    <w:p w:rsidR="00051325" w:rsidRPr="00B74AA9" w:rsidRDefault="00B74AA9" w:rsidP="00B74AA9">
      <w:pPr>
        <w:pStyle w:val="Footer"/>
        <w:spacing w:after="80"/>
        <w:ind w:left="792"/>
        <w:rPr>
          <w:sz w:val="16"/>
        </w:rPr>
      </w:pPr>
      <w:r w:rsidRPr="00B74AA9">
        <w:rPr>
          <w:sz w:val="16"/>
        </w:rPr>
        <w:t>__________________</w:t>
      </w:r>
    </w:p>
  </w:footnote>
  <w:footnote w:id="1">
    <w:p w:rsidR="00B74AA9" w:rsidRPr="00B74AA9" w:rsidRDefault="00B74AA9" w:rsidP="00B74AA9">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B74AA9">
        <w:rPr>
          <w:spacing w:val="5"/>
          <w:w w:val="104"/>
          <w:lang w:val="fr-FR"/>
        </w:rPr>
        <w:t>Conformément au programme de travail du Sous-Comité pour la période 2015-2016, adopté par le</w:t>
      </w:r>
      <w:r w:rsidR="00E6601F">
        <w:rPr>
          <w:spacing w:val="5"/>
          <w:w w:val="104"/>
          <w:lang w:val="fr-FR"/>
        </w:rPr>
        <w:t> </w:t>
      </w:r>
      <w:r w:rsidRPr="00B74AA9">
        <w:rPr>
          <w:spacing w:val="5"/>
          <w:w w:val="104"/>
          <w:lang w:val="fr-FR"/>
        </w:rPr>
        <w:t>Comité à sa septième session</w:t>
      </w:r>
      <w:r>
        <w:rPr>
          <w:spacing w:val="5"/>
          <w:w w:val="104"/>
          <w:lang w:val="fr-FR"/>
        </w:rPr>
        <w:t xml:space="preserve"> (voir ST/SG/AC.10/C.3/92, par. </w:t>
      </w:r>
      <w:r w:rsidRPr="00B74AA9">
        <w:rPr>
          <w:spacing w:val="5"/>
          <w:w w:val="104"/>
          <w:lang w:val="fr-FR"/>
        </w:rPr>
        <w:t>95,</w:t>
      </w:r>
      <w:r>
        <w:rPr>
          <w:spacing w:val="5"/>
          <w:w w:val="104"/>
          <w:lang w:val="fr-FR"/>
        </w:rPr>
        <w:t xml:space="preserve"> et ST/SG/AC.10/42, par. </w:t>
      </w:r>
      <w:r w:rsidRPr="00B74AA9">
        <w:rPr>
          <w:spacing w:val="5"/>
          <w:w w:val="104"/>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6692E" w:rsidTr="0026692E">
      <w:trPr>
        <w:trHeight w:hRule="exact" w:val="864"/>
        <w:jc w:val="center"/>
      </w:trPr>
      <w:tc>
        <w:tcPr>
          <w:tcW w:w="4882" w:type="dxa"/>
          <w:shd w:val="clear" w:color="auto" w:fill="auto"/>
          <w:vAlign w:val="bottom"/>
        </w:tcPr>
        <w:p w:rsidR="0026692E" w:rsidRPr="0026692E" w:rsidRDefault="0026692E" w:rsidP="0026692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6313">
            <w:rPr>
              <w:b/>
              <w:color w:val="000000"/>
            </w:rPr>
            <w:t>ST/SG/AC.10/C.3/2015/54</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306313">
            <w:rPr>
              <w:b/>
              <w:color w:val="000000"/>
            </w:rPr>
            <w:t>ST/SG/AC.10/C.4/2015/11</w:t>
          </w:r>
          <w:r>
            <w:rPr>
              <w:b/>
              <w:color w:val="000000"/>
            </w:rPr>
            <w:fldChar w:fldCharType="end"/>
          </w:r>
        </w:p>
      </w:tc>
      <w:tc>
        <w:tcPr>
          <w:tcW w:w="5127" w:type="dxa"/>
          <w:shd w:val="clear" w:color="auto" w:fill="auto"/>
          <w:vAlign w:val="bottom"/>
        </w:tcPr>
        <w:p w:rsidR="0026692E" w:rsidRDefault="0026692E" w:rsidP="0026692E">
          <w:pPr>
            <w:pStyle w:val="Header"/>
          </w:pPr>
        </w:p>
      </w:tc>
    </w:tr>
  </w:tbl>
  <w:p w:rsidR="0026692E" w:rsidRPr="0026692E" w:rsidRDefault="0026692E" w:rsidP="0026692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6692E" w:rsidTr="0026692E">
      <w:trPr>
        <w:trHeight w:hRule="exact" w:val="864"/>
        <w:jc w:val="center"/>
      </w:trPr>
      <w:tc>
        <w:tcPr>
          <w:tcW w:w="4882" w:type="dxa"/>
          <w:shd w:val="clear" w:color="auto" w:fill="auto"/>
          <w:vAlign w:val="bottom"/>
        </w:tcPr>
        <w:p w:rsidR="0026692E" w:rsidRDefault="0026692E" w:rsidP="0026692E">
          <w:pPr>
            <w:pStyle w:val="Header"/>
          </w:pPr>
        </w:p>
      </w:tc>
      <w:tc>
        <w:tcPr>
          <w:tcW w:w="5127" w:type="dxa"/>
          <w:shd w:val="clear" w:color="auto" w:fill="auto"/>
          <w:vAlign w:val="bottom"/>
        </w:tcPr>
        <w:p w:rsidR="0026692E" w:rsidRPr="0026692E" w:rsidRDefault="0026692E" w:rsidP="0026692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6313">
            <w:rPr>
              <w:b/>
              <w:color w:val="000000"/>
            </w:rPr>
            <w:t>ST/SG/AC.10/C.3/2015/54</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306313">
            <w:rPr>
              <w:b/>
              <w:color w:val="000000"/>
            </w:rPr>
            <w:t>ST/SG/AC.10/C.4/2015/11</w:t>
          </w:r>
          <w:r>
            <w:rPr>
              <w:b/>
              <w:color w:val="000000"/>
            </w:rPr>
            <w:fldChar w:fldCharType="end"/>
          </w:r>
        </w:p>
      </w:tc>
    </w:tr>
  </w:tbl>
  <w:p w:rsidR="0026692E" w:rsidRPr="0026692E" w:rsidRDefault="0026692E" w:rsidP="0026692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6692E" w:rsidTr="0026692E">
      <w:trPr>
        <w:trHeight w:hRule="exact" w:val="864"/>
      </w:trPr>
      <w:tc>
        <w:tcPr>
          <w:tcW w:w="1267" w:type="dxa"/>
          <w:tcBorders>
            <w:bottom w:val="single" w:sz="4" w:space="0" w:color="auto"/>
          </w:tcBorders>
          <w:shd w:val="clear" w:color="auto" w:fill="auto"/>
          <w:vAlign w:val="bottom"/>
        </w:tcPr>
        <w:p w:rsidR="0026692E" w:rsidRDefault="0026692E" w:rsidP="0026692E">
          <w:pPr>
            <w:pStyle w:val="Header"/>
            <w:spacing w:after="120"/>
          </w:pPr>
        </w:p>
      </w:tc>
      <w:tc>
        <w:tcPr>
          <w:tcW w:w="2059" w:type="dxa"/>
          <w:tcBorders>
            <w:bottom w:val="single" w:sz="4" w:space="0" w:color="auto"/>
          </w:tcBorders>
          <w:shd w:val="clear" w:color="auto" w:fill="auto"/>
          <w:vAlign w:val="bottom"/>
        </w:tcPr>
        <w:p w:rsidR="0026692E" w:rsidRPr="0026692E" w:rsidRDefault="0026692E" w:rsidP="0026692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6692E" w:rsidRDefault="0026692E" w:rsidP="0026692E">
          <w:pPr>
            <w:pStyle w:val="Header"/>
            <w:spacing w:after="120"/>
          </w:pPr>
        </w:p>
      </w:tc>
      <w:tc>
        <w:tcPr>
          <w:tcW w:w="6653" w:type="dxa"/>
          <w:gridSpan w:val="4"/>
          <w:tcBorders>
            <w:bottom w:val="single" w:sz="4" w:space="0" w:color="auto"/>
          </w:tcBorders>
          <w:shd w:val="clear" w:color="auto" w:fill="auto"/>
          <w:vAlign w:val="bottom"/>
        </w:tcPr>
        <w:p w:rsidR="0026692E" w:rsidRPr="0026692E" w:rsidRDefault="0026692E" w:rsidP="0026692E">
          <w:pPr>
            <w:spacing w:after="80" w:line="240" w:lineRule="auto"/>
            <w:jc w:val="right"/>
            <w:rPr>
              <w:position w:val="-4"/>
            </w:rPr>
          </w:pPr>
          <w:r>
            <w:rPr>
              <w:position w:val="-4"/>
              <w:sz w:val="40"/>
            </w:rPr>
            <w:t>ST</w:t>
          </w:r>
          <w:r>
            <w:rPr>
              <w:position w:val="-4"/>
            </w:rPr>
            <w:t>/SG/AC.10/C.3/2015/54–</w:t>
          </w:r>
          <w:r>
            <w:rPr>
              <w:position w:val="-4"/>
              <w:sz w:val="40"/>
            </w:rPr>
            <w:t>ST</w:t>
          </w:r>
          <w:r>
            <w:rPr>
              <w:position w:val="-4"/>
            </w:rPr>
            <w:t>/SG/AC.10/C.4/2015/11</w:t>
          </w:r>
        </w:p>
      </w:tc>
    </w:tr>
    <w:tr w:rsidR="0026692E" w:rsidRPr="0026692E" w:rsidTr="0026692E">
      <w:trPr>
        <w:gridAfter w:val="1"/>
        <w:wAfter w:w="18" w:type="dxa"/>
        <w:trHeight w:hRule="exact" w:val="2880"/>
      </w:trPr>
      <w:tc>
        <w:tcPr>
          <w:tcW w:w="1267" w:type="dxa"/>
          <w:tcBorders>
            <w:top w:val="single" w:sz="4" w:space="0" w:color="auto"/>
            <w:bottom w:val="single" w:sz="12" w:space="0" w:color="auto"/>
          </w:tcBorders>
          <w:shd w:val="clear" w:color="auto" w:fill="auto"/>
        </w:tcPr>
        <w:p w:rsidR="0026692E" w:rsidRPr="0026692E" w:rsidRDefault="0026692E" w:rsidP="000E355C">
          <w:pPr>
            <w:pStyle w:val="Header"/>
            <w:spacing w:before="120" w:line="240" w:lineRule="auto"/>
            <w:ind w:left="-72"/>
            <w:jc w:val="center"/>
          </w:pPr>
          <w:r>
            <w:rPr>
              <w:noProof/>
              <w:lang w:val="en-GB" w:eastAsia="en-GB"/>
            </w:rPr>
            <w:drawing>
              <wp:inline distT="0" distB="0" distL="0" distR="0" wp14:anchorId="526F77D9" wp14:editId="1955975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6692E" w:rsidRPr="0026692E" w:rsidRDefault="0026692E" w:rsidP="0026692E">
          <w:pPr>
            <w:pStyle w:val="XLarge"/>
            <w:spacing w:before="109"/>
          </w:pPr>
          <w:r>
            <w:t>Secrétariat</w:t>
          </w:r>
        </w:p>
      </w:tc>
      <w:tc>
        <w:tcPr>
          <w:tcW w:w="245" w:type="dxa"/>
          <w:tcBorders>
            <w:top w:val="single" w:sz="4" w:space="0" w:color="auto"/>
            <w:bottom w:val="single" w:sz="12" w:space="0" w:color="auto"/>
          </w:tcBorders>
          <w:shd w:val="clear" w:color="auto" w:fill="auto"/>
        </w:tcPr>
        <w:p w:rsidR="0026692E" w:rsidRPr="0026692E" w:rsidRDefault="0026692E" w:rsidP="0026692E">
          <w:pPr>
            <w:pStyle w:val="Header"/>
            <w:spacing w:before="109"/>
          </w:pPr>
        </w:p>
      </w:tc>
      <w:tc>
        <w:tcPr>
          <w:tcW w:w="3280" w:type="dxa"/>
          <w:tcBorders>
            <w:top w:val="single" w:sz="4" w:space="0" w:color="auto"/>
            <w:bottom w:val="single" w:sz="12" w:space="0" w:color="auto"/>
          </w:tcBorders>
          <w:shd w:val="clear" w:color="auto" w:fill="auto"/>
        </w:tcPr>
        <w:p w:rsidR="0026692E" w:rsidRDefault="0026692E" w:rsidP="0026692E">
          <w:pPr>
            <w:pStyle w:val="Distribution"/>
            <w:rPr>
              <w:color w:val="000000"/>
            </w:rPr>
          </w:pPr>
          <w:r>
            <w:rPr>
              <w:color w:val="000000"/>
            </w:rPr>
            <w:t>Distr. générale</w:t>
          </w:r>
        </w:p>
        <w:p w:rsidR="0026692E" w:rsidRDefault="0026692E" w:rsidP="0026692E">
          <w:pPr>
            <w:pStyle w:val="Publication"/>
            <w:rPr>
              <w:color w:val="000000"/>
            </w:rPr>
          </w:pPr>
          <w:r>
            <w:rPr>
              <w:color w:val="000000"/>
            </w:rPr>
            <w:t>8 septembre 2015</w:t>
          </w:r>
        </w:p>
        <w:p w:rsidR="0026692E" w:rsidRDefault="0026692E" w:rsidP="0026692E">
          <w:pPr>
            <w:rPr>
              <w:lang w:val="en-US"/>
            </w:rPr>
          </w:pPr>
          <w:r>
            <w:rPr>
              <w:lang w:val="en-US"/>
            </w:rPr>
            <w:t>Français</w:t>
          </w:r>
        </w:p>
        <w:p w:rsidR="0026692E" w:rsidRPr="0026692E" w:rsidRDefault="0026692E" w:rsidP="0026692E">
          <w:pPr>
            <w:pStyle w:val="Original"/>
            <w:rPr>
              <w:color w:val="000000"/>
            </w:rPr>
          </w:pPr>
          <w:r>
            <w:rPr>
              <w:color w:val="000000"/>
            </w:rPr>
            <w:t>Original : anglais</w:t>
          </w:r>
        </w:p>
      </w:tc>
    </w:tr>
  </w:tbl>
  <w:p w:rsidR="0026692E" w:rsidRPr="0026692E" w:rsidRDefault="0026692E" w:rsidP="0026692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0C0109"/>
    <w:multiLevelType w:val="singleLevel"/>
    <w:tmpl w:val="2DE86B48"/>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45C5D"/>
    <w:multiLevelType w:val="singleLevel"/>
    <w:tmpl w:val="2DE86B48"/>
    <w:lvl w:ilvl="0">
      <w:start w:val="1"/>
      <w:numFmt w:val="decimal"/>
      <w:lvlRestart w:val="0"/>
      <w:lvlText w:val="%1."/>
      <w:lvlJc w:val="left"/>
      <w:pPr>
        <w:tabs>
          <w:tab w:val="num" w:pos="475"/>
        </w:tabs>
        <w:ind w:left="0" w:firstLine="0"/>
      </w:pPr>
      <w:rPr>
        <w:w w:val="100"/>
      </w:rPr>
    </w:lvl>
  </w:abstractNum>
  <w:abstractNum w:abstractNumId="7">
    <w:nsid w:val="717B3D94"/>
    <w:multiLevelType w:val="hybridMultilevel"/>
    <w:tmpl w:val="BB2ABBA4"/>
    <w:lvl w:ilvl="0" w:tplc="78D6326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85*"/>
    <w:docVar w:name="CreationDt" w:val="11/24/2015 7:08: AM"/>
    <w:docVar w:name="DocCategory" w:val="Doc"/>
    <w:docVar w:name="DocType" w:val="Final"/>
    <w:docVar w:name="DutyStation" w:val="Geneva"/>
    <w:docVar w:name="FooterJN" w:val="GE.15-15185"/>
    <w:docVar w:name="jobn" w:val="GE.15-15185 (F)"/>
    <w:docVar w:name="jobnDT" w:val="GE.15-15185 (F)   241115"/>
    <w:docVar w:name="jobnDTDT" w:val="GE.15-15185 (F)   241115   241115"/>
    <w:docVar w:name="JobNo" w:val="GE.1515185F"/>
    <w:docVar w:name="JobNo2" w:val="GE.1520479F"/>
    <w:docVar w:name="LocalDrive" w:val="0"/>
    <w:docVar w:name="OandT" w:val="M. Deschamps"/>
    <w:docVar w:name="PaperSize" w:val="A4"/>
    <w:docVar w:name="sss1" w:val="ST/SG/AC.10/C.3/2015/54"/>
    <w:docVar w:name="sss2" w:val="ST/SG/AC.10/C.4/2015/11"/>
    <w:docVar w:name="Symbol1" w:val="ST/SG/AC.10/C.3/2015/54"/>
    <w:docVar w:name="Symbol2" w:val="ST/SG/AC.10/C.4/2015/11"/>
  </w:docVars>
  <w:rsids>
    <w:rsidRoot w:val="0005132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325"/>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55C"/>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92E"/>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60FD"/>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313"/>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2F23"/>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450B"/>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5A85"/>
    <w:rsid w:val="00401219"/>
    <w:rsid w:val="004039C7"/>
    <w:rsid w:val="004065B7"/>
    <w:rsid w:val="004066EB"/>
    <w:rsid w:val="00406E1E"/>
    <w:rsid w:val="00414C9D"/>
    <w:rsid w:val="00415A2B"/>
    <w:rsid w:val="00416293"/>
    <w:rsid w:val="004204AE"/>
    <w:rsid w:val="004216F7"/>
    <w:rsid w:val="0042753D"/>
    <w:rsid w:val="00427867"/>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67F2D"/>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7295"/>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628"/>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5A9C"/>
    <w:rsid w:val="007476BA"/>
    <w:rsid w:val="00750C8F"/>
    <w:rsid w:val="0075110B"/>
    <w:rsid w:val="007517F6"/>
    <w:rsid w:val="007531C9"/>
    <w:rsid w:val="007537B8"/>
    <w:rsid w:val="00754913"/>
    <w:rsid w:val="00755393"/>
    <w:rsid w:val="007553FC"/>
    <w:rsid w:val="00756346"/>
    <w:rsid w:val="00757463"/>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4AA9"/>
    <w:rsid w:val="00B76414"/>
    <w:rsid w:val="00B77EB8"/>
    <w:rsid w:val="00B8018C"/>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7A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3F21"/>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01F"/>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FEE"/>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6692E"/>
    <w:rPr>
      <w:sz w:val="16"/>
      <w:szCs w:val="16"/>
    </w:rPr>
  </w:style>
  <w:style w:type="paragraph" w:styleId="CommentText">
    <w:name w:val="annotation text"/>
    <w:basedOn w:val="Normal"/>
    <w:link w:val="CommentTextChar"/>
    <w:uiPriority w:val="99"/>
    <w:semiHidden/>
    <w:unhideWhenUsed/>
    <w:rsid w:val="0026692E"/>
    <w:pPr>
      <w:spacing w:line="240" w:lineRule="auto"/>
    </w:pPr>
    <w:rPr>
      <w:szCs w:val="20"/>
    </w:rPr>
  </w:style>
  <w:style w:type="character" w:customStyle="1" w:styleId="CommentTextChar">
    <w:name w:val="Comment Text Char"/>
    <w:basedOn w:val="DefaultParagraphFont"/>
    <w:link w:val="CommentText"/>
    <w:uiPriority w:val="99"/>
    <w:semiHidden/>
    <w:rsid w:val="0026692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6692E"/>
    <w:rPr>
      <w:b/>
      <w:bCs/>
    </w:rPr>
  </w:style>
  <w:style w:type="character" w:customStyle="1" w:styleId="CommentSubjectChar">
    <w:name w:val="Comment Subject Char"/>
    <w:basedOn w:val="CommentTextChar"/>
    <w:link w:val="CommentSubject"/>
    <w:uiPriority w:val="99"/>
    <w:semiHidden/>
    <w:rsid w:val="0026692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6692E"/>
    <w:rPr>
      <w:sz w:val="16"/>
      <w:szCs w:val="16"/>
    </w:rPr>
  </w:style>
  <w:style w:type="paragraph" w:styleId="CommentText">
    <w:name w:val="annotation text"/>
    <w:basedOn w:val="Normal"/>
    <w:link w:val="CommentTextChar"/>
    <w:uiPriority w:val="99"/>
    <w:semiHidden/>
    <w:unhideWhenUsed/>
    <w:rsid w:val="0026692E"/>
    <w:pPr>
      <w:spacing w:line="240" w:lineRule="auto"/>
    </w:pPr>
    <w:rPr>
      <w:szCs w:val="20"/>
    </w:rPr>
  </w:style>
  <w:style w:type="character" w:customStyle="1" w:styleId="CommentTextChar">
    <w:name w:val="Comment Text Char"/>
    <w:basedOn w:val="DefaultParagraphFont"/>
    <w:link w:val="CommentText"/>
    <w:uiPriority w:val="99"/>
    <w:semiHidden/>
    <w:rsid w:val="0026692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6692E"/>
    <w:rPr>
      <w:b/>
      <w:bCs/>
    </w:rPr>
  </w:style>
  <w:style w:type="character" w:customStyle="1" w:styleId="CommentSubjectChar">
    <w:name w:val="Comment Subject Char"/>
    <w:basedOn w:val="CommentTextChar"/>
    <w:link w:val="CommentSubject"/>
    <w:uiPriority w:val="99"/>
    <w:semiHidden/>
    <w:rsid w:val="0026692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B0E2-56F1-49FA-BD17-0731272C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2</cp:revision>
  <cp:lastPrinted>2015-11-24T13:07:00Z</cp:lastPrinted>
  <dcterms:created xsi:type="dcterms:W3CDTF">2015-11-24T13:08:00Z</dcterms:created>
  <dcterms:modified xsi:type="dcterms:W3CDTF">2015-11-24T13:08:00Z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1515185F</vt:lpwstr>
  </property>
  <property fmtid="{D5CDD505-2E9C-101B-9397-08002B2CF9AE}" pid="3" name="ODSRefJobNo">
    <vt:lpwstr>1520479F</vt:lpwstr>
  </property>
  <property fmtid="{D5CDD505-2E9C-101B-9397-08002B2CF9AE}" pid="4" name="Symbol1">
    <vt:lpwstr>ST/SG/AC.10/C.3/2015/54</vt:lpwstr>
  </property>
  <property fmtid="{D5CDD505-2E9C-101B-9397-08002B2CF9AE}" pid="5" name="Symbol2">
    <vt:lpwstr>ST/SG/AC.10/C.4/2015/11</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241115</vt:lpwstr>
  </property>
</Properties>
</file>