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B4E5A">
        <w:trPr>
          <w:trHeight w:val="851"/>
        </w:trPr>
        <w:tc>
          <w:tcPr>
            <w:tcW w:w="1259" w:type="dxa"/>
            <w:tcBorders>
              <w:top w:val="nil"/>
              <w:left w:val="nil"/>
              <w:bottom w:val="single" w:sz="4" w:space="0" w:color="auto"/>
              <w:right w:val="nil"/>
            </w:tcBorders>
            <w:shd w:val="clear" w:color="auto" w:fill="auto"/>
          </w:tcPr>
          <w:p w:rsidR="00446DE4" w:rsidRDefault="00446DE4" w:rsidP="007502A9">
            <w:pPr>
              <w:pStyle w:val="Heading2"/>
            </w:pPr>
          </w:p>
        </w:tc>
        <w:tc>
          <w:tcPr>
            <w:tcW w:w="2236" w:type="dxa"/>
            <w:tcBorders>
              <w:top w:val="nil"/>
              <w:left w:val="nil"/>
              <w:bottom w:val="single" w:sz="4" w:space="0" w:color="auto"/>
              <w:right w:val="nil"/>
            </w:tcBorders>
            <w:shd w:val="clear" w:color="auto" w:fill="auto"/>
            <w:vAlign w:val="bottom"/>
          </w:tcPr>
          <w:p w:rsidR="00446DE4" w:rsidRPr="000B4E5A" w:rsidRDefault="00B3317B" w:rsidP="000B4E5A">
            <w:pPr>
              <w:spacing w:after="80" w:line="340" w:lineRule="exact"/>
              <w:rPr>
                <w:sz w:val="28"/>
                <w:szCs w:val="28"/>
              </w:rPr>
            </w:pPr>
            <w:r w:rsidRPr="000B4E5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2309A7" w:rsidRDefault="0005570C" w:rsidP="00337C8D">
            <w:pPr>
              <w:suppressAutoHyphens w:val="0"/>
              <w:spacing w:after="20"/>
              <w:jc w:val="right"/>
            </w:pPr>
            <w:r w:rsidRPr="000B4E5A">
              <w:rPr>
                <w:sz w:val="40"/>
              </w:rPr>
              <w:t>ST</w:t>
            </w:r>
            <w:r>
              <w:t>/SG/AC.10/C.3/201</w:t>
            </w:r>
            <w:r w:rsidR="007502A9">
              <w:t>5</w:t>
            </w:r>
            <w:r>
              <w:t>/</w:t>
            </w:r>
            <w:r w:rsidR="00337C8D">
              <w:t>52</w:t>
            </w:r>
          </w:p>
        </w:tc>
      </w:tr>
      <w:tr w:rsidR="003107FA" w:rsidTr="000B4E5A">
        <w:trPr>
          <w:trHeight w:val="2835"/>
        </w:trPr>
        <w:tc>
          <w:tcPr>
            <w:tcW w:w="1259" w:type="dxa"/>
            <w:tcBorders>
              <w:top w:val="single" w:sz="4" w:space="0" w:color="auto"/>
              <w:left w:val="nil"/>
              <w:bottom w:val="single" w:sz="12" w:space="0" w:color="auto"/>
              <w:right w:val="nil"/>
            </w:tcBorders>
            <w:shd w:val="clear" w:color="auto" w:fill="auto"/>
          </w:tcPr>
          <w:p w:rsidR="003107FA" w:rsidRDefault="006A0FA7" w:rsidP="000B4E5A">
            <w:pPr>
              <w:spacing w:before="120"/>
              <w:jc w:val="center"/>
            </w:pPr>
            <w:r>
              <w:rPr>
                <w:noProof/>
                <w:lang w:eastAsia="en-GB"/>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0B4E5A" w:rsidRDefault="00D96CC5" w:rsidP="000B4E5A">
            <w:pPr>
              <w:spacing w:before="120" w:line="420" w:lineRule="exact"/>
              <w:rPr>
                <w:b/>
                <w:sz w:val="40"/>
                <w:szCs w:val="40"/>
              </w:rPr>
            </w:pPr>
            <w:r w:rsidRPr="000B4E5A">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05570C" w:rsidRDefault="0005570C" w:rsidP="000B4E5A">
            <w:pPr>
              <w:suppressAutoHyphens w:val="0"/>
              <w:spacing w:before="240" w:line="240" w:lineRule="exact"/>
            </w:pPr>
            <w:r>
              <w:t>Distr.: General</w:t>
            </w:r>
          </w:p>
          <w:p w:rsidR="0005570C" w:rsidRDefault="00043BB6" w:rsidP="000B4E5A">
            <w:pPr>
              <w:suppressAutoHyphens w:val="0"/>
            </w:pPr>
            <w:r>
              <w:t>8</w:t>
            </w:r>
            <w:bookmarkStart w:id="0" w:name="_GoBack"/>
            <w:bookmarkEnd w:id="0"/>
            <w:r w:rsidR="003C466D">
              <w:t xml:space="preserve"> September</w:t>
            </w:r>
            <w:r w:rsidR="00DD70B8">
              <w:t xml:space="preserve"> </w:t>
            </w:r>
            <w:r w:rsidR="007502A9">
              <w:t>2015</w:t>
            </w:r>
          </w:p>
          <w:p w:rsidR="0005570C" w:rsidRDefault="0005570C" w:rsidP="000B4E5A">
            <w:pPr>
              <w:suppressAutoHyphens w:val="0"/>
            </w:pPr>
          </w:p>
          <w:p w:rsidR="003107FA" w:rsidRDefault="0005570C" w:rsidP="00494D24">
            <w:pPr>
              <w:suppressAutoHyphens w:val="0"/>
            </w:pPr>
            <w:r>
              <w:t xml:space="preserve">Original: </w:t>
            </w:r>
            <w:r w:rsidR="00494D24">
              <w:t>English</w:t>
            </w:r>
          </w:p>
        </w:tc>
      </w:tr>
    </w:tbl>
    <w:p w:rsidR="00CF7C69" w:rsidRPr="00EE6D6E" w:rsidRDefault="00CF7C69" w:rsidP="00EE6D6E">
      <w:pPr>
        <w:spacing w:before="120" w:after="120"/>
        <w:rPr>
          <w:b/>
          <w:sz w:val="24"/>
          <w:szCs w:val="24"/>
          <w:lang w:val="en-US"/>
        </w:rPr>
      </w:pPr>
      <w:r w:rsidRPr="00EE6D6E">
        <w:rPr>
          <w:b/>
          <w:sz w:val="24"/>
          <w:szCs w:val="24"/>
          <w:lang w:val="en-US"/>
        </w:rPr>
        <w:t>Committee of Experts on the Transport of Dangerous Goods</w:t>
      </w:r>
      <w:r w:rsidR="00EE6D6E" w:rsidRPr="00EE6D6E">
        <w:rPr>
          <w:b/>
          <w:sz w:val="24"/>
          <w:szCs w:val="24"/>
          <w:lang w:val="en-US"/>
        </w:rPr>
        <w:br/>
      </w:r>
      <w:r w:rsidRPr="00EE6D6E">
        <w:rPr>
          <w:b/>
          <w:sz w:val="24"/>
          <w:szCs w:val="24"/>
          <w:lang w:val="en-US"/>
        </w:rPr>
        <w:t>and on the Globally Harmonized System of Classification</w:t>
      </w:r>
      <w:r w:rsidR="00EE6D6E">
        <w:rPr>
          <w:b/>
          <w:sz w:val="24"/>
          <w:szCs w:val="24"/>
          <w:lang w:val="en-US"/>
        </w:rPr>
        <w:br/>
      </w:r>
      <w:r w:rsidRPr="00EE6D6E">
        <w:rPr>
          <w:b/>
          <w:sz w:val="24"/>
          <w:szCs w:val="24"/>
          <w:lang w:val="en-US"/>
        </w:rPr>
        <w:t>and Labelling of Chemicals</w:t>
      </w:r>
    </w:p>
    <w:p w:rsidR="00CF7C69" w:rsidRPr="00CF6553" w:rsidRDefault="00CF7C69" w:rsidP="00B05614">
      <w:pPr>
        <w:spacing w:before="120"/>
        <w:rPr>
          <w:b/>
          <w:lang w:val="en-US"/>
        </w:rPr>
      </w:pPr>
      <w:r w:rsidRPr="00CF6553">
        <w:rPr>
          <w:b/>
          <w:lang w:val="en-US"/>
        </w:rPr>
        <w:t>Sub-Committee of Experts on the Transport of Dangerous Goods</w:t>
      </w:r>
    </w:p>
    <w:p w:rsidR="00CA7603" w:rsidRPr="00D76673" w:rsidRDefault="00CA7603" w:rsidP="00CA7603">
      <w:pPr>
        <w:spacing w:before="120"/>
        <w:rPr>
          <w:b/>
        </w:rPr>
      </w:pPr>
      <w:r>
        <w:rPr>
          <w:b/>
        </w:rPr>
        <w:t>Forty-eighth session</w:t>
      </w:r>
    </w:p>
    <w:p w:rsidR="00CA7603" w:rsidRDefault="00CA7603" w:rsidP="00CA7603">
      <w:r>
        <w:t>Geneva, 30 November – 9 December 2015</w:t>
      </w:r>
    </w:p>
    <w:p w:rsidR="0015507E" w:rsidRDefault="00CA7603" w:rsidP="00CA7603">
      <w:pPr>
        <w:rPr>
          <w:b/>
          <w:lang w:val="en-US"/>
        </w:rPr>
      </w:pPr>
      <w:r>
        <w:t>Item 4 (d) of the provisional agenda</w:t>
      </w:r>
      <w:r>
        <w:rPr>
          <w:b/>
        </w:rPr>
        <w:t xml:space="preserve"> </w:t>
      </w:r>
      <w:r>
        <w:rPr>
          <w:b/>
        </w:rPr>
        <w:br/>
      </w:r>
      <w:r w:rsidR="00AF7863">
        <w:rPr>
          <w:b/>
        </w:rPr>
        <w:t>Electric storage systems: m</w:t>
      </w:r>
      <w:r>
        <w:rPr>
          <w:b/>
        </w:rPr>
        <w:t>iscellaneous</w:t>
      </w:r>
    </w:p>
    <w:p w:rsidR="008B0C07" w:rsidRDefault="008B0C07" w:rsidP="0015507E">
      <w:pPr>
        <w:pStyle w:val="HChG"/>
      </w:pPr>
      <w:r>
        <w:tab/>
      </w:r>
      <w:r>
        <w:tab/>
      </w:r>
      <w:r w:rsidR="0093223F">
        <w:t>Review of the meaning of “equipment” for the purposes of Special Provision 188 and Packing Instruction P903</w:t>
      </w:r>
    </w:p>
    <w:p w:rsidR="008B0C07" w:rsidRDefault="008B0C07" w:rsidP="008B0C07">
      <w:pPr>
        <w:pStyle w:val="H1G"/>
        <w:outlineLvl w:val="0"/>
      </w:pPr>
      <w:r>
        <w:tab/>
      </w:r>
      <w:r>
        <w:tab/>
      </w:r>
      <w:r w:rsidR="00221AA5" w:rsidRPr="00221AA5">
        <w:rPr>
          <w:noProof/>
          <w:lang w:bidi="en-GB"/>
        </w:rPr>
        <w:t xml:space="preserve">Transmitted by the </w:t>
      </w:r>
      <w:r w:rsidR="0093223F">
        <w:t xml:space="preserve">International Air Transport </w:t>
      </w:r>
      <w:r w:rsidR="0093223F" w:rsidRPr="0071564D">
        <w:t xml:space="preserve">Association </w:t>
      </w:r>
      <w:r w:rsidR="0093223F">
        <w:t>(IATA)</w:t>
      </w:r>
      <w:r>
        <w:rPr>
          <w:rStyle w:val="FootnoteReference"/>
          <w:noProof/>
        </w:rPr>
        <w:footnoteReference w:id="2"/>
      </w:r>
    </w:p>
    <w:p w:rsidR="008B0C07" w:rsidRDefault="008B0C07" w:rsidP="008F6E71">
      <w:pPr>
        <w:pStyle w:val="HChG"/>
      </w:pPr>
      <w:r>
        <w:tab/>
      </w:r>
      <w:r>
        <w:tab/>
      </w:r>
      <w:r w:rsidRPr="008F6E71">
        <w:t>Introduction</w:t>
      </w:r>
    </w:p>
    <w:p w:rsidR="0093223F" w:rsidRDefault="00221AA5" w:rsidP="00221AA5">
      <w:pPr>
        <w:spacing w:after="120"/>
        <w:ind w:left="1134" w:right="1134"/>
        <w:jc w:val="both"/>
        <w:rPr>
          <w:lang w:eastAsia="en-GB" w:bidi="en-GB"/>
        </w:rPr>
      </w:pPr>
      <w:r w:rsidRPr="00221AA5">
        <w:rPr>
          <w:lang w:val="en-US" w:eastAsia="en-GB" w:bidi="en-GB"/>
        </w:rPr>
        <w:t>1</w:t>
      </w:r>
      <w:r w:rsidRPr="00221AA5">
        <w:rPr>
          <w:lang w:eastAsia="en-GB" w:bidi="en-GB"/>
        </w:rPr>
        <w:t>.</w:t>
      </w:r>
      <w:r w:rsidRPr="00221AA5">
        <w:rPr>
          <w:lang w:eastAsia="en-GB" w:bidi="en-GB"/>
        </w:rPr>
        <w:tab/>
      </w:r>
      <w:r w:rsidR="0093223F">
        <w:rPr>
          <w:lang w:eastAsia="en-GB" w:bidi="en-GB"/>
        </w:rPr>
        <w:t xml:space="preserve">At the </w:t>
      </w:r>
      <w:r w:rsidR="00337C8D">
        <w:rPr>
          <w:lang w:eastAsia="en-GB" w:bidi="en-GB"/>
        </w:rPr>
        <w:t>forty-seventh</w:t>
      </w:r>
      <w:r w:rsidR="0093223F">
        <w:rPr>
          <w:lang w:eastAsia="en-GB" w:bidi="en-GB"/>
        </w:rPr>
        <w:t xml:space="preserve"> session of the Sub</w:t>
      </w:r>
      <w:r w:rsidR="00337C8D">
        <w:rPr>
          <w:lang w:eastAsia="en-GB" w:bidi="en-GB"/>
        </w:rPr>
        <w:t>-C</w:t>
      </w:r>
      <w:r w:rsidR="0093223F">
        <w:rPr>
          <w:lang w:eastAsia="en-GB" w:bidi="en-GB"/>
        </w:rPr>
        <w:t>ommittee</w:t>
      </w:r>
      <w:r w:rsidR="00337C8D">
        <w:rPr>
          <w:lang w:eastAsia="en-GB" w:bidi="en-GB"/>
        </w:rPr>
        <w:t>,</w:t>
      </w:r>
      <w:r w:rsidR="0093223F">
        <w:rPr>
          <w:lang w:eastAsia="en-GB" w:bidi="en-GB"/>
        </w:rPr>
        <w:t xml:space="preserve"> I</w:t>
      </w:r>
      <w:r w:rsidR="00337C8D">
        <w:rPr>
          <w:lang w:eastAsia="en-GB" w:bidi="en-GB"/>
        </w:rPr>
        <w:t xml:space="preserve">ATA submitted an informal document </w:t>
      </w:r>
      <w:r w:rsidR="0093223F">
        <w:rPr>
          <w:lang w:eastAsia="en-GB" w:bidi="en-GB"/>
        </w:rPr>
        <w:t>INF.35</w:t>
      </w:r>
      <w:r w:rsidR="00337C8D">
        <w:rPr>
          <w:lang w:eastAsia="en-GB" w:bidi="en-GB"/>
        </w:rPr>
        <w:t xml:space="preserve"> (47</w:t>
      </w:r>
      <w:r w:rsidR="00337C8D" w:rsidRPr="00337C8D">
        <w:rPr>
          <w:vertAlign w:val="superscript"/>
          <w:lang w:eastAsia="en-GB" w:bidi="en-GB"/>
        </w:rPr>
        <w:t>th</w:t>
      </w:r>
      <w:r w:rsidR="00337C8D">
        <w:rPr>
          <w:lang w:eastAsia="en-GB" w:bidi="en-GB"/>
        </w:rPr>
        <w:t xml:space="preserve"> session)</w:t>
      </w:r>
      <w:r w:rsidR="0093223F">
        <w:rPr>
          <w:lang w:eastAsia="en-GB" w:bidi="en-GB"/>
        </w:rPr>
        <w:t xml:space="preserve"> proposing a revision to the definition of “equipment” in packing instruction P903 and also proposing the addition of the definition into Special Provision 188.</w:t>
      </w:r>
    </w:p>
    <w:p w:rsidR="00221AA5" w:rsidRPr="00221AA5" w:rsidRDefault="0093223F" w:rsidP="00221AA5">
      <w:pPr>
        <w:spacing w:after="120"/>
        <w:ind w:left="1134" w:right="1134"/>
        <w:jc w:val="both"/>
        <w:rPr>
          <w:lang w:eastAsia="en-GB" w:bidi="en-GB"/>
        </w:rPr>
      </w:pPr>
      <w:r>
        <w:rPr>
          <w:lang w:eastAsia="en-GB" w:bidi="en-GB"/>
        </w:rPr>
        <w:t>2.</w:t>
      </w:r>
      <w:r>
        <w:rPr>
          <w:lang w:eastAsia="en-GB" w:bidi="en-GB"/>
        </w:rPr>
        <w:tab/>
        <w:t>There was overall support for the proposals in the informal paper, although as it was a late paper, IATA was invited to submit a formal paper for this session of the Subcommittee</w:t>
      </w:r>
      <w:r w:rsidR="00221AA5" w:rsidRPr="00221AA5">
        <w:rPr>
          <w:lang w:eastAsia="en-GB" w:bidi="en-GB"/>
        </w:rPr>
        <w:t>.</w:t>
      </w:r>
    </w:p>
    <w:p w:rsidR="00221AA5" w:rsidRPr="00221AA5" w:rsidRDefault="00431E6A" w:rsidP="00221AA5">
      <w:pPr>
        <w:spacing w:after="120"/>
        <w:ind w:left="1134" w:right="1134"/>
        <w:jc w:val="both"/>
        <w:rPr>
          <w:lang w:eastAsia="en-GB" w:bidi="en-GB"/>
        </w:rPr>
      </w:pPr>
      <w:r>
        <w:rPr>
          <w:lang w:eastAsia="en-GB" w:bidi="en-GB"/>
        </w:rPr>
        <w:t>3</w:t>
      </w:r>
      <w:r w:rsidR="00221AA5" w:rsidRPr="00221AA5">
        <w:rPr>
          <w:lang w:eastAsia="en-GB" w:bidi="en-GB"/>
        </w:rPr>
        <w:t>.</w:t>
      </w:r>
      <w:r w:rsidR="00221AA5" w:rsidRPr="00221AA5">
        <w:rPr>
          <w:lang w:eastAsia="en-GB" w:bidi="en-GB"/>
        </w:rPr>
        <w:tab/>
      </w:r>
      <w:r w:rsidR="008B1C6A">
        <w:rPr>
          <w:lang w:eastAsia="en-GB" w:bidi="en-GB"/>
        </w:rPr>
        <w:t xml:space="preserve">The term </w:t>
      </w:r>
      <w:r w:rsidR="008B1C6A">
        <w:t>“equipment” and its application for the purposes of determining whether an article should be considered as a “battery” and therefore assigned to UN 3090 or UN 3480, or if it is equipment and assigned to UN 3091 or UN 3481 remains and issue. There is also an issue around whether an article can be deemed to be “equipment” such that lithium batteries can be packed with the article and then assigned to UN 3091 or UN 3481.</w:t>
      </w:r>
    </w:p>
    <w:p w:rsidR="008B1C6A" w:rsidRDefault="00431E6A" w:rsidP="00221AA5">
      <w:pPr>
        <w:spacing w:after="120"/>
        <w:ind w:left="1134" w:right="1134"/>
        <w:jc w:val="both"/>
      </w:pPr>
      <w:r>
        <w:rPr>
          <w:lang w:eastAsia="en-GB" w:bidi="en-GB"/>
        </w:rPr>
        <w:t>4</w:t>
      </w:r>
      <w:r w:rsidR="00221AA5" w:rsidRPr="00221AA5">
        <w:rPr>
          <w:lang w:eastAsia="en-GB" w:bidi="en-GB"/>
        </w:rPr>
        <w:t>.</w:t>
      </w:r>
      <w:r w:rsidR="00221AA5" w:rsidRPr="00221AA5">
        <w:rPr>
          <w:lang w:eastAsia="en-GB" w:bidi="en-GB"/>
        </w:rPr>
        <w:tab/>
      </w:r>
      <w:r w:rsidR="008B1C6A">
        <w:rPr>
          <w:lang w:eastAsia="en-GB" w:bidi="en-GB"/>
        </w:rPr>
        <w:t xml:space="preserve">While there is a definition of “equipment” in packing instruction P903, it is believed that the wording could be improved to make it clear that </w:t>
      </w:r>
      <w:r w:rsidR="008B1C6A">
        <w:t xml:space="preserve">to be considered “equipment” and </w:t>
      </w:r>
      <w:r w:rsidR="008B1C6A">
        <w:lastRenderedPageBreak/>
        <w:t>therefore assigned to UN 3481 that the article must be powered by the lithium batteries with which they are being packed.</w:t>
      </w:r>
    </w:p>
    <w:p w:rsidR="008B1C6A" w:rsidRDefault="00431E6A" w:rsidP="00221AA5">
      <w:pPr>
        <w:spacing w:after="120"/>
        <w:ind w:left="1134" w:right="1134"/>
        <w:jc w:val="both"/>
      </w:pPr>
      <w:r>
        <w:t>5</w:t>
      </w:r>
      <w:r w:rsidR="008B1C6A">
        <w:t>.</w:t>
      </w:r>
      <w:r w:rsidR="008B1C6A">
        <w:tab/>
        <w:t>The placement of the current definition, within the provisions for lithium batteries packed with equipment, could imply that the definition does not apply to lithium batteries contained in equipment, notwithstanding that the word clearly states “For the purposes of this packing instruction…</w:t>
      </w:r>
      <w:proofErr w:type="gramStart"/>
      <w:r w:rsidR="008B1C6A">
        <w:t>”.</w:t>
      </w:r>
      <w:proofErr w:type="gramEnd"/>
      <w:r w:rsidR="008B1C6A">
        <w:t xml:space="preserve"> To ensure there is no ambiguity on the intent of the definition it is proposed to move it to the top of P903.</w:t>
      </w:r>
    </w:p>
    <w:p w:rsidR="00221AA5" w:rsidRPr="00221AA5" w:rsidRDefault="00431E6A" w:rsidP="00221AA5">
      <w:pPr>
        <w:spacing w:after="120"/>
        <w:ind w:left="1134" w:right="1134"/>
        <w:jc w:val="both"/>
        <w:rPr>
          <w:lang w:eastAsia="en-GB" w:bidi="en-GB"/>
        </w:rPr>
      </w:pPr>
      <w:r>
        <w:t>6</w:t>
      </w:r>
      <w:r w:rsidR="008B1C6A">
        <w:t>.</w:t>
      </w:r>
      <w:r w:rsidR="008B1C6A">
        <w:tab/>
        <w:t>Finally, to ensure a consistent application</w:t>
      </w:r>
      <w:r w:rsidR="001D7147">
        <w:rPr>
          <w:lang w:eastAsia="en-GB" w:bidi="en-GB"/>
        </w:rPr>
        <w:t xml:space="preserve"> </w:t>
      </w:r>
      <w:r w:rsidR="008B1C6A">
        <w:rPr>
          <w:lang w:eastAsia="en-GB" w:bidi="en-GB"/>
        </w:rPr>
        <w:t xml:space="preserve">it is proposed to include the same definition into </w:t>
      </w:r>
      <w:r w:rsidR="008B1C6A">
        <w:t>Special Provision 188</w:t>
      </w:r>
      <w:r w:rsidR="00221AA5" w:rsidRPr="00221AA5">
        <w:rPr>
          <w:lang w:eastAsia="en-GB" w:bidi="en-GB"/>
        </w:rPr>
        <w:t>.</w:t>
      </w:r>
    </w:p>
    <w:p w:rsidR="00221AA5" w:rsidRPr="00221AA5" w:rsidRDefault="008F6E71" w:rsidP="00431E6A">
      <w:pPr>
        <w:pStyle w:val="HChG"/>
        <w:spacing w:before="120" w:after="120"/>
        <w:rPr>
          <w:szCs w:val="28"/>
          <w:lang w:eastAsia="en-GB" w:bidi="en-GB"/>
        </w:rPr>
      </w:pPr>
      <w:r>
        <w:rPr>
          <w:lang w:eastAsia="en-GB" w:bidi="en-GB"/>
        </w:rPr>
        <w:tab/>
      </w:r>
      <w:r>
        <w:rPr>
          <w:lang w:eastAsia="en-GB" w:bidi="en-GB"/>
        </w:rPr>
        <w:tab/>
      </w:r>
      <w:r w:rsidR="00221AA5" w:rsidRPr="00221AA5">
        <w:rPr>
          <w:lang w:eastAsia="en-GB" w:bidi="en-GB"/>
        </w:rPr>
        <w:t>Proposal</w:t>
      </w:r>
    </w:p>
    <w:p w:rsidR="0093223F" w:rsidRDefault="00431E6A" w:rsidP="0093223F">
      <w:pPr>
        <w:pStyle w:val="SingleTxtG"/>
        <w:ind w:left="1170"/>
      </w:pPr>
      <w:r>
        <w:rPr>
          <w:lang w:eastAsia="en-GB" w:bidi="en-GB"/>
        </w:rPr>
        <w:t>7</w:t>
      </w:r>
      <w:r w:rsidR="00221AA5" w:rsidRPr="00221AA5">
        <w:rPr>
          <w:lang w:eastAsia="en-GB" w:bidi="en-GB"/>
        </w:rPr>
        <w:t xml:space="preserve">. </w:t>
      </w:r>
      <w:r w:rsidR="008F6E71">
        <w:rPr>
          <w:lang w:eastAsia="en-GB" w:bidi="en-GB"/>
        </w:rPr>
        <w:tab/>
      </w:r>
      <w:r w:rsidR="0093223F">
        <w:t>The Sub</w:t>
      </w:r>
      <w:r w:rsidR="00337C8D">
        <w:t>-C</w:t>
      </w:r>
      <w:r w:rsidR="0093223F">
        <w:t>ommittee is invited to consider</w:t>
      </w:r>
      <w:r w:rsidR="0093223F" w:rsidRPr="00337B04">
        <w:rPr>
          <w:lang w:val="en-US"/>
        </w:rPr>
        <w:t xml:space="preserve"> </w:t>
      </w:r>
      <w:r w:rsidR="0093223F">
        <w:rPr>
          <w:lang w:val="en-US"/>
        </w:rPr>
        <w:t>amending Special Provision 188 as follows</w:t>
      </w:r>
      <w:r w:rsidR="0093223F">
        <w:t>:</w:t>
      </w:r>
    </w:p>
    <w:p w:rsidR="0093223F" w:rsidRPr="00337B04" w:rsidRDefault="0093223F" w:rsidP="00337C8D">
      <w:pPr>
        <w:pStyle w:val="SingleTxtG"/>
        <w:ind w:left="1701"/>
      </w:pPr>
      <w:r w:rsidRPr="00337B04">
        <w:rPr>
          <w:lang w:eastAsia="en-GB"/>
        </w:rPr>
        <w:t>188</w:t>
      </w:r>
      <w:r w:rsidRPr="00337B04">
        <w:rPr>
          <w:lang w:eastAsia="en-GB"/>
        </w:rPr>
        <w:tab/>
        <w:t>Cells and batteries offered for transport are not subject to other provisions of these Regulations if they meet the following:</w:t>
      </w:r>
      <w:r w:rsidRPr="00337B04">
        <w:rPr>
          <w:i/>
        </w:rPr>
        <w:t xml:space="preserve"> </w:t>
      </w:r>
    </w:p>
    <w:p w:rsidR="0093223F" w:rsidRPr="00337B04" w:rsidRDefault="0093223F" w:rsidP="0093223F">
      <w:pPr>
        <w:suppressAutoHyphens w:val="0"/>
        <w:autoSpaceDE w:val="0"/>
        <w:autoSpaceDN w:val="0"/>
        <w:adjustRightInd w:val="0"/>
        <w:spacing w:after="120" w:line="240" w:lineRule="auto"/>
        <w:ind w:left="2410"/>
      </w:pPr>
      <w:r w:rsidRPr="00337B04">
        <w:t>…</w:t>
      </w:r>
    </w:p>
    <w:p w:rsidR="0093223F" w:rsidRPr="00337B04" w:rsidRDefault="0093223F" w:rsidP="00337C8D">
      <w:pPr>
        <w:pStyle w:val="SingleTxtG"/>
        <w:ind w:left="2268"/>
        <w:rPr>
          <w:lang w:eastAsia="en-GB"/>
        </w:rPr>
      </w:pPr>
      <w:r w:rsidRPr="00337B04">
        <w:rPr>
          <w:lang w:eastAsia="en-GB"/>
        </w:rPr>
        <w:t>(</w:t>
      </w:r>
      <w:proofErr w:type="spellStart"/>
      <w:r w:rsidRPr="00337B04">
        <w:rPr>
          <w:lang w:eastAsia="en-GB"/>
        </w:rPr>
        <w:t>i</w:t>
      </w:r>
      <w:proofErr w:type="spellEnd"/>
      <w:r w:rsidRPr="00337B04">
        <w:rPr>
          <w:lang w:eastAsia="en-GB"/>
        </w:rPr>
        <w:t xml:space="preserve">) </w:t>
      </w:r>
      <w:r w:rsidRPr="00337B04">
        <w:rPr>
          <w:lang w:eastAsia="en-GB"/>
        </w:rPr>
        <w:tab/>
        <w:t>Except when batteries are installed in or packed with equipment, packages shall not exceed 30 kg gross mass.</w:t>
      </w:r>
    </w:p>
    <w:p w:rsidR="0093223F" w:rsidRPr="00337B04" w:rsidRDefault="0093223F" w:rsidP="00337C8D">
      <w:pPr>
        <w:pStyle w:val="SingleTxtG"/>
        <w:ind w:left="2268"/>
        <w:rPr>
          <w:color w:val="FF0000"/>
          <w:u w:val="single"/>
          <w:lang w:eastAsia="en-GB"/>
        </w:rPr>
      </w:pPr>
      <w:r w:rsidRPr="00337B04">
        <w:rPr>
          <w:lang w:eastAsia="en-GB"/>
        </w:rPr>
        <w:t xml:space="preserve">As used above and elsewhere in these Regulations, “lithium content” means the mass of lithium in the anode of a lithium metal or lithium alloy cell. </w:t>
      </w:r>
      <w:r w:rsidRPr="00337B04">
        <w:rPr>
          <w:color w:val="FF0000"/>
          <w:u w:val="single"/>
          <w:lang w:eastAsia="en-GB"/>
        </w:rPr>
        <w:t xml:space="preserve">As used in this special provision </w:t>
      </w:r>
      <w:r w:rsidRPr="00337B04">
        <w:rPr>
          <w:color w:val="FF0000"/>
          <w:u w:val="single"/>
        </w:rPr>
        <w:t>“</w:t>
      </w:r>
      <w:r w:rsidRPr="00337B04">
        <w:rPr>
          <w:iCs/>
          <w:color w:val="FF0000"/>
          <w:u w:val="single"/>
        </w:rPr>
        <w:t>equipment”</w:t>
      </w:r>
      <w:r w:rsidRPr="00337B04">
        <w:rPr>
          <w:color w:val="FF0000"/>
          <w:u w:val="single"/>
        </w:rPr>
        <w:t xml:space="preserve"> means apparatus for which the lithium cells or batteries will provide electrical power for its operation.</w:t>
      </w:r>
    </w:p>
    <w:p w:rsidR="00221AA5" w:rsidRDefault="0093223F" w:rsidP="00337C8D">
      <w:pPr>
        <w:pStyle w:val="SingleTxtG"/>
        <w:ind w:left="2268"/>
        <w:rPr>
          <w:lang w:eastAsia="en-GB"/>
        </w:rPr>
      </w:pPr>
      <w:r w:rsidRPr="00337B04">
        <w:rPr>
          <w:lang w:eastAsia="en-GB"/>
        </w:rPr>
        <w:t>Separate entries exist for lithium metal batteries and lithium ion batteries to facilitate the transport of these batteries for specific modes of transport and to enable the application of different emergency response actions.</w:t>
      </w:r>
    </w:p>
    <w:p w:rsidR="0093223F" w:rsidRDefault="00431E6A" w:rsidP="00431E6A">
      <w:pPr>
        <w:pStyle w:val="SingleTxtG"/>
      </w:pPr>
      <w:r>
        <w:rPr>
          <w:lang w:eastAsia="en-GB"/>
        </w:rPr>
        <w:t>8</w:t>
      </w:r>
      <w:r w:rsidR="0093223F">
        <w:rPr>
          <w:lang w:eastAsia="en-GB"/>
        </w:rPr>
        <w:t>.</w:t>
      </w:r>
      <w:r w:rsidR="0093223F">
        <w:rPr>
          <w:lang w:eastAsia="en-GB"/>
        </w:rPr>
        <w:tab/>
      </w:r>
      <w:r w:rsidR="0093223F" w:rsidRPr="001F5383">
        <w:t>The Sub</w:t>
      </w:r>
      <w:r>
        <w:t>-C</w:t>
      </w:r>
      <w:r w:rsidR="0093223F" w:rsidRPr="001F5383">
        <w:t xml:space="preserve">ommittee is invited to consider amending </w:t>
      </w:r>
      <w:r w:rsidR="0093223F">
        <w:t xml:space="preserve">packing instruction P903 </w:t>
      </w:r>
      <w:r w:rsidR="0093223F" w:rsidRPr="001F5383">
        <w:t>as follows:</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93223F" w:rsidRPr="00431E6A" w:rsidTr="00B47598">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rsidR="0093223F" w:rsidRPr="00431E6A" w:rsidRDefault="0093223F" w:rsidP="00B47598">
            <w:pPr>
              <w:pStyle w:val="Heading9"/>
              <w:ind w:left="57" w:firstLine="82"/>
              <w:rPr>
                <w:b/>
                <w:bCs/>
                <w:sz w:val="18"/>
                <w:szCs w:val="18"/>
              </w:rPr>
            </w:pPr>
            <w:r w:rsidRPr="00431E6A">
              <w:rPr>
                <w:b/>
                <w:sz w:val="18"/>
                <w:szCs w:val="18"/>
              </w:rPr>
              <w:t>P903</w:t>
            </w:r>
          </w:p>
        </w:tc>
        <w:tc>
          <w:tcPr>
            <w:tcW w:w="7950" w:type="dxa"/>
            <w:tcBorders>
              <w:top w:val="single" w:sz="4" w:space="0" w:color="auto"/>
              <w:bottom w:val="single" w:sz="6" w:space="0" w:color="auto"/>
            </w:tcBorders>
            <w:tcMar>
              <w:left w:w="0" w:type="dxa"/>
              <w:right w:w="0" w:type="dxa"/>
            </w:tcMar>
          </w:tcPr>
          <w:p w:rsidR="0093223F" w:rsidRPr="00431E6A" w:rsidRDefault="0093223F" w:rsidP="00B47598">
            <w:pPr>
              <w:pStyle w:val="Heading9"/>
              <w:ind w:left="6" w:hanging="6"/>
              <w:jc w:val="center"/>
              <w:rPr>
                <w:b/>
                <w:bCs/>
                <w:sz w:val="18"/>
                <w:szCs w:val="18"/>
              </w:rPr>
            </w:pPr>
            <w:r w:rsidRPr="00431E6A">
              <w:rPr>
                <w:b/>
                <w:sz w:val="18"/>
                <w:szCs w:val="18"/>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rsidR="0093223F" w:rsidRPr="00431E6A" w:rsidRDefault="0093223F" w:rsidP="00B47598">
            <w:pPr>
              <w:pStyle w:val="Heading9"/>
              <w:ind w:right="57"/>
              <w:jc w:val="right"/>
              <w:rPr>
                <w:b/>
                <w:bCs/>
                <w:sz w:val="18"/>
                <w:szCs w:val="18"/>
              </w:rPr>
            </w:pPr>
            <w:r w:rsidRPr="00431E6A">
              <w:rPr>
                <w:b/>
                <w:sz w:val="18"/>
                <w:szCs w:val="18"/>
              </w:rPr>
              <w:t>P903</w:t>
            </w:r>
          </w:p>
        </w:tc>
      </w:tr>
      <w:tr w:rsidR="0093223F" w:rsidRPr="00431E6A" w:rsidTr="00B47598">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93223F" w:rsidRPr="00431E6A" w:rsidRDefault="0093223F" w:rsidP="00B47598">
            <w:pPr>
              <w:pStyle w:val="Heading9"/>
              <w:spacing w:after="120"/>
              <w:ind w:left="142" w:right="142"/>
              <w:jc w:val="both"/>
              <w:rPr>
                <w:rFonts w:eastAsia="Calibri"/>
                <w:sz w:val="18"/>
                <w:szCs w:val="18"/>
              </w:rPr>
            </w:pPr>
            <w:r w:rsidRPr="00431E6A">
              <w:rPr>
                <w:rFonts w:eastAsia="Calibri"/>
                <w:sz w:val="18"/>
                <w:szCs w:val="18"/>
              </w:rPr>
              <w:t xml:space="preserve">This instruction applies to </w:t>
            </w:r>
            <w:r w:rsidRPr="00431E6A">
              <w:rPr>
                <w:sz w:val="18"/>
                <w:szCs w:val="18"/>
                <w:lang w:eastAsia="en-GB"/>
              </w:rPr>
              <w:t>UN Nos. 3090, 3091, 3480 and 3481.</w:t>
            </w:r>
          </w:p>
        </w:tc>
      </w:tr>
      <w:tr w:rsidR="0093223F" w:rsidRPr="00431E6A" w:rsidTr="00431E6A">
        <w:trPr>
          <w:cantSplit/>
          <w:trHeight w:val="376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E66B93" w:rsidRPr="00431E6A" w:rsidRDefault="00E66B93" w:rsidP="00B47598">
            <w:pPr>
              <w:pStyle w:val="Heading9"/>
              <w:spacing w:after="120"/>
              <w:ind w:left="142" w:right="142"/>
              <w:jc w:val="both"/>
              <w:rPr>
                <w:sz w:val="18"/>
                <w:szCs w:val="18"/>
                <w:lang w:eastAsia="en-GB"/>
              </w:rPr>
            </w:pPr>
            <w:r w:rsidRPr="00431E6A">
              <w:rPr>
                <w:color w:val="FF0000"/>
                <w:sz w:val="18"/>
                <w:szCs w:val="18"/>
                <w:u w:val="single"/>
                <w:lang w:eastAsia="en-GB"/>
              </w:rPr>
              <w:t>For the purpose of this packing instruction, “equipment” means apparatus</w:t>
            </w:r>
            <w:r w:rsidRPr="00431E6A">
              <w:rPr>
                <w:color w:val="FF0000"/>
                <w:sz w:val="18"/>
                <w:szCs w:val="18"/>
                <w:lang w:eastAsia="en-GB"/>
              </w:rPr>
              <w:t xml:space="preserve"> </w:t>
            </w:r>
            <w:r w:rsidRPr="00431E6A">
              <w:rPr>
                <w:color w:val="FF0000"/>
                <w:sz w:val="18"/>
                <w:szCs w:val="18"/>
                <w:u w:val="single"/>
              </w:rPr>
              <w:t>for which the lithium cells or batteries will provide electrical power for its operation</w:t>
            </w:r>
            <w:r w:rsidRPr="00431E6A">
              <w:rPr>
                <w:sz w:val="18"/>
                <w:szCs w:val="18"/>
                <w:lang w:eastAsia="en-GB"/>
              </w:rPr>
              <w:t>.</w:t>
            </w:r>
          </w:p>
          <w:p w:rsidR="00E66B93" w:rsidRPr="00431E6A" w:rsidRDefault="00E66B93" w:rsidP="00B47598">
            <w:pPr>
              <w:pStyle w:val="Heading9"/>
              <w:spacing w:after="120"/>
              <w:ind w:left="142" w:right="142"/>
              <w:jc w:val="both"/>
              <w:rPr>
                <w:rFonts w:eastAsia="Calibri"/>
                <w:sz w:val="18"/>
                <w:szCs w:val="18"/>
              </w:rPr>
            </w:pPr>
            <w:r w:rsidRPr="00431E6A">
              <w:rPr>
                <w:sz w:val="18"/>
                <w:szCs w:val="18"/>
                <w:lang w:eastAsia="en-GB"/>
              </w:rPr>
              <w:t xml:space="preserve">The following packagings are authorized provided that the general provisions of </w:t>
            </w:r>
            <w:r w:rsidRPr="00431E6A">
              <w:rPr>
                <w:b/>
                <w:bCs/>
                <w:sz w:val="18"/>
                <w:szCs w:val="18"/>
                <w:lang w:eastAsia="en-GB"/>
              </w:rPr>
              <w:t xml:space="preserve">4.1.1 </w:t>
            </w:r>
            <w:r w:rsidRPr="00431E6A">
              <w:rPr>
                <w:sz w:val="18"/>
                <w:szCs w:val="18"/>
                <w:lang w:eastAsia="en-GB"/>
              </w:rPr>
              <w:t xml:space="preserve">and </w:t>
            </w:r>
            <w:r w:rsidRPr="00431E6A">
              <w:rPr>
                <w:b/>
                <w:bCs/>
                <w:sz w:val="18"/>
                <w:szCs w:val="18"/>
                <w:lang w:eastAsia="en-GB"/>
              </w:rPr>
              <w:t xml:space="preserve">4.1.3 </w:t>
            </w:r>
            <w:r w:rsidRPr="00431E6A">
              <w:rPr>
                <w:sz w:val="18"/>
                <w:szCs w:val="18"/>
                <w:lang w:eastAsia="en-GB"/>
              </w:rPr>
              <w:t>are met:</w:t>
            </w:r>
          </w:p>
          <w:p w:rsidR="0093223F" w:rsidRPr="00431E6A" w:rsidRDefault="0093223F" w:rsidP="00B47598">
            <w:pPr>
              <w:pStyle w:val="Heading9"/>
              <w:spacing w:after="120"/>
              <w:ind w:left="142" w:right="142"/>
              <w:jc w:val="both"/>
              <w:rPr>
                <w:rFonts w:eastAsia="Calibri"/>
                <w:sz w:val="18"/>
                <w:szCs w:val="18"/>
              </w:rPr>
            </w:pPr>
            <w:r w:rsidRPr="00431E6A">
              <w:rPr>
                <w:rFonts w:eastAsia="Calibri"/>
                <w:sz w:val="18"/>
                <w:szCs w:val="18"/>
              </w:rPr>
              <w:t>…</w:t>
            </w:r>
          </w:p>
          <w:p w:rsidR="0093223F" w:rsidRPr="00431E6A" w:rsidRDefault="0093223F" w:rsidP="00B47598">
            <w:pPr>
              <w:suppressAutoHyphens w:val="0"/>
              <w:autoSpaceDE w:val="0"/>
              <w:autoSpaceDN w:val="0"/>
              <w:adjustRightInd w:val="0"/>
              <w:spacing w:after="120" w:line="240" w:lineRule="auto"/>
              <w:ind w:left="142"/>
              <w:rPr>
                <w:sz w:val="18"/>
                <w:szCs w:val="18"/>
                <w:lang w:eastAsia="en-GB"/>
              </w:rPr>
            </w:pPr>
            <w:r w:rsidRPr="00431E6A">
              <w:rPr>
                <w:sz w:val="18"/>
                <w:szCs w:val="18"/>
                <w:lang w:eastAsia="en-GB"/>
              </w:rPr>
              <w:t>(3)    For cells or batteries packed with equipment:</w:t>
            </w:r>
          </w:p>
          <w:p w:rsidR="0093223F" w:rsidRPr="00431E6A" w:rsidRDefault="0093223F" w:rsidP="00B47598">
            <w:pPr>
              <w:suppressAutoHyphens w:val="0"/>
              <w:autoSpaceDE w:val="0"/>
              <w:autoSpaceDN w:val="0"/>
              <w:adjustRightInd w:val="0"/>
              <w:spacing w:after="120" w:line="240" w:lineRule="auto"/>
              <w:ind w:left="564"/>
              <w:rPr>
                <w:sz w:val="18"/>
                <w:szCs w:val="18"/>
                <w:lang w:eastAsia="en-GB"/>
              </w:rPr>
            </w:pPr>
            <w:r w:rsidRPr="00431E6A">
              <w:rPr>
                <w:sz w:val="18"/>
                <w:szCs w:val="18"/>
                <w:lang w:eastAsia="en-GB"/>
              </w:rPr>
              <w:t>Packagings conforming to the requirements in paragraph (1) of this packing instruction, then placed with the equipment in an outer packaging; or</w:t>
            </w:r>
          </w:p>
          <w:p w:rsidR="0093223F" w:rsidRPr="00431E6A" w:rsidRDefault="0093223F" w:rsidP="00B47598">
            <w:pPr>
              <w:suppressAutoHyphens w:val="0"/>
              <w:autoSpaceDE w:val="0"/>
              <w:autoSpaceDN w:val="0"/>
              <w:adjustRightInd w:val="0"/>
              <w:spacing w:after="120" w:line="240" w:lineRule="auto"/>
              <w:ind w:left="564"/>
              <w:rPr>
                <w:sz w:val="18"/>
                <w:szCs w:val="18"/>
                <w:lang w:eastAsia="en-GB"/>
              </w:rPr>
            </w:pPr>
            <w:r w:rsidRPr="00431E6A">
              <w:rPr>
                <w:sz w:val="18"/>
                <w:szCs w:val="18"/>
                <w:lang w:eastAsia="en-GB"/>
              </w:rPr>
              <w:t>Packagings that completely enclose the cells or batteries, then placed with equipment in a packaging conforming to the requirements in paragraph (1) of this packing instruction.</w:t>
            </w:r>
          </w:p>
          <w:p w:rsidR="0093223F" w:rsidRPr="00431E6A" w:rsidRDefault="0093223F" w:rsidP="00B47598">
            <w:pPr>
              <w:suppressAutoHyphens w:val="0"/>
              <w:autoSpaceDE w:val="0"/>
              <w:autoSpaceDN w:val="0"/>
              <w:adjustRightInd w:val="0"/>
              <w:spacing w:after="120" w:line="240" w:lineRule="auto"/>
              <w:ind w:left="564"/>
              <w:rPr>
                <w:sz w:val="18"/>
                <w:szCs w:val="18"/>
                <w:lang w:eastAsia="en-GB"/>
              </w:rPr>
            </w:pPr>
            <w:r w:rsidRPr="00431E6A">
              <w:rPr>
                <w:sz w:val="18"/>
                <w:szCs w:val="18"/>
                <w:lang w:eastAsia="en-GB"/>
              </w:rPr>
              <w:t>The equipment shall be secured against movement within the outer packaging.</w:t>
            </w:r>
          </w:p>
          <w:p w:rsidR="0093223F" w:rsidRPr="00431E6A" w:rsidRDefault="0093223F" w:rsidP="00B47598">
            <w:pPr>
              <w:suppressAutoHyphens w:val="0"/>
              <w:autoSpaceDE w:val="0"/>
              <w:autoSpaceDN w:val="0"/>
              <w:adjustRightInd w:val="0"/>
              <w:spacing w:after="120" w:line="240" w:lineRule="auto"/>
              <w:ind w:left="564"/>
              <w:rPr>
                <w:rFonts w:eastAsia="Calibri"/>
                <w:sz w:val="18"/>
                <w:szCs w:val="18"/>
              </w:rPr>
            </w:pPr>
            <w:r w:rsidRPr="00431E6A">
              <w:rPr>
                <w:strike/>
                <w:sz w:val="18"/>
                <w:szCs w:val="18"/>
                <w:lang w:eastAsia="en-GB"/>
              </w:rPr>
              <w:t>For the purpose of this packing instruction, “equipment” means apparatus requiring the lithium metal or lithium ion cells or batteries with which it is packed for its operation</w:t>
            </w:r>
            <w:r w:rsidRPr="00431E6A">
              <w:rPr>
                <w:sz w:val="18"/>
                <w:szCs w:val="18"/>
                <w:lang w:eastAsia="en-GB"/>
              </w:rPr>
              <w:t>.</w:t>
            </w:r>
            <w:r w:rsidRPr="00431E6A">
              <w:rPr>
                <w:rFonts w:eastAsia="Calibri"/>
                <w:sz w:val="18"/>
                <w:szCs w:val="18"/>
              </w:rPr>
              <w:t xml:space="preserve"> </w:t>
            </w:r>
          </w:p>
          <w:p w:rsidR="0093223F" w:rsidRPr="00431E6A" w:rsidRDefault="0093223F" w:rsidP="00431E6A">
            <w:pPr>
              <w:suppressAutoHyphens w:val="0"/>
              <w:autoSpaceDE w:val="0"/>
              <w:autoSpaceDN w:val="0"/>
              <w:adjustRightInd w:val="0"/>
              <w:spacing w:after="120" w:line="240" w:lineRule="auto"/>
              <w:ind w:left="142" w:right="142"/>
              <w:jc w:val="both"/>
              <w:rPr>
                <w:rFonts w:eastAsia="Calibri"/>
                <w:sz w:val="18"/>
                <w:szCs w:val="18"/>
              </w:rPr>
            </w:pPr>
            <w:r w:rsidRPr="00431E6A">
              <w:rPr>
                <w:rFonts w:eastAsia="Calibri"/>
                <w:bCs/>
                <w:sz w:val="18"/>
                <w:szCs w:val="18"/>
              </w:rPr>
              <w:t>…</w:t>
            </w:r>
          </w:p>
        </w:tc>
      </w:tr>
    </w:tbl>
    <w:p w:rsidR="000C6CC7" w:rsidRPr="00431E6A" w:rsidRDefault="00431E6A" w:rsidP="00431E6A">
      <w:pPr>
        <w:pStyle w:val="SingleTxtG"/>
        <w:spacing w:before="240" w:after="0"/>
        <w:jc w:val="center"/>
        <w:rPr>
          <w:u w:val="single"/>
        </w:rPr>
      </w:pPr>
      <w:r>
        <w:rPr>
          <w:u w:val="single"/>
        </w:rPr>
        <w:tab/>
      </w:r>
      <w:r>
        <w:rPr>
          <w:u w:val="single"/>
        </w:rPr>
        <w:tab/>
      </w:r>
      <w:r>
        <w:rPr>
          <w:u w:val="single"/>
        </w:rPr>
        <w:tab/>
      </w:r>
    </w:p>
    <w:sectPr w:rsidR="000C6CC7" w:rsidRPr="00431E6A" w:rsidSect="0005570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40" w:rsidRDefault="00326540"/>
  </w:endnote>
  <w:endnote w:type="continuationSeparator" w:id="0">
    <w:p w:rsidR="00326540" w:rsidRDefault="00326540"/>
  </w:endnote>
  <w:endnote w:type="continuationNotice" w:id="1">
    <w:p w:rsidR="00326540" w:rsidRDefault="00326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0F" w:rsidRPr="00DB230F" w:rsidRDefault="00DB230F" w:rsidP="00DB230F">
    <w:pPr>
      <w:pStyle w:val="Footer"/>
      <w:rPr>
        <w:b/>
        <w:sz w:val="18"/>
        <w:szCs w:val="18"/>
      </w:rPr>
    </w:pPr>
    <w:r w:rsidRPr="00DB230F">
      <w:rPr>
        <w:b/>
        <w:sz w:val="18"/>
        <w:szCs w:val="18"/>
      </w:rPr>
      <w:fldChar w:fldCharType="begin"/>
    </w:r>
    <w:r w:rsidRPr="00DB230F">
      <w:rPr>
        <w:b/>
        <w:sz w:val="18"/>
        <w:szCs w:val="18"/>
      </w:rPr>
      <w:instrText xml:space="preserve"> PAGE   \* MERGEFORMAT </w:instrText>
    </w:r>
    <w:r w:rsidRPr="00DB230F">
      <w:rPr>
        <w:b/>
        <w:sz w:val="18"/>
        <w:szCs w:val="18"/>
      </w:rPr>
      <w:fldChar w:fldCharType="separate"/>
    </w:r>
    <w:r w:rsidR="00043BB6">
      <w:rPr>
        <w:b/>
        <w:noProof/>
        <w:sz w:val="18"/>
        <w:szCs w:val="18"/>
      </w:rPr>
      <w:t>2</w:t>
    </w:r>
    <w:r w:rsidRPr="00DB230F">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0F" w:rsidRPr="0005570C" w:rsidRDefault="00DB230F"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431E6A">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0F" w:rsidRDefault="00DB230F">
    <w:pPr>
      <w:pStyle w:val="Footer"/>
    </w:pPr>
    <w:r>
      <w:rPr>
        <w:sz w:val="20"/>
      </w:rPr>
      <w:t>GE.15-</w:t>
    </w: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40" w:rsidRPr="000B175B" w:rsidRDefault="00326540" w:rsidP="000B175B">
      <w:pPr>
        <w:tabs>
          <w:tab w:val="right" w:pos="2155"/>
        </w:tabs>
        <w:spacing w:after="80"/>
        <w:ind w:left="680"/>
        <w:rPr>
          <w:u w:val="single"/>
        </w:rPr>
      </w:pPr>
      <w:r>
        <w:rPr>
          <w:u w:val="single"/>
        </w:rPr>
        <w:tab/>
      </w:r>
    </w:p>
  </w:footnote>
  <w:footnote w:type="continuationSeparator" w:id="0">
    <w:p w:rsidR="00326540" w:rsidRPr="00FC68B7" w:rsidRDefault="00326540" w:rsidP="00FC68B7">
      <w:pPr>
        <w:tabs>
          <w:tab w:val="left" w:pos="2155"/>
        </w:tabs>
        <w:spacing w:after="80"/>
        <w:ind w:left="680"/>
        <w:rPr>
          <w:u w:val="single"/>
        </w:rPr>
      </w:pPr>
      <w:r>
        <w:rPr>
          <w:u w:val="single"/>
        </w:rPr>
        <w:tab/>
      </w:r>
    </w:p>
  </w:footnote>
  <w:footnote w:type="continuationNotice" w:id="1">
    <w:p w:rsidR="00326540" w:rsidRDefault="00326540"/>
  </w:footnote>
  <w:footnote w:id="2">
    <w:p w:rsidR="00DB230F" w:rsidRPr="004E4BBD" w:rsidRDefault="00DB230F" w:rsidP="00221AA5">
      <w:pPr>
        <w:pStyle w:val="FootnoteText"/>
        <w:rPr>
          <w:lang w:val="en-US"/>
        </w:rPr>
      </w:pPr>
      <w:r>
        <w:tab/>
      </w:r>
      <w:r>
        <w:rPr>
          <w:rStyle w:val="FootnoteReference"/>
        </w:rPr>
        <w:footnoteRef/>
      </w:r>
      <w:r>
        <w:t xml:space="preserve"> </w:t>
      </w:r>
      <w: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0F" w:rsidRPr="0005570C" w:rsidRDefault="00DB230F" w:rsidP="0005570C">
    <w:pPr>
      <w:pStyle w:val="Header"/>
    </w:pPr>
    <w:r>
      <w:t>ST/SG/AC.10/C.3/2015/</w:t>
    </w:r>
    <w:r w:rsidR="00337C8D">
      <w:t>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0F" w:rsidRPr="0005570C" w:rsidRDefault="00DB230F" w:rsidP="0005570C">
    <w:pPr>
      <w:pStyle w:val="Header"/>
      <w:jc w:val="right"/>
    </w:pPr>
    <w:r w:rsidRPr="0005570C">
      <w:t>ST/SG/AC.10/C.3/20</w:t>
    </w:r>
    <w:r>
      <w:t>13/</w:t>
    </w:r>
    <w:r w:rsidR="008B1C6A">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494"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314257D"/>
    <w:multiLevelType w:val="hybridMultilevel"/>
    <w:tmpl w:val="EE62E1DA"/>
    <w:lvl w:ilvl="0" w:tplc="8AA4255E">
      <w:start w:val="1"/>
      <w:numFmt w:val="bullet"/>
      <w:lvlText w:val=""/>
      <w:lvlJc w:val="left"/>
      <w:pPr>
        <w:ind w:left="360" w:hanging="360"/>
      </w:pPr>
      <w:rPr>
        <w:rFonts w:ascii="Symbol" w:hAnsi="Symbol" w:hint="default"/>
      </w:rPr>
    </w:lvl>
    <w:lvl w:ilvl="1" w:tplc="8AA4255E">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464D2"/>
    <w:multiLevelType w:val="hybridMultilevel"/>
    <w:tmpl w:val="1E9A64F4"/>
    <w:lvl w:ilvl="0" w:tplc="8AA4255E">
      <w:start w:val="1"/>
      <w:numFmt w:val="bullet"/>
      <w:lvlText w:val=""/>
      <w:lvlJc w:val="left"/>
      <w:pPr>
        <w:ind w:left="360" w:hanging="360"/>
      </w:pPr>
      <w:rPr>
        <w:rFonts w:ascii="Symbol" w:hAnsi="Symbol" w:hint="default"/>
      </w:rPr>
    </w:lvl>
    <w:lvl w:ilvl="1" w:tplc="8AA4255E">
      <w:start w:val="1"/>
      <w:numFmt w:val="bullet"/>
      <w:lvlText w:val=""/>
      <w:lvlJc w:val="left"/>
      <w:pPr>
        <w:ind w:left="1080" w:hanging="360"/>
      </w:pPr>
      <w:rPr>
        <w:rFonts w:ascii="Symbol" w:hAnsi="Symbol" w:hint="default"/>
      </w:rPr>
    </w:lvl>
    <w:lvl w:ilvl="2" w:tplc="8AA4255E">
      <w:start w:val="1"/>
      <w:numFmt w:val="bullet"/>
      <w:lvlText w:val=""/>
      <w:lvlJc w:val="left"/>
      <w:pPr>
        <w:ind w:left="1800" w:hanging="360"/>
      </w:pPr>
      <w:rPr>
        <w:rFonts w:ascii="Symbol" w:hAnsi="Symbol"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7D2A18E9"/>
    <w:multiLevelType w:val="hybridMultilevel"/>
    <w:tmpl w:val="B9ACAEE6"/>
    <w:lvl w:ilvl="0" w:tplc="8AA4255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4"/>
  </w:num>
  <w:num w:numId="16">
    <w:abstractNumId w:val="11"/>
  </w:num>
  <w:num w:numId="17">
    <w:abstractNumId w:val="20"/>
  </w:num>
  <w:num w:numId="18">
    <w:abstractNumId w:val="18"/>
  </w:num>
  <w:num w:numId="19">
    <w:abstractNumId w:val="12"/>
  </w:num>
  <w:num w:numId="20">
    <w:abstractNumId w:val="21"/>
  </w:num>
  <w:num w:numId="21">
    <w:abstractNumId w:val="13"/>
  </w:num>
  <w:num w:numId="22">
    <w:abstractNumId w:val="13"/>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3260B"/>
    <w:rsid w:val="00043BB6"/>
    <w:rsid w:val="00044167"/>
    <w:rsid w:val="00050783"/>
    <w:rsid w:val="00050F6B"/>
    <w:rsid w:val="0005570C"/>
    <w:rsid w:val="00064F24"/>
    <w:rsid w:val="00072C8C"/>
    <w:rsid w:val="000732CC"/>
    <w:rsid w:val="00073E97"/>
    <w:rsid w:val="0007718E"/>
    <w:rsid w:val="000875E3"/>
    <w:rsid w:val="00091419"/>
    <w:rsid w:val="00092DE4"/>
    <w:rsid w:val="000931C0"/>
    <w:rsid w:val="00097A34"/>
    <w:rsid w:val="000A0405"/>
    <w:rsid w:val="000A3ADF"/>
    <w:rsid w:val="000A607C"/>
    <w:rsid w:val="000B175B"/>
    <w:rsid w:val="000B2276"/>
    <w:rsid w:val="000B3A0F"/>
    <w:rsid w:val="000B4E5A"/>
    <w:rsid w:val="000C6CC7"/>
    <w:rsid w:val="000E0415"/>
    <w:rsid w:val="000E572A"/>
    <w:rsid w:val="000F5FF7"/>
    <w:rsid w:val="00117787"/>
    <w:rsid w:val="00125775"/>
    <w:rsid w:val="00131D42"/>
    <w:rsid w:val="0015507E"/>
    <w:rsid w:val="0016063F"/>
    <w:rsid w:val="00163161"/>
    <w:rsid w:val="001633FB"/>
    <w:rsid w:val="00166B07"/>
    <w:rsid w:val="00196A6D"/>
    <w:rsid w:val="001A6691"/>
    <w:rsid w:val="001B4B04"/>
    <w:rsid w:val="001B574E"/>
    <w:rsid w:val="001C6663"/>
    <w:rsid w:val="001C7895"/>
    <w:rsid w:val="001D0C12"/>
    <w:rsid w:val="001D26DF"/>
    <w:rsid w:val="001D2FDC"/>
    <w:rsid w:val="001D6306"/>
    <w:rsid w:val="001D7147"/>
    <w:rsid w:val="001F1227"/>
    <w:rsid w:val="00211E0B"/>
    <w:rsid w:val="00221AA5"/>
    <w:rsid w:val="002309A7"/>
    <w:rsid w:val="00233CFA"/>
    <w:rsid w:val="00237785"/>
    <w:rsid w:val="00241466"/>
    <w:rsid w:val="00247A0C"/>
    <w:rsid w:val="00266C11"/>
    <w:rsid w:val="00270607"/>
    <w:rsid w:val="002722E5"/>
    <w:rsid w:val="002725CA"/>
    <w:rsid w:val="00274700"/>
    <w:rsid w:val="00276B54"/>
    <w:rsid w:val="00280EB7"/>
    <w:rsid w:val="00281BE2"/>
    <w:rsid w:val="0029277A"/>
    <w:rsid w:val="002A2560"/>
    <w:rsid w:val="002B1CDA"/>
    <w:rsid w:val="002B2EA7"/>
    <w:rsid w:val="002B521D"/>
    <w:rsid w:val="002B7D6F"/>
    <w:rsid w:val="002D7530"/>
    <w:rsid w:val="002F0918"/>
    <w:rsid w:val="003107FA"/>
    <w:rsid w:val="003229D8"/>
    <w:rsid w:val="00322F52"/>
    <w:rsid w:val="00324A80"/>
    <w:rsid w:val="00326540"/>
    <w:rsid w:val="003311AD"/>
    <w:rsid w:val="00335373"/>
    <w:rsid w:val="00337C8D"/>
    <w:rsid w:val="0034522A"/>
    <w:rsid w:val="00364992"/>
    <w:rsid w:val="00372BDC"/>
    <w:rsid w:val="00381262"/>
    <w:rsid w:val="0039277A"/>
    <w:rsid w:val="003972E0"/>
    <w:rsid w:val="003B0508"/>
    <w:rsid w:val="003C2CC4"/>
    <w:rsid w:val="003C466D"/>
    <w:rsid w:val="003D4B23"/>
    <w:rsid w:val="003E1C5A"/>
    <w:rsid w:val="003F0697"/>
    <w:rsid w:val="003F3F40"/>
    <w:rsid w:val="0041107A"/>
    <w:rsid w:val="00431E6A"/>
    <w:rsid w:val="004325CB"/>
    <w:rsid w:val="00437F3F"/>
    <w:rsid w:val="0044679E"/>
    <w:rsid w:val="00446DE4"/>
    <w:rsid w:val="004479B5"/>
    <w:rsid w:val="00451CCB"/>
    <w:rsid w:val="00475444"/>
    <w:rsid w:val="0049309D"/>
    <w:rsid w:val="00494D24"/>
    <w:rsid w:val="004969ED"/>
    <w:rsid w:val="00497FF3"/>
    <w:rsid w:val="004B2C9D"/>
    <w:rsid w:val="004E30FA"/>
    <w:rsid w:val="004E4BBD"/>
    <w:rsid w:val="004F2817"/>
    <w:rsid w:val="004F758D"/>
    <w:rsid w:val="00500DCD"/>
    <w:rsid w:val="00513786"/>
    <w:rsid w:val="00515763"/>
    <w:rsid w:val="005206A2"/>
    <w:rsid w:val="005224AA"/>
    <w:rsid w:val="005241C6"/>
    <w:rsid w:val="00527910"/>
    <w:rsid w:val="00532A62"/>
    <w:rsid w:val="005335B1"/>
    <w:rsid w:val="005355CE"/>
    <w:rsid w:val="005407BE"/>
    <w:rsid w:val="005415DC"/>
    <w:rsid w:val="005420F2"/>
    <w:rsid w:val="005553A2"/>
    <w:rsid w:val="00564574"/>
    <w:rsid w:val="00566B77"/>
    <w:rsid w:val="005676D5"/>
    <w:rsid w:val="00590144"/>
    <w:rsid w:val="00591D94"/>
    <w:rsid w:val="005B2C26"/>
    <w:rsid w:val="005B3DB3"/>
    <w:rsid w:val="005B6EC0"/>
    <w:rsid w:val="005C7CA9"/>
    <w:rsid w:val="005E37E0"/>
    <w:rsid w:val="005E393C"/>
    <w:rsid w:val="005E6C20"/>
    <w:rsid w:val="00606245"/>
    <w:rsid w:val="00611FC4"/>
    <w:rsid w:val="006176FB"/>
    <w:rsid w:val="0063419C"/>
    <w:rsid w:val="00640B26"/>
    <w:rsid w:val="00664F8E"/>
    <w:rsid w:val="006A0FA7"/>
    <w:rsid w:val="006A7392"/>
    <w:rsid w:val="006B389A"/>
    <w:rsid w:val="006C0D34"/>
    <w:rsid w:val="006D13AF"/>
    <w:rsid w:val="006E564B"/>
    <w:rsid w:val="006F10B3"/>
    <w:rsid w:val="00706FC7"/>
    <w:rsid w:val="00707A67"/>
    <w:rsid w:val="0071233A"/>
    <w:rsid w:val="00716D0F"/>
    <w:rsid w:val="00723E2D"/>
    <w:rsid w:val="00725764"/>
    <w:rsid w:val="0072632A"/>
    <w:rsid w:val="007428A0"/>
    <w:rsid w:val="007502A9"/>
    <w:rsid w:val="0075177E"/>
    <w:rsid w:val="00753EB2"/>
    <w:rsid w:val="00757370"/>
    <w:rsid w:val="00757A17"/>
    <w:rsid w:val="00790791"/>
    <w:rsid w:val="007909EA"/>
    <w:rsid w:val="007A396A"/>
    <w:rsid w:val="007B6BA5"/>
    <w:rsid w:val="007B6BE5"/>
    <w:rsid w:val="007C3390"/>
    <w:rsid w:val="007C4F4B"/>
    <w:rsid w:val="007D12D1"/>
    <w:rsid w:val="007F6611"/>
    <w:rsid w:val="00800F6E"/>
    <w:rsid w:val="008175E9"/>
    <w:rsid w:val="00820DBE"/>
    <w:rsid w:val="008242D7"/>
    <w:rsid w:val="00841B2A"/>
    <w:rsid w:val="00842FAF"/>
    <w:rsid w:val="00847233"/>
    <w:rsid w:val="008553AE"/>
    <w:rsid w:val="00871FD5"/>
    <w:rsid w:val="008900F3"/>
    <w:rsid w:val="0089467C"/>
    <w:rsid w:val="008979B1"/>
    <w:rsid w:val="008A6B25"/>
    <w:rsid w:val="008A6C4F"/>
    <w:rsid w:val="008A7362"/>
    <w:rsid w:val="008B0C07"/>
    <w:rsid w:val="008B1C6A"/>
    <w:rsid w:val="008C4706"/>
    <w:rsid w:val="008D44D4"/>
    <w:rsid w:val="008E0E46"/>
    <w:rsid w:val="008F42F2"/>
    <w:rsid w:val="008F6E71"/>
    <w:rsid w:val="00905AEA"/>
    <w:rsid w:val="009129E7"/>
    <w:rsid w:val="009178F6"/>
    <w:rsid w:val="00924330"/>
    <w:rsid w:val="0093223F"/>
    <w:rsid w:val="0093457E"/>
    <w:rsid w:val="009372F0"/>
    <w:rsid w:val="00945A5D"/>
    <w:rsid w:val="00963CBA"/>
    <w:rsid w:val="00965ACC"/>
    <w:rsid w:val="00972131"/>
    <w:rsid w:val="00977813"/>
    <w:rsid w:val="0099124E"/>
    <w:rsid w:val="00991261"/>
    <w:rsid w:val="00994010"/>
    <w:rsid w:val="00994014"/>
    <w:rsid w:val="009B2FB7"/>
    <w:rsid w:val="009B3CC1"/>
    <w:rsid w:val="009E2874"/>
    <w:rsid w:val="009E587B"/>
    <w:rsid w:val="00A04E8C"/>
    <w:rsid w:val="00A1427D"/>
    <w:rsid w:val="00A22441"/>
    <w:rsid w:val="00A27584"/>
    <w:rsid w:val="00A3734E"/>
    <w:rsid w:val="00A66610"/>
    <w:rsid w:val="00A72F22"/>
    <w:rsid w:val="00A748A6"/>
    <w:rsid w:val="00A7523F"/>
    <w:rsid w:val="00A75EC9"/>
    <w:rsid w:val="00A879A4"/>
    <w:rsid w:val="00A93FE8"/>
    <w:rsid w:val="00AB30A6"/>
    <w:rsid w:val="00AC3364"/>
    <w:rsid w:val="00AC38F2"/>
    <w:rsid w:val="00AC7451"/>
    <w:rsid w:val="00AD5D79"/>
    <w:rsid w:val="00AE313E"/>
    <w:rsid w:val="00AF1489"/>
    <w:rsid w:val="00AF7863"/>
    <w:rsid w:val="00B05614"/>
    <w:rsid w:val="00B30179"/>
    <w:rsid w:val="00B32399"/>
    <w:rsid w:val="00B3317B"/>
    <w:rsid w:val="00B35770"/>
    <w:rsid w:val="00B45379"/>
    <w:rsid w:val="00B62799"/>
    <w:rsid w:val="00B65BD4"/>
    <w:rsid w:val="00B76D98"/>
    <w:rsid w:val="00B81E12"/>
    <w:rsid w:val="00B93068"/>
    <w:rsid w:val="00B96106"/>
    <w:rsid w:val="00BA4AAC"/>
    <w:rsid w:val="00BC4804"/>
    <w:rsid w:val="00BC74E9"/>
    <w:rsid w:val="00BD28C1"/>
    <w:rsid w:val="00BD42B2"/>
    <w:rsid w:val="00BE618E"/>
    <w:rsid w:val="00C148C5"/>
    <w:rsid w:val="00C17582"/>
    <w:rsid w:val="00C4186E"/>
    <w:rsid w:val="00C463DD"/>
    <w:rsid w:val="00C60DCD"/>
    <w:rsid w:val="00C62F76"/>
    <w:rsid w:val="00C64CF9"/>
    <w:rsid w:val="00C745C3"/>
    <w:rsid w:val="00C80D4E"/>
    <w:rsid w:val="00CA5C02"/>
    <w:rsid w:val="00CA7603"/>
    <w:rsid w:val="00CD42C3"/>
    <w:rsid w:val="00CE4A8F"/>
    <w:rsid w:val="00CE58B6"/>
    <w:rsid w:val="00CF6553"/>
    <w:rsid w:val="00CF7C69"/>
    <w:rsid w:val="00D00E69"/>
    <w:rsid w:val="00D02365"/>
    <w:rsid w:val="00D04F8E"/>
    <w:rsid w:val="00D0609D"/>
    <w:rsid w:val="00D17249"/>
    <w:rsid w:val="00D2031B"/>
    <w:rsid w:val="00D2387E"/>
    <w:rsid w:val="00D25FE2"/>
    <w:rsid w:val="00D365F8"/>
    <w:rsid w:val="00D43252"/>
    <w:rsid w:val="00D6374A"/>
    <w:rsid w:val="00D668CA"/>
    <w:rsid w:val="00D753D8"/>
    <w:rsid w:val="00D75A75"/>
    <w:rsid w:val="00D76122"/>
    <w:rsid w:val="00D84DB1"/>
    <w:rsid w:val="00D95849"/>
    <w:rsid w:val="00D96CC5"/>
    <w:rsid w:val="00D978C6"/>
    <w:rsid w:val="00DA67AD"/>
    <w:rsid w:val="00DB0284"/>
    <w:rsid w:val="00DB230F"/>
    <w:rsid w:val="00DC16B9"/>
    <w:rsid w:val="00DC1797"/>
    <w:rsid w:val="00DD70B8"/>
    <w:rsid w:val="00DE4184"/>
    <w:rsid w:val="00DF7129"/>
    <w:rsid w:val="00E130AB"/>
    <w:rsid w:val="00E305E0"/>
    <w:rsid w:val="00E40163"/>
    <w:rsid w:val="00E4194D"/>
    <w:rsid w:val="00E45DE2"/>
    <w:rsid w:val="00E5317F"/>
    <w:rsid w:val="00E54B60"/>
    <w:rsid w:val="00E5644E"/>
    <w:rsid w:val="00E62EE3"/>
    <w:rsid w:val="00E66AF1"/>
    <w:rsid w:val="00E66B93"/>
    <w:rsid w:val="00E7260F"/>
    <w:rsid w:val="00E8535A"/>
    <w:rsid w:val="00E944BD"/>
    <w:rsid w:val="00E96630"/>
    <w:rsid w:val="00EB6832"/>
    <w:rsid w:val="00EC42EA"/>
    <w:rsid w:val="00ED4EB3"/>
    <w:rsid w:val="00ED7A2A"/>
    <w:rsid w:val="00EE32E6"/>
    <w:rsid w:val="00EE6D6E"/>
    <w:rsid w:val="00EF1D7F"/>
    <w:rsid w:val="00F01117"/>
    <w:rsid w:val="00F054AD"/>
    <w:rsid w:val="00F14001"/>
    <w:rsid w:val="00F14936"/>
    <w:rsid w:val="00F40E75"/>
    <w:rsid w:val="00F416AA"/>
    <w:rsid w:val="00F475EB"/>
    <w:rsid w:val="00F54674"/>
    <w:rsid w:val="00F6331D"/>
    <w:rsid w:val="00F660F2"/>
    <w:rsid w:val="00F7552A"/>
    <w:rsid w:val="00FA54B1"/>
    <w:rsid w:val="00FB7905"/>
    <w:rsid w:val="00FC68B7"/>
    <w:rsid w:val="00FD0F32"/>
    <w:rsid w:val="00FD6B2B"/>
    <w:rsid w:val="00FE4A81"/>
    <w:rsid w:val="00FE752E"/>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paragraph" w:styleId="CommentSubject">
    <w:name w:val="annotation subject"/>
    <w:basedOn w:val="CommentText"/>
    <w:next w:val="CommentText"/>
    <w:link w:val="CommentSubjectChar"/>
    <w:rsid w:val="00C148C5"/>
    <w:rPr>
      <w:b/>
      <w:bCs/>
    </w:rPr>
  </w:style>
  <w:style w:type="character" w:customStyle="1" w:styleId="CommentTextChar">
    <w:name w:val="Comment Text Char"/>
    <w:link w:val="CommentText"/>
    <w:semiHidden/>
    <w:rsid w:val="00C148C5"/>
    <w:rPr>
      <w:lang w:val="en-GB"/>
    </w:rPr>
  </w:style>
  <w:style w:type="character" w:customStyle="1" w:styleId="CommentSubjectChar">
    <w:name w:val="Comment Subject Char"/>
    <w:link w:val="CommentSubject"/>
    <w:rsid w:val="00C148C5"/>
    <w:rPr>
      <w:b/>
      <w:bCs/>
      <w:lang w:val="en-GB"/>
    </w:rPr>
  </w:style>
  <w:style w:type="paragraph" w:styleId="ListParagraph">
    <w:name w:val="List Paragraph"/>
    <w:basedOn w:val="Normal"/>
    <w:uiPriority w:val="34"/>
    <w:qFormat/>
    <w:rsid w:val="0093223F"/>
    <w:pPr>
      <w:ind w:left="720"/>
      <w:contextualSpacing/>
    </w:pPr>
  </w:style>
  <w:style w:type="character" w:customStyle="1" w:styleId="Heading9Char">
    <w:name w:val="Heading 9 Char"/>
    <w:link w:val="Heading9"/>
    <w:rsid w:val="0093223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paragraph" w:styleId="CommentSubject">
    <w:name w:val="annotation subject"/>
    <w:basedOn w:val="CommentText"/>
    <w:next w:val="CommentText"/>
    <w:link w:val="CommentSubjectChar"/>
    <w:rsid w:val="00C148C5"/>
    <w:rPr>
      <w:b/>
      <w:bCs/>
    </w:rPr>
  </w:style>
  <w:style w:type="character" w:customStyle="1" w:styleId="CommentTextChar">
    <w:name w:val="Comment Text Char"/>
    <w:link w:val="CommentText"/>
    <w:semiHidden/>
    <w:rsid w:val="00C148C5"/>
    <w:rPr>
      <w:lang w:val="en-GB"/>
    </w:rPr>
  </w:style>
  <w:style w:type="character" w:customStyle="1" w:styleId="CommentSubjectChar">
    <w:name w:val="Comment Subject Char"/>
    <w:link w:val="CommentSubject"/>
    <w:rsid w:val="00C148C5"/>
    <w:rPr>
      <w:b/>
      <w:bCs/>
      <w:lang w:val="en-GB"/>
    </w:rPr>
  </w:style>
  <w:style w:type="paragraph" w:styleId="ListParagraph">
    <w:name w:val="List Paragraph"/>
    <w:basedOn w:val="Normal"/>
    <w:uiPriority w:val="34"/>
    <w:qFormat/>
    <w:rsid w:val="0093223F"/>
    <w:pPr>
      <w:ind w:left="720"/>
      <w:contextualSpacing/>
    </w:pPr>
  </w:style>
  <w:style w:type="character" w:customStyle="1" w:styleId="Heading9Char">
    <w:name w:val="Heading 9 Char"/>
    <w:link w:val="Heading9"/>
    <w:rsid w:val="009322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885C-05B5-4AC0-9136-6D93348B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678</Words>
  <Characters>3619</Characters>
  <Application>Microsoft Office Word</Application>
  <DocSecurity>0</DocSecurity>
  <Lines>79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2015-09-08T07:16:00Z</cp:lastPrinted>
  <dcterms:created xsi:type="dcterms:W3CDTF">2015-09-07T05:35:00Z</dcterms:created>
  <dcterms:modified xsi:type="dcterms:W3CDTF">2015-09-08T07:16:00Z</dcterms:modified>
</cp:coreProperties>
</file>