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2" w:rsidRPr="00C27F98" w:rsidRDefault="00BD6BA2" w:rsidP="00BD6BA2">
      <w:pPr>
        <w:spacing w:line="240" w:lineRule="auto"/>
        <w:rPr>
          <w:b/>
          <w:sz w:val="2"/>
        </w:rPr>
        <w:sectPr w:rsidR="00BD6BA2" w:rsidRPr="00C27F98" w:rsidSect="00BD6BA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C577E2" w:rsidRDefault="00C577E2" w:rsidP="00C577E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E706E">
        <w:rPr>
          <w:lang w:val="fr-CH"/>
        </w:rPr>
        <w:lastRenderedPageBreak/>
        <w:t>Comité d</w:t>
      </w:r>
      <w:r>
        <w:rPr>
          <w:lang w:val="fr-CH"/>
        </w:rPr>
        <w:t>’</w:t>
      </w:r>
      <w:r w:rsidRPr="00FE706E">
        <w:rPr>
          <w:lang w:val="fr-CH"/>
        </w:rPr>
        <w:t xml:space="preserve">experts du transport des marchandises </w:t>
      </w:r>
      <w:r>
        <w:rPr>
          <w:lang w:val="fr-CH"/>
        </w:rPr>
        <w:br/>
      </w:r>
      <w:r w:rsidRPr="00FE706E">
        <w:rPr>
          <w:lang w:val="fr-CH"/>
        </w:rPr>
        <w:t>dangereuses</w:t>
      </w:r>
      <w:r w:rsidR="00B23901">
        <w:rPr>
          <w:lang w:val="fr-CH"/>
        </w:rPr>
        <w:t xml:space="preserve"> </w:t>
      </w:r>
      <w:r w:rsidRPr="00FE706E">
        <w:rPr>
          <w:lang w:val="fr-CH"/>
        </w:rPr>
        <w:t xml:space="preserve">et du Système général harmonisé </w:t>
      </w:r>
      <w:r>
        <w:rPr>
          <w:lang w:val="fr-CH"/>
        </w:rPr>
        <w:br/>
      </w:r>
      <w:r w:rsidRPr="00FE706E">
        <w:rPr>
          <w:lang w:val="fr-CH"/>
        </w:rPr>
        <w:t>de classification</w:t>
      </w:r>
      <w:r w:rsidR="00B23901">
        <w:rPr>
          <w:lang w:val="fr-CH"/>
        </w:rPr>
        <w:t xml:space="preserve"> </w:t>
      </w:r>
      <w:r w:rsidRPr="00FE706E">
        <w:rPr>
          <w:lang w:val="fr-CH"/>
        </w:rPr>
        <w:t>et d</w:t>
      </w:r>
      <w:r>
        <w:rPr>
          <w:lang w:val="fr-CH"/>
        </w:rPr>
        <w:t>’</w:t>
      </w:r>
      <w:r w:rsidRPr="00FE706E">
        <w:rPr>
          <w:lang w:val="fr-CH"/>
        </w:rPr>
        <w:t>étiquetage des produits chimiques</w:t>
      </w:r>
    </w:p>
    <w:p w:rsidR="00C577E2" w:rsidRPr="00C577E2" w:rsidRDefault="00C577E2" w:rsidP="00C577E2">
      <w:pPr>
        <w:spacing w:line="120" w:lineRule="exact"/>
        <w:rPr>
          <w:sz w:val="10"/>
          <w:lang w:val="fr-CH"/>
        </w:rPr>
      </w:pPr>
    </w:p>
    <w:p w:rsidR="00C577E2" w:rsidRDefault="00C577E2" w:rsidP="00C577E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E706E">
        <w:rPr>
          <w:lang w:val="fr-CH"/>
        </w:rPr>
        <w:t>Sous-Comité d</w:t>
      </w:r>
      <w:r>
        <w:rPr>
          <w:lang w:val="fr-CH"/>
        </w:rPr>
        <w:t>’</w:t>
      </w:r>
      <w:r w:rsidRPr="00FE706E">
        <w:rPr>
          <w:lang w:val="fr-CH"/>
        </w:rPr>
        <w:t xml:space="preserve">experts du transport </w:t>
      </w:r>
      <w:r>
        <w:rPr>
          <w:lang w:val="fr-CH"/>
        </w:rPr>
        <w:br/>
      </w:r>
      <w:r w:rsidRPr="00FE706E">
        <w:rPr>
          <w:lang w:val="fr-CH"/>
        </w:rPr>
        <w:t>des marchandises dangereuses</w:t>
      </w:r>
    </w:p>
    <w:p w:rsidR="00C577E2" w:rsidRPr="00C577E2" w:rsidRDefault="00C577E2" w:rsidP="00C577E2">
      <w:pPr>
        <w:spacing w:line="120" w:lineRule="exact"/>
        <w:rPr>
          <w:sz w:val="10"/>
          <w:lang w:val="fr-CH"/>
        </w:rPr>
      </w:pPr>
    </w:p>
    <w:tbl>
      <w:tblPr>
        <w:tblW w:w="10152" w:type="dxa"/>
        <w:tblLayout w:type="fixed"/>
        <w:tblLook w:val="0000" w:firstRow="0" w:lastRow="0" w:firstColumn="0" w:lastColumn="0" w:noHBand="0" w:noVBand="0"/>
      </w:tblPr>
      <w:tblGrid>
        <w:gridCol w:w="5472"/>
        <w:gridCol w:w="288"/>
        <w:gridCol w:w="4392"/>
      </w:tblGrid>
      <w:tr w:rsidR="00D44521" w:rsidTr="00D44521">
        <w:tc>
          <w:tcPr>
            <w:tcW w:w="5472" w:type="dxa"/>
            <w:shd w:val="clear" w:color="auto" w:fill="auto"/>
          </w:tcPr>
          <w:p w:rsidR="00D44521" w:rsidRPr="004A38FE" w:rsidRDefault="00D44521" w:rsidP="002D0253">
            <w:pPr>
              <w:spacing w:before="120" w:after="240"/>
              <w:rPr>
                <w:rFonts w:eastAsia="Times New Roman"/>
                <w:b/>
                <w:szCs w:val="20"/>
                <w:lang w:val="fr-CH" w:eastAsia="en-GB"/>
              </w:rPr>
            </w:pPr>
            <w:r w:rsidRPr="004A38FE">
              <w:rPr>
                <w:rFonts w:eastAsia="Times New Roman"/>
                <w:b/>
                <w:szCs w:val="20"/>
                <w:lang w:val="fr-CH" w:eastAsia="en-GB"/>
              </w:rPr>
              <w:t xml:space="preserve">Sous-Comité d’experts du transport </w:t>
            </w:r>
            <w:r w:rsidRPr="004A38FE">
              <w:rPr>
                <w:rFonts w:eastAsia="Times New Roman"/>
                <w:b/>
                <w:szCs w:val="20"/>
                <w:lang w:val="fr-CH" w:eastAsia="en-GB"/>
              </w:rPr>
              <w:br/>
              <w:t>des marchandises dangereuses</w:t>
            </w:r>
            <w:bookmarkStart w:id="1" w:name="insstart"/>
            <w:bookmarkEnd w:id="1"/>
          </w:p>
        </w:tc>
        <w:tc>
          <w:tcPr>
            <w:tcW w:w="288" w:type="dxa"/>
            <w:shd w:val="clear" w:color="auto" w:fill="auto"/>
          </w:tcPr>
          <w:p w:rsidR="00D44521" w:rsidRPr="004A38FE" w:rsidRDefault="00D44521" w:rsidP="002D0253">
            <w:pPr>
              <w:pStyle w:val="H23"/>
              <w:rPr>
                <w:szCs w:val="20"/>
              </w:rPr>
            </w:pPr>
          </w:p>
        </w:tc>
        <w:tc>
          <w:tcPr>
            <w:tcW w:w="4392" w:type="dxa"/>
          </w:tcPr>
          <w:p w:rsidR="00D44521" w:rsidRPr="004A38FE" w:rsidRDefault="00D44521" w:rsidP="004A38FE">
            <w:pPr>
              <w:spacing w:before="120"/>
              <w:rPr>
                <w:rFonts w:eastAsia="Times New Roman"/>
                <w:b/>
                <w:szCs w:val="20"/>
                <w:lang w:val="fr-CH" w:eastAsia="en-GB"/>
              </w:rPr>
            </w:pPr>
            <w:r w:rsidRPr="004A38FE">
              <w:rPr>
                <w:rFonts w:eastAsia="Times New Roman"/>
                <w:b/>
                <w:szCs w:val="20"/>
                <w:lang w:val="fr-CH" w:eastAsia="en-GB"/>
              </w:rPr>
              <w:t xml:space="preserve">Sous-Comité d’experts du Système général harmonisé de classification et d’étiquetage des produits chimiques </w:t>
            </w:r>
          </w:p>
        </w:tc>
      </w:tr>
      <w:tr w:rsidR="00D44521" w:rsidTr="00D44521">
        <w:tc>
          <w:tcPr>
            <w:tcW w:w="5472" w:type="dxa"/>
            <w:shd w:val="clear" w:color="auto" w:fill="auto"/>
          </w:tcPr>
          <w:p w:rsidR="00D44521" w:rsidRPr="004A38FE" w:rsidRDefault="00D44521" w:rsidP="002D0253">
            <w:pPr>
              <w:spacing w:after="120"/>
              <w:rPr>
                <w:rFonts w:eastAsia="Times New Roman"/>
                <w:b/>
                <w:szCs w:val="20"/>
                <w:lang w:val="en-GB" w:eastAsia="en-GB"/>
              </w:rPr>
            </w:pPr>
            <w:proofErr w:type="spellStart"/>
            <w:r w:rsidRPr="004A38FE">
              <w:rPr>
                <w:rFonts w:eastAsia="Times New Roman"/>
                <w:b/>
                <w:szCs w:val="20"/>
                <w:lang w:val="en-GB" w:eastAsia="en-GB"/>
              </w:rPr>
              <w:t>Quarante-huitième</w:t>
            </w:r>
            <w:proofErr w:type="spellEnd"/>
            <w:r w:rsidRPr="004A38FE">
              <w:rPr>
                <w:rFonts w:eastAsia="Times New Roman"/>
                <w:b/>
                <w:szCs w:val="20"/>
                <w:lang w:val="en-GB" w:eastAsia="en-GB"/>
              </w:rPr>
              <w:t xml:space="preserve"> session</w:t>
            </w:r>
          </w:p>
        </w:tc>
        <w:tc>
          <w:tcPr>
            <w:tcW w:w="288" w:type="dxa"/>
            <w:shd w:val="clear" w:color="auto" w:fill="auto"/>
          </w:tcPr>
          <w:p w:rsidR="00D44521" w:rsidRPr="004A38FE" w:rsidRDefault="00D44521" w:rsidP="002D0253">
            <w:pPr>
              <w:pStyle w:val="H23"/>
              <w:rPr>
                <w:szCs w:val="20"/>
              </w:rPr>
            </w:pPr>
          </w:p>
        </w:tc>
        <w:tc>
          <w:tcPr>
            <w:tcW w:w="4392" w:type="dxa"/>
          </w:tcPr>
          <w:p w:rsidR="00D44521" w:rsidRPr="004A38FE" w:rsidRDefault="00D44521" w:rsidP="002D0253">
            <w:pPr>
              <w:rPr>
                <w:rFonts w:eastAsia="Times New Roman"/>
                <w:b/>
                <w:szCs w:val="20"/>
                <w:lang w:val="en-GB" w:eastAsia="en-GB"/>
              </w:rPr>
            </w:pPr>
            <w:proofErr w:type="spellStart"/>
            <w:r w:rsidRPr="004A38FE">
              <w:rPr>
                <w:rFonts w:eastAsia="Times New Roman"/>
                <w:b/>
                <w:szCs w:val="20"/>
                <w:lang w:val="en-GB" w:eastAsia="en-GB"/>
              </w:rPr>
              <w:t>Trentième</w:t>
            </w:r>
            <w:proofErr w:type="spellEnd"/>
            <w:r w:rsidRPr="004A38FE">
              <w:rPr>
                <w:rFonts w:eastAsia="Times New Roman"/>
                <w:b/>
                <w:szCs w:val="20"/>
                <w:lang w:val="en-GB" w:eastAsia="en-GB"/>
              </w:rPr>
              <w:t xml:space="preserve"> session</w:t>
            </w:r>
          </w:p>
        </w:tc>
      </w:tr>
      <w:tr w:rsidR="00D44521" w:rsidTr="00D44521">
        <w:tc>
          <w:tcPr>
            <w:tcW w:w="5472" w:type="dxa"/>
            <w:shd w:val="clear" w:color="auto" w:fill="auto"/>
          </w:tcPr>
          <w:p w:rsidR="00D44521" w:rsidRPr="004A38FE" w:rsidRDefault="00D44521" w:rsidP="00C577E2">
            <w:pPr>
              <w:rPr>
                <w:rFonts w:eastAsia="Times New Roman"/>
                <w:szCs w:val="20"/>
                <w:lang w:val="fr-CH" w:eastAsia="en-GB"/>
              </w:rPr>
            </w:pPr>
            <w:r w:rsidRPr="004A38FE">
              <w:rPr>
                <w:rFonts w:eastAsia="Times New Roman"/>
                <w:szCs w:val="20"/>
                <w:lang w:val="fr-CH" w:eastAsia="en-GB"/>
              </w:rPr>
              <w:t>Genève, 30 novembre</w:t>
            </w:r>
            <w:r w:rsidR="00DA4C19">
              <w:rPr>
                <w:rFonts w:eastAsia="Times New Roman"/>
                <w:szCs w:val="20"/>
                <w:lang w:val="fr-CH" w:eastAsia="en-GB"/>
              </w:rPr>
              <w:t>-</w:t>
            </w:r>
            <w:r w:rsidRPr="004A38FE">
              <w:rPr>
                <w:rFonts w:eastAsia="Times New Roman"/>
                <w:szCs w:val="20"/>
                <w:lang w:val="fr-CH" w:eastAsia="en-GB"/>
              </w:rPr>
              <w:t>9 décembre 2015</w:t>
            </w:r>
          </w:p>
          <w:p w:rsidR="00D44521" w:rsidRPr="004A38FE" w:rsidRDefault="00D44521" w:rsidP="00C577E2">
            <w:pPr>
              <w:pStyle w:val="H23"/>
              <w:rPr>
                <w:szCs w:val="20"/>
              </w:rPr>
            </w:pPr>
            <w:r w:rsidRPr="004A38FE">
              <w:rPr>
                <w:rFonts w:eastAsia="Times New Roman"/>
                <w:szCs w:val="20"/>
                <w:lang w:val="fr-CH" w:eastAsia="en-GB"/>
              </w:rPr>
              <w:t>Point 10 b) de l’ordre du jour provisoire</w:t>
            </w:r>
            <w:r w:rsidRPr="004A38FE">
              <w:rPr>
                <w:rFonts w:eastAsia="Times New Roman"/>
                <w:szCs w:val="20"/>
                <w:lang w:val="fr-CH" w:eastAsia="en-GB"/>
              </w:rPr>
              <w:br/>
              <w:t xml:space="preserve">Questions relatives au Système général harmonisé </w:t>
            </w:r>
            <w:r w:rsidR="004A38FE">
              <w:rPr>
                <w:rFonts w:eastAsia="Times New Roman"/>
                <w:szCs w:val="20"/>
                <w:lang w:val="fr-CH" w:eastAsia="en-GB"/>
              </w:rPr>
              <w:br/>
            </w:r>
            <w:r w:rsidRPr="004A38FE">
              <w:rPr>
                <w:rFonts w:eastAsia="Times New Roman"/>
                <w:szCs w:val="20"/>
                <w:lang w:val="fr-CH" w:eastAsia="en-GB"/>
              </w:rPr>
              <w:t>de classification et d</w:t>
            </w:r>
            <w:r w:rsidRPr="004A38FE">
              <w:rPr>
                <w:rFonts w:eastAsia="Times New Roman"/>
                <w:b w:val="0"/>
                <w:szCs w:val="20"/>
                <w:lang w:val="fr-CH" w:eastAsia="en-GB"/>
              </w:rPr>
              <w:t>’</w:t>
            </w:r>
            <w:r w:rsidRPr="004A38FE">
              <w:rPr>
                <w:rFonts w:eastAsia="Times New Roman"/>
                <w:szCs w:val="20"/>
                <w:lang w:val="fr-CH" w:eastAsia="en-GB"/>
              </w:rPr>
              <w:t xml:space="preserve">étiquetage des produits chimiques : épreuves et critères pour les matières liquides </w:t>
            </w:r>
            <w:r w:rsidRPr="004A38FE">
              <w:rPr>
                <w:rFonts w:eastAsia="Times New Roman"/>
                <w:szCs w:val="20"/>
                <w:lang w:val="fr-CH" w:eastAsia="en-GB"/>
              </w:rPr>
              <w:br/>
              <w:t>et solides comburantes</w:t>
            </w:r>
          </w:p>
        </w:tc>
        <w:tc>
          <w:tcPr>
            <w:tcW w:w="288" w:type="dxa"/>
            <w:shd w:val="clear" w:color="auto" w:fill="auto"/>
          </w:tcPr>
          <w:p w:rsidR="00D44521" w:rsidRPr="004A38FE" w:rsidRDefault="00D44521" w:rsidP="002D0253">
            <w:pPr>
              <w:pStyle w:val="H23"/>
              <w:rPr>
                <w:szCs w:val="20"/>
              </w:rPr>
            </w:pPr>
          </w:p>
        </w:tc>
        <w:tc>
          <w:tcPr>
            <w:tcW w:w="4392" w:type="dxa"/>
          </w:tcPr>
          <w:p w:rsidR="00D44521" w:rsidRPr="004A38FE" w:rsidRDefault="00D44521" w:rsidP="002D0253">
            <w:pPr>
              <w:rPr>
                <w:rFonts w:eastAsia="Times New Roman"/>
                <w:szCs w:val="20"/>
                <w:lang w:val="fr-CH" w:eastAsia="en-GB"/>
              </w:rPr>
            </w:pPr>
            <w:r w:rsidRPr="004A38FE">
              <w:rPr>
                <w:rFonts w:eastAsia="Times New Roman"/>
                <w:szCs w:val="20"/>
                <w:lang w:val="fr-CH" w:eastAsia="en-GB"/>
              </w:rPr>
              <w:t>Genève, 9</w:t>
            </w:r>
            <w:r w:rsidR="00DA4C19">
              <w:rPr>
                <w:rFonts w:eastAsia="Times New Roman"/>
                <w:szCs w:val="20"/>
                <w:lang w:val="fr-CH" w:eastAsia="en-GB"/>
              </w:rPr>
              <w:t>-</w:t>
            </w:r>
            <w:r w:rsidRPr="004A38FE">
              <w:rPr>
                <w:rFonts w:eastAsia="Times New Roman"/>
                <w:szCs w:val="20"/>
                <w:lang w:val="fr-CH" w:eastAsia="en-GB"/>
              </w:rPr>
              <w:t>11 décembre 2015</w:t>
            </w:r>
          </w:p>
          <w:p w:rsidR="004A38FE" w:rsidRDefault="00D44521" w:rsidP="00D44521">
            <w:pPr>
              <w:rPr>
                <w:rFonts w:eastAsia="Times New Roman"/>
                <w:szCs w:val="20"/>
                <w:lang w:val="fr-CH" w:eastAsia="en-GB"/>
              </w:rPr>
            </w:pPr>
            <w:r w:rsidRPr="004A38FE">
              <w:rPr>
                <w:rFonts w:eastAsia="Times New Roman"/>
                <w:szCs w:val="20"/>
                <w:lang w:val="fr-CH" w:eastAsia="en-GB"/>
              </w:rPr>
              <w:t xml:space="preserve">Point 2 de l’ordre du jour provisoire </w:t>
            </w:r>
          </w:p>
          <w:p w:rsidR="00D44521" w:rsidRPr="004A38FE" w:rsidRDefault="00D44521" w:rsidP="00D44521">
            <w:pPr>
              <w:rPr>
                <w:rFonts w:eastAsia="Times New Roman"/>
                <w:b/>
                <w:szCs w:val="20"/>
                <w:lang w:val="fr-CH" w:eastAsia="en-GB"/>
              </w:rPr>
            </w:pPr>
            <w:r w:rsidRPr="004A38FE">
              <w:rPr>
                <w:rFonts w:eastAsia="Times New Roman"/>
                <w:b/>
                <w:szCs w:val="20"/>
                <w:lang w:val="fr-CH" w:eastAsia="en-GB"/>
              </w:rPr>
              <w:t xml:space="preserve">Travaux à mener conjointement avec </w:t>
            </w:r>
            <w:r w:rsidRPr="004A38FE">
              <w:rPr>
                <w:rFonts w:eastAsia="Times New Roman"/>
                <w:b/>
                <w:szCs w:val="20"/>
                <w:lang w:val="fr-CH" w:eastAsia="en-GB"/>
              </w:rPr>
              <w:br/>
              <w:t xml:space="preserve">le Sous-Comité d’experts du transport </w:t>
            </w:r>
            <w:r w:rsidR="004A38FE">
              <w:rPr>
                <w:rFonts w:eastAsia="Times New Roman"/>
                <w:b/>
                <w:szCs w:val="20"/>
                <w:lang w:val="fr-CH" w:eastAsia="en-GB"/>
              </w:rPr>
              <w:br/>
            </w:r>
            <w:r w:rsidRPr="004A38FE">
              <w:rPr>
                <w:rFonts w:eastAsia="Times New Roman"/>
                <w:b/>
                <w:szCs w:val="20"/>
                <w:lang w:val="fr-CH" w:eastAsia="en-GB"/>
              </w:rPr>
              <w:t xml:space="preserve">des marchandises dangereuses </w:t>
            </w:r>
            <w:r w:rsidRPr="004A38FE">
              <w:rPr>
                <w:rFonts w:eastAsia="Times New Roman"/>
                <w:b/>
                <w:szCs w:val="20"/>
                <w:lang w:val="fr-CH" w:eastAsia="en-GB"/>
              </w:rPr>
              <w:br/>
              <w:t>(Sous-Comité TMD).</w:t>
            </w:r>
          </w:p>
        </w:tc>
      </w:tr>
    </w:tbl>
    <w:p w:rsidR="00D44521" w:rsidRPr="00D44521" w:rsidRDefault="00D44521" w:rsidP="00D44521">
      <w:pPr>
        <w:pStyle w:val="SingleTxt"/>
        <w:spacing w:after="0" w:line="120" w:lineRule="exact"/>
        <w:rPr>
          <w:sz w:val="10"/>
          <w:lang w:val="fr-CH"/>
        </w:rPr>
      </w:pPr>
    </w:p>
    <w:p w:rsidR="00D44521" w:rsidRPr="00D44521" w:rsidRDefault="00D44521" w:rsidP="00D44521">
      <w:pPr>
        <w:pStyle w:val="SingleTxt"/>
        <w:spacing w:after="0" w:line="120" w:lineRule="exact"/>
        <w:rPr>
          <w:sz w:val="10"/>
          <w:lang w:val="fr-CH"/>
        </w:rPr>
      </w:pPr>
    </w:p>
    <w:p w:rsidR="00201EDB" w:rsidRDefault="00D44521" w:rsidP="00D445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201EDB" w:rsidRPr="007E6AA5">
        <w:rPr>
          <w:lang w:val="fr-CH"/>
        </w:rPr>
        <w:t>Programme d</w:t>
      </w:r>
      <w:r w:rsidR="00201EDB">
        <w:rPr>
          <w:lang w:val="fr-CH"/>
        </w:rPr>
        <w:t>’</w:t>
      </w:r>
      <w:r w:rsidR="00201EDB" w:rsidRPr="007E6AA5">
        <w:rPr>
          <w:lang w:val="fr-CH"/>
        </w:rPr>
        <w:t xml:space="preserve">épreuves </w:t>
      </w:r>
      <w:proofErr w:type="spellStart"/>
      <w:r w:rsidR="00201EDB" w:rsidRPr="007E6AA5">
        <w:rPr>
          <w:lang w:val="fr-CH"/>
        </w:rPr>
        <w:t>interlaboratoires</w:t>
      </w:r>
      <w:proofErr w:type="spellEnd"/>
      <w:r w:rsidR="00201EDB" w:rsidRPr="007E6AA5">
        <w:rPr>
          <w:lang w:val="fr-CH"/>
        </w:rPr>
        <w:t xml:space="preserve"> − épreuve O.2</w:t>
      </w:r>
      <w:r w:rsidR="00201EDB">
        <w:rPr>
          <w:lang w:val="fr-CH"/>
        </w:rPr>
        <w:t> </w:t>
      </w:r>
      <w:r w:rsidR="00201EDB" w:rsidRPr="007E6AA5">
        <w:rPr>
          <w:lang w:val="fr-CH"/>
        </w:rPr>
        <w:t xml:space="preserve">: </w:t>
      </w:r>
      <w:r w:rsidR="00201EDB">
        <w:rPr>
          <w:lang w:val="fr-CH"/>
        </w:rPr>
        <w:br/>
      </w:r>
      <w:r w:rsidR="00201EDB" w:rsidRPr="007E6AA5">
        <w:rPr>
          <w:lang w:val="fr-CH"/>
        </w:rPr>
        <w:t xml:space="preserve">épreuve pour les matières liquides comburantes </w:t>
      </w:r>
      <w:r w:rsidR="00201EDB">
        <w:rPr>
          <w:lang w:val="fr-CH"/>
        </w:rPr>
        <w:br/>
      </w:r>
      <w:r w:rsidR="00201EDB" w:rsidRPr="007E6AA5">
        <w:rPr>
          <w:lang w:val="fr-CH"/>
        </w:rPr>
        <w:t>et épreuve O.3</w:t>
      </w:r>
      <w:r w:rsidR="00201EDB">
        <w:rPr>
          <w:lang w:val="fr-CH"/>
        </w:rPr>
        <w:t> </w:t>
      </w:r>
      <w:r w:rsidR="00201EDB" w:rsidRPr="007E6AA5">
        <w:rPr>
          <w:lang w:val="fr-CH"/>
        </w:rPr>
        <w:t xml:space="preserve">: épreuve pour les matières solide </w:t>
      </w:r>
      <w:r w:rsidR="00201EDB">
        <w:rPr>
          <w:lang w:val="fr-CH"/>
        </w:rPr>
        <w:br/>
      </w:r>
      <w:r w:rsidR="00201EDB" w:rsidRPr="007E6AA5">
        <w:rPr>
          <w:lang w:val="fr-CH"/>
        </w:rPr>
        <w:t>comburantes</w:t>
      </w:r>
      <w:r w:rsidR="00201EDB">
        <w:rPr>
          <w:lang w:val="fr-CH"/>
        </w:rPr>
        <w:t xml:space="preserve"> </w:t>
      </w:r>
    </w:p>
    <w:p w:rsidR="00201EDB" w:rsidRPr="00201EDB" w:rsidRDefault="00201EDB" w:rsidP="00201EDB">
      <w:pPr>
        <w:pStyle w:val="SingleTxt"/>
        <w:spacing w:after="0" w:line="120" w:lineRule="exact"/>
        <w:rPr>
          <w:sz w:val="10"/>
          <w:lang w:val="fr-CH"/>
        </w:rPr>
      </w:pPr>
    </w:p>
    <w:p w:rsidR="00201EDB" w:rsidRPr="00C27F98" w:rsidRDefault="00201EDB" w:rsidP="00C27F98">
      <w:pPr>
        <w:pStyle w:val="SingleTxt"/>
        <w:spacing w:after="0" w:line="120" w:lineRule="exact"/>
        <w:rPr>
          <w:sz w:val="10"/>
          <w:lang w:val="fr-CH"/>
        </w:rPr>
      </w:pPr>
    </w:p>
    <w:p w:rsidR="00C27F98" w:rsidRPr="00201EDB" w:rsidRDefault="00C27F98" w:rsidP="00201EDB">
      <w:pPr>
        <w:pStyle w:val="SingleTxt"/>
        <w:spacing w:after="0" w:line="120" w:lineRule="exact"/>
        <w:rPr>
          <w:sz w:val="10"/>
          <w:lang w:val="fr-CH"/>
        </w:rPr>
      </w:pPr>
    </w:p>
    <w:p w:rsidR="00201EDB" w:rsidRDefault="00201EDB" w:rsidP="000E168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A1207">
        <w:rPr>
          <w:lang w:val="fr-CH"/>
        </w:rPr>
        <w:tab/>
      </w:r>
      <w:r w:rsidRPr="00CA1207">
        <w:rPr>
          <w:lang w:val="fr-CH"/>
        </w:rPr>
        <w:tab/>
      </w:r>
      <w:r>
        <w:rPr>
          <w:lang w:val="fr-CH"/>
        </w:rPr>
        <w:t>Deuxième rapport d’activité</w:t>
      </w:r>
    </w:p>
    <w:p w:rsidR="00C27F98" w:rsidRPr="00C27F98" w:rsidRDefault="00C27F98" w:rsidP="00C27F98">
      <w:pPr>
        <w:pStyle w:val="SingleTxt"/>
        <w:spacing w:after="0" w:line="120" w:lineRule="exact"/>
        <w:rPr>
          <w:sz w:val="10"/>
          <w:lang w:val="fr-CH"/>
        </w:rPr>
      </w:pPr>
    </w:p>
    <w:p w:rsidR="00C27F98" w:rsidRPr="00C27F98" w:rsidRDefault="00C27F98" w:rsidP="00C27F98">
      <w:pPr>
        <w:pStyle w:val="SingleTxt"/>
        <w:spacing w:after="0" w:line="120" w:lineRule="exact"/>
        <w:rPr>
          <w:sz w:val="10"/>
          <w:lang w:val="fr-CH"/>
        </w:rPr>
      </w:pPr>
    </w:p>
    <w:p w:rsidR="00201EDB" w:rsidRDefault="00201EDB" w:rsidP="000E16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3F33">
        <w:rPr>
          <w:lang w:val="fr-CH"/>
        </w:rPr>
        <w:tab/>
      </w:r>
      <w:r w:rsidRPr="00B93F33">
        <w:rPr>
          <w:lang w:val="fr-CH"/>
        </w:rPr>
        <w:tab/>
      </w:r>
      <w:r w:rsidRPr="007E6AA5">
        <w:rPr>
          <w:lang w:val="fr-CH"/>
        </w:rPr>
        <w:t>Communication de l</w:t>
      </w:r>
      <w:r>
        <w:rPr>
          <w:lang w:val="fr-CH"/>
        </w:rPr>
        <w:t>’</w:t>
      </w:r>
      <w:r w:rsidRPr="007E6AA5">
        <w:rPr>
          <w:lang w:val="fr-CH"/>
        </w:rPr>
        <w:t xml:space="preserve">expert de la </w:t>
      </w:r>
      <w:r w:rsidRPr="00CA1207">
        <w:rPr>
          <w:lang w:val="fr-CH"/>
        </w:rPr>
        <w:t>France</w:t>
      </w:r>
      <w:r w:rsidR="00FE4373" w:rsidRPr="000E1689">
        <w:rPr>
          <w:rStyle w:val="FootnoteReference"/>
          <w:b w:val="0"/>
          <w:sz w:val="20"/>
          <w:szCs w:val="20"/>
          <w:lang w:val="fr-CH"/>
        </w:rPr>
        <w:footnoteReference w:id="1"/>
      </w:r>
    </w:p>
    <w:p w:rsidR="00B93F33" w:rsidRPr="000E1689" w:rsidRDefault="00B93F33" w:rsidP="000E1689">
      <w:pPr>
        <w:pStyle w:val="SingleTxt"/>
        <w:spacing w:after="0" w:line="120" w:lineRule="exact"/>
        <w:rPr>
          <w:sz w:val="10"/>
          <w:lang w:val="fr-CH"/>
        </w:rPr>
      </w:pPr>
    </w:p>
    <w:p w:rsidR="000E1689" w:rsidRPr="00C27F98" w:rsidRDefault="000E1689" w:rsidP="00C27F98">
      <w:pPr>
        <w:pStyle w:val="SingleTxt"/>
        <w:spacing w:after="0" w:line="120" w:lineRule="exact"/>
        <w:rPr>
          <w:sz w:val="10"/>
          <w:lang w:val="fr-CH"/>
        </w:rPr>
      </w:pPr>
    </w:p>
    <w:p w:rsidR="00201EDB" w:rsidRDefault="00201EDB" w:rsidP="00C27F9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CA1207">
        <w:rPr>
          <w:lang w:val="fr-CH"/>
        </w:rPr>
        <w:tab/>
      </w:r>
      <w:r w:rsidRPr="00CA1207">
        <w:rPr>
          <w:lang w:val="fr-CH"/>
        </w:rPr>
        <w:tab/>
      </w:r>
      <w:r w:rsidRPr="00CA1207">
        <w:rPr>
          <w:lang w:val="en-GB"/>
        </w:rPr>
        <w:t>Introduction</w:t>
      </w:r>
    </w:p>
    <w:p w:rsidR="00C27F98" w:rsidRPr="00C27F98" w:rsidRDefault="00C27F98" w:rsidP="00C27F98">
      <w:pPr>
        <w:pStyle w:val="SingleTxt"/>
        <w:spacing w:after="0" w:line="120" w:lineRule="exact"/>
        <w:rPr>
          <w:sz w:val="10"/>
          <w:lang w:val="en-GB"/>
        </w:rPr>
      </w:pPr>
    </w:p>
    <w:p w:rsidR="00C27F98" w:rsidRPr="00C27F98" w:rsidRDefault="00C27F98" w:rsidP="00C27F98">
      <w:pPr>
        <w:pStyle w:val="SingleTxt"/>
        <w:spacing w:after="0" w:line="120" w:lineRule="exact"/>
        <w:rPr>
          <w:sz w:val="10"/>
          <w:lang w:val="en-GB"/>
        </w:rPr>
      </w:pPr>
    </w:p>
    <w:p w:rsidR="00201EDB" w:rsidRPr="00174FE4" w:rsidRDefault="00201EDB" w:rsidP="00174FE4">
      <w:pPr>
        <w:pStyle w:val="SingleTxt"/>
        <w:numPr>
          <w:ilvl w:val="0"/>
          <w:numId w:val="8"/>
        </w:numPr>
        <w:tabs>
          <w:tab w:val="clear" w:pos="475"/>
          <w:tab w:val="num" w:pos="1742"/>
        </w:tabs>
        <w:ind w:left="1267"/>
        <w:rPr>
          <w:lang w:val="fr-CH"/>
        </w:rPr>
      </w:pPr>
      <w:r w:rsidRPr="0039416B">
        <w:rPr>
          <w:lang w:val="fr-CH"/>
        </w:rPr>
        <w:t xml:space="preserve">Lors de sa septième session, le Comité a approuvé le programme de travail de ses deux Sous-Comités pour la période biennale 2015-2016 (voir les documents ST/SG/AC.10/42, </w:t>
      </w:r>
      <w:r w:rsidRPr="00174FE4">
        <w:rPr>
          <w:lang w:val="fr-CH"/>
        </w:rPr>
        <w:t>par</w:t>
      </w:r>
      <w:r w:rsidR="00C27F98" w:rsidRPr="00174FE4">
        <w:rPr>
          <w:lang w:val="fr-CH"/>
        </w:rPr>
        <w:t>. </w:t>
      </w:r>
      <w:r w:rsidRPr="00174FE4">
        <w:rPr>
          <w:lang w:val="fr-CH"/>
        </w:rPr>
        <w:t>15; ST/SG/AC.10/C.3/92, par.</w:t>
      </w:r>
      <w:r w:rsidR="00C27F98" w:rsidRPr="00174FE4">
        <w:rPr>
          <w:lang w:val="fr-CH"/>
        </w:rPr>
        <w:t> </w:t>
      </w:r>
      <w:r w:rsidRPr="00174FE4">
        <w:rPr>
          <w:lang w:val="fr-CH"/>
        </w:rPr>
        <w:t>95</w:t>
      </w:r>
      <w:r w:rsidR="009D6D6A">
        <w:rPr>
          <w:lang w:val="fr-CH"/>
        </w:rPr>
        <w:t>;</w:t>
      </w:r>
      <w:r w:rsidRPr="00174FE4">
        <w:rPr>
          <w:lang w:val="fr-CH"/>
        </w:rPr>
        <w:t xml:space="preserve"> et ST/SG/AC.10/C.4/56, annexe III). Ce programme de travail inclut notamment des épreuves et critères relatifs aux matières liquides et solides comburantes.</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lastRenderedPageBreak/>
        <w:t xml:space="preserve">Le calendrier du programme d’épreuves </w:t>
      </w:r>
      <w:proofErr w:type="spellStart"/>
      <w:r w:rsidRPr="00B62886">
        <w:rPr>
          <w:szCs w:val="20"/>
          <w:lang w:val="fr-CH"/>
        </w:rPr>
        <w:t>interlaboratoires</w:t>
      </w:r>
      <w:proofErr w:type="spellEnd"/>
      <w:r w:rsidRPr="00B62886">
        <w:rPr>
          <w:szCs w:val="20"/>
          <w:lang w:val="fr-CH"/>
        </w:rPr>
        <w:t xml:space="preserve"> a été mis en œuvre en ce qui concerne les épreuves O.2 et O.3, comme l’a indiqué l’expert de la France dans le document ST/SG/AC.10/C.3/2014/95-ST/SG/AC.10/C.4/2014/19</w:t>
      </w:r>
      <w:r w:rsidR="00C27F98" w:rsidRPr="00B62886">
        <w:rPr>
          <w:szCs w:val="20"/>
          <w:lang w:val="fr-CH"/>
        </w:rPr>
        <w:t>.</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L’étape 1 de ce programme</w:t>
      </w:r>
      <w:r w:rsidR="00C27F98" w:rsidRPr="00B62886">
        <w:rPr>
          <w:szCs w:val="20"/>
          <w:lang w:val="fr-CH"/>
        </w:rPr>
        <w:t> </w:t>
      </w:r>
      <w:r w:rsidRPr="00B62886">
        <w:rPr>
          <w:szCs w:val="20"/>
          <w:lang w:val="fr-CH"/>
        </w:rPr>
        <w:t xml:space="preserve">: </w:t>
      </w:r>
      <w:r w:rsidR="00C27F98" w:rsidRPr="00B62886">
        <w:rPr>
          <w:szCs w:val="20"/>
          <w:lang w:val="fr-CH"/>
        </w:rPr>
        <w:t>« </w:t>
      </w:r>
      <w:r w:rsidRPr="00B62886">
        <w:rPr>
          <w:szCs w:val="20"/>
          <w:lang w:val="fr-CH"/>
        </w:rPr>
        <w:t>Épreuve O.2</w:t>
      </w:r>
      <w:r w:rsidR="00C27F98" w:rsidRPr="00B62886">
        <w:rPr>
          <w:szCs w:val="20"/>
          <w:lang w:val="fr-CH"/>
        </w:rPr>
        <w:t> </w:t>
      </w:r>
      <w:r w:rsidRPr="00B62886">
        <w:rPr>
          <w:szCs w:val="20"/>
          <w:lang w:val="fr-CH"/>
        </w:rPr>
        <w:t>: épreuve pour les matières liquides comburantes » a été achevée et l’étape 2</w:t>
      </w:r>
      <w:r w:rsidR="00C27F98" w:rsidRPr="00B62886">
        <w:rPr>
          <w:szCs w:val="20"/>
          <w:lang w:val="fr-CH"/>
        </w:rPr>
        <w:t> </w:t>
      </w:r>
      <w:r w:rsidRPr="00B62886">
        <w:rPr>
          <w:szCs w:val="20"/>
          <w:lang w:val="fr-CH"/>
        </w:rPr>
        <w:t xml:space="preserve">: </w:t>
      </w:r>
      <w:r w:rsidR="00C27F98" w:rsidRPr="00B62886">
        <w:rPr>
          <w:szCs w:val="20"/>
          <w:lang w:val="fr-CH"/>
        </w:rPr>
        <w:t>« </w:t>
      </w:r>
      <w:r w:rsidRPr="00B62886">
        <w:rPr>
          <w:szCs w:val="20"/>
          <w:lang w:val="fr-CH"/>
        </w:rPr>
        <w:t>Épreuve O.3 (Épreuve pour les matières solides c</w:t>
      </w:r>
      <w:r w:rsidRPr="00B62886">
        <w:rPr>
          <w:b/>
          <w:szCs w:val="20"/>
          <w:lang w:val="fr-CH"/>
        </w:rPr>
        <w:t>o</w:t>
      </w:r>
      <w:r w:rsidRPr="00B62886">
        <w:rPr>
          <w:szCs w:val="20"/>
          <w:lang w:val="fr-CH"/>
        </w:rPr>
        <w:t>mburantes)</w:t>
      </w:r>
      <w:r w:rsidR="00C27F98" w:rsidRPr="00B62886">
        <w:rPr>
          <w:szCs w:val="20"/>
          <w:lang w:val="fr-CH"/>
        </w:rPr>
        <w:t> »</w:t>
      </w:r>
      <w:r w:rsidRPr="00B62886">
        <w:rPr>
          <w:szCs w:val="20"/>
          <w:lang w:val="fr-CH"/>
        </w:rPr>
        <w:t xml:space="preserve"> a été lancée.</w:t>
      </w:r>
    </w:p>
    <w:p w:rsidR="00C27F98" w:rsidRPr="00C27F98" w:rsidRDefault="00C27F98" w:rsidP="00C27F98">
      <w:pPr>
        <w:pStyle w:val="SingleTxt"/>
        <w:spacing w:after="0" w:line="120" w:lineRule="exact"/>
        <w:rPr>
          <w:sz w:val="10"/>
          <w:lang w:val="fr-CH"/>
        </w:rPr>
      </w:pPr>
    </w:p>
    <w:p w:rsidR="00C27F98" w:rsidRPr="00C27F98" w:rsidRDefault="00C27F98" w:rsidP="00C27F98">
      <w:pPr>
        <w:pStyle w:val="SingleTxt"/>
        <w:spacing w:after="0" w:line="120" w:lineRule="exact"/>
        <w:rPr>
          <w:sz w:val="10"/>
          <w:lang w:val="fr-CH"/>
        </w:rPr>
      </w:pPr>
    </w:p>
    <w:p w:rsidR="00201EDB" w:rsidRDefault="00201EDB" w:rsidP="00C27F9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CA1207">
        <w:rPr>
          <w:lang w:val="fr-CH"/>
        </w:rPr>
        <w:tab/>
      </w:r>
      <w:r w:rsidR="00C27F98">
        <w:rPr>
          <w:lang w:val="fr-CH"/>
        </w:rPr>
        <w:tab/>
      </w:r>
      <w:r w:rsidRPr="0039416B">
        <w:rPr>
          <w:lang w:val="fr-CH"/>
        </w:rPr>
        <w:t>Deuxième rapport d</w:t>
      </w:r>
      <w:r>
        <w:rPr>
          <w:lang w:val="fr-CH"/>
        </w:rPr>
        <w:t>’</w:t>
      </w:r>
      <w:r w:rsidRPr="0039416B">
        <w:rPr>
          <w:lang w:val="fr-CH"/>
        </w:rPr>
        <w:t>activité</w:t>
      </w:r>
      <w:r w:rsidRPr="00CA1207">
        <w:rPr>
          <w:lang w:val="fr-CH"/>
        </w:rPr>
        <w:t xml:space="preserve"> </w:t>
      </w:r>
    </w:p>
    <w:p w:rsidR="00C27F98" w:rsidRPr="00C27F98" w:rsidRDefault="00C27F98" w:rsidP="00C27F98">
      <w:pPr>
        <w:pStyle w:val="SingleTxt"/>
        <w:spacing w:after="0" w:line="120" w:lineRule="exact"/>
        <w:rPr>
          <w:sz w:val="10"/>
          <w:lang w:val="fr-CH"/>
        </w:rPr>
      </w:pPr>
    </w:p>
    <w:p w:rsidR="00C27F98" w:rsidRPr="00C27F98" w:rsidRDefault="00C27F98" w:rsidP="00C27F98">
      <w:pPr>
        <w:pStyle w:val="SingleTxt"/>
        <w:spacing w:after="0" w:line="120" w:lineRule="exact"/>
        <w:rPr>
          <w:sz w:val="10"/>
          <w:lang w:val="fr-CH"/>
        </w:rPr>
      </w:pPr>
    </w:p>
    <w:p w:rsidR="00201EDB" w:rsidRDefault="00201EDB" w:rsidP="00C27F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1207">
        <w:rPr>
          <w:lang w:val="fr-CH"/>
        </w:rPr>
        <w:tab/>
      </w:r>
      <w:r w:rsidRPr="00CA1207">
        <w:rPr>
          <w:lang w:val="fr-CH"/>
        </w:rPr>
        <w:tab/>
      </w:r>
      <w:r>
        <w:rPr>
          <w:lang w:val="fr-CH"/>
        </w:rPr>
        <w:t>É</w:t>
      </w:r>
      <w:r w:rsidRPr="00B776FA">
        <w:rPr>
          <w:lang w:val="fr-CH"/>
        </w:rPr>
        <w:t>tape 1</w:t>
      </w:r>
      <w:r w:rsidR="00C27F98">
        <w:rPr>
          <w:lang w:val="fr-CH"/>
        </w:rPr>
        <w:t> </w:t>
      </w:r>
      <w:r w:rsidRPr="00B776FA">
        <w:rPr>
          <w:lang w:val="fr-CH"/>
        </w:rPr>
        <w:t xml:space="preserve">: </w:t>
      </w:r>
      <w:r w:rsidR="00C27F98">
        <w:rPr>
          <w:lang w:val="fr-CH"/>
        </w:rPr>
        <w:t>« </w:t>
      </w:r>
      <w:r w:rsidRPr="00B776FA">
        <w:rPr>
          <w:lang w:val="fr-CH"/>
        </w:rPr>
        <w:t>Épreuve O.2</w:t>
      </w:r>
      <w:r w:rsidR="00B23901">
        <w:rPr>
          <w:lang w:val="fr-CH"/>
        </w:rPr>
        <w:t> </w:t>
      </w:r>
      <w:r w:rsidRPr="00B776FA">
        <w:rPr>
          <w:lang w:val="fr-CH"/>
        </w:rPr>
        <w:t xml:space="preserve">: épreuve pour les matières liquides </w:t>
      </w:r>
      <w:r w:rsidR="00C27F98">
        <w:rPr>
          <w:lang w:val="fr-CH"/>
        </w:rPr>
        <w:br/>
      </w:r>
      <w:r w:rsidRPr="00B776FA">
        <w:rPr>
          <w:lang w:val="fr-CH"/>
        </w:rPr>
        <w:t>comburantes</w:t>
      </w:r>
      <w:r>
        <w:rPr>
          <w:lang w:val="fr-CH"/>
        </w:rPr>
        <w:t> »</w:t>
      </w:r>
    </w:p>
    <w:p w:rsidR="00C27F98" w:rsidRPr="00C27F98" w:rsidRDefault="00C27F98" w:rsidP="00C27F98">
      <w:pPr>
        <w:pStyle w:val="SingleTxt"/>
        <w:spacing w:after="0" w:line="120" w:lineRule="exact"/>
        <w:rPr>
          <w:sz w:val="10"/>
          <w:lang w:val="fr-CH"/>
        </w:rPr>
      </w:pPr>
    </w:p>
    <w:p w:rsidR="00C27F98" w:rsidRPr="00C27F98" w:rsidRDefault="00C27F98" w:rsidP="00C27F98">
      <w:pPr>
        <w:pStyle w:val="SingleTxt"/>
        <w:spacing w:after="0" w:line="120" w:lineRule="exact"/>
        <w:rPr>
          <w:sz w:val="10"/>
          <w:lang w:val="fr-CH"/>
        </w:rPr>
      </w:pPr>
    </w:p>
    <w:p w:rsidR="00201EDB" w:rsidRPr="00B62886" w:rsidRDefault="00C27F98" w:rsidP="0022434A">
      <w:pPr>
        <w:pStyle w:val="SingleTxt"/>
        <w:numPr>
          <w:ilvl w:val="0"/>
          <w:numId w:val="8"/>
        </w:numPr>
        <w:tabs>
          <w:tab w:val="clear" w:pos="475"/>
          <w:tab w:val="num" w:pos="1742"/>
        </w:tabs>
        <w:ind w:left="1267"/>
        <w:rPr>
          <w:szCs w:val="20"/>
          <w:lang w:val="fr-CH"/>
        </w:rPr>
      </w:pPr>
      <w:r w:rsidRPr="00B62886">
        <w:rPr>
          <w:szCs w:val="20"/>
          <w:lang w:val="fr-CH"/>
        </w:rPr>
        <w:t>À</w:t>
      </w:r>
      <w:r w:rsidR="00201EDB" w:rsidRPr="00B62886">
        <w:rPr>
          <w:szCs w:val="20"/>
          <w:lang w:val="fr-CH"/>
        </w:rPr>
        <w:t xml:space="preserve"> l’invitation de l’INERIS (Institut national français de l’environnement industriel et des risques), 11 laboratoires de sept pays ont confirmé en septembre 2014 leur volonté de participer à ce programme.</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En tant que laboratoire principal, l’INERIS a choisi trois types de cellulose susceptibles d’être utilisés en tant que cellulose de substitution dans l’épreuve O.2 et les a envoyés en même temps que le programme </w:t>
      </w:r>
      <w:proofErr w:type="spellStart"/>
      <w:r w:rsidRPr="00B62886">
        <w:rPr>
          <w:szCs w:val="20"/>
          <w:lang w:val="fr-CH"/>
        </w:rPr>
        <w:t>interlaboratoires</w:t>
      </w:r>
      <w:proofErr w:type="spellEnd"/>
      <w:r w:rsidRPr="00B62886">
        <w:rPr>
          <w:szCs w:val="20"/>
          <w:lang w:val="fr-CH"/>
        </w:rPr>
        <w:t xml:space="preserve"> final approuvé pour l’épreuve O.2 (étape 1) en février 2015. Les noms et qualités des matières de référence et des échantillons d’épreuve des liquides comburants ont été définis dans le programme mais n’ont pas été livrés par l’INERIS.</w:t>
      </w:r>
      <w:r w:rsidR="00C27F98" w:rsidRPr="00B62886">
        <w:rPr>
          <w:szCs w:val="20"/>
          <w:lang w:val="fr-CH"/>
        </w:rPr>
        <w:t xml:space="preserve"> </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Les résultats communiqués par les différents laboratoires participants à la suite de cette première étape ont été principalement reçus entre fin avril et mi-juin 2015 et à la fin août pour le dernier. </w:t>
      </w:r>
    </w:p>
    <w:p w:rsidR="00201EDB" w:rsidRPr="00B62886" w:rsidRDefault="00C27F98" w:rsidP="0022434A">
      <w:pPr>
        <w:pStyle w:val="SingleTxt"/>
        <w:numPr>
          <w:ilvl w:val="0"/>
          <w:numId w:val="8"/>
        </w:numPr>
        <w:tabs>
          <w:tab w:val="clear" w:pos="475"/>
          <w:tab w:val="num" w:pos="1742"/>
        </w:tabs>
        <w:ind w:left="1267"/>
        <w:rPr>
          <w:szCs w:val="20"/>
          <w:lang w:val="en-GB"/>
        </w:rPr>
      </w:pPr>
      <w:r w:rsidRPr="00B62886">
        <w:rPr>
          <w:szCs w:val="20"/>
          <w:lang w:val="fr-CH"/>
        </w:rPr>
        <w:t>À</w:t>
      </w:r>
      <w:r w:rsidR="00201EDB" w:rsidRPr="00B62886">
        <w:rPr>
          <w:szCs w:val="20"/>
          <w:lang w:val="fr-CH"/>
        </w:rPr>
        <w:t xml:space="preserve"> ce stade, les résultats d’un laboratoire n’ont pas encore été évalués et ne font pas partie des résultats présentés ci-dessous. </w:t>
      </w:r>
      <w:r w:rsidR="00201EDB" w:rsidRPr="00B62886">
        <w:rPr>
          <w:szCs w:val="20"/>
          <w:lang w:val="en-US"/>
        </w:rPr>
        <w:t xml:space="preserve">On </w:t>
      </w:r>
      <w:proofErr w:type="spellStart"/>
      <w:r w:rsidR="00201EDB" w:rsidRPr="00B62886">
        <w:rPr>
          <w:szCs w:val="20"/>
          <w:lang w:val="en-US"/>
        </w:rPr>
        <w:t>peut</w:t>
      </w:r>
      <w:proofErr w:type="spellEnd"/>
      <w:r w:rsidR="00201EDB" w:rsidRPr="00B62886">
        <w:rPr>
          <w:szCs w:val="20"/>
          <w:lang w:val="en-US"/>
        </w:rPr>
        <w:t xml:space="preserve"> </w:t>
      </w:r>
      <w:proofErr w:type="spellStart"/>
      <w:r w:rsidR="00201EDB" w:rsidRPr="00B62886">
        <w:rPr>
          <w:szCs w:val="20"/>
          <w:lang w:val="en-US"/>
        </w:rPr>
        <w:t>toutefois</w:t>
      </w:r>
      <w:proofErr w:type="spellEnd"/>
      <w:r w:rsidR="00201EDB" w:rsidRPr="00B62886">
        <w:rPr>
          <w:szCs w:val="20"/>
          <w:lang w:val="en-US"/>
        </w:rPr>
        <w:t xml:space="preserve"> observer les </w:t>
      </w:r>
      <w:proofErr w:type="spellStart"/>
      <w:r w:rsidR="00201EDB" w:rsidRPr="00B62886">
        <w:rPr>
          <w:szCs w:val="20"/>
          <w:lang w:val="en-US"/>
        </w:rPr>
        <w:t>tendances</w:t>
      </w:r>
      <w:proofErr w:type="spellEnd"/>
      <w:r w:rsidR="00201EDB" w:rsidRPr="00B62886">
        <w:rPr>
          <w:szCs w:val="20"/>
          <w:lang w:val="en-US"/>
        </w:rPr>
        <w:t xml:space="preserve"> </w:t>
      </w:r>
      <w:proofErr w:type="spellStart"/>
      <w:r w:rsidR="00201EDB" w:rsidRPr="00B62886">
        <w:rPr>
          <w:szCs w:val="20"/>
          <w:lang w:val="en-US"/>
        </w:rPr>
        <w:t>suivantes</w:t>
      </w:r>
      <w:proofErr w:type="spellEnd"/>
      <w:r w:rsidRPr="00B62886">
        <w:rPr>
          <w:szCs w:val="20"/>
          <w:lang w:val="en-US"/>
        </w:rPr>
        <w:t> </w:t>
      </w:r>
      <w:r w:rsidR="00201EDB" w:rsidRPr="00B62886">
        <w:rPr>
          <w:szCs w:val="20"/>
          <w:lang w:val="en-GB"/>
        </w:rPr>
        <w:t>:</w:t>
      </w:r>
    </w:p>
    <w:p w:rsidR="00201EDB" w:rsidRPr="00B62886" w:rsidRDefault="003B3FA6" w:rsidP="003B3FA6">
      <w:pPr>
        <w:pStyle w:val="SingleTxt"/>
        <w:ind w:left="1742" w:hanging="475"/>
        <w:rPr>
          <w:szCs w:val="20"/>
          <w:lang w:val="fr-CH"/>
        </w:rPr>
      </w:pPr>
      <w:r w:rsidRPr="00B62886">
        <w:rPr>
          <w:szCs w:val="20"/>
          <w:lang w:val="fr-CH"/>
        </w:rPr>
        <w:tab/>
      </w:r>
      <w:r w:rsidR="00201EDB" w:rsidRPr="00B62886">
        <w:rPr>
          <w:szCs w:val="20"/>
          <w:lang w:val="fr-CH"/>
        </w:rPr>
        <w:t>i)</w:t>
      </w:r>
      <w:r w:rsidR="00201EDB" w:rsidRPr="00B62886">
        <w:rPr>
          <w:szCs w:val="20"/>
          <w:lang w:val="fr-CH"/>
        </w:rPr>
        <w:tab/>
        <w:t>Les résultats obtenus avec les différentes celluloses pour les trois matières de référence dans l’épreuve O.2 sont réunis dans le tableau 1 ci-dessous, ce qui permet de les comparer avec ceux obtenus avec la cellulose de qualité WHATMAN CF11 qu’il s’agit de remplacer</w:t>
      </w:r>
      <w:r w:rsidR="00C27F98" w:rsidRPr="00B62886">
        <w:rPr>
          <w:szCs w:val="20"/>
          <w:lang w:val="fr-CH"/>
        </w:rPr>
        <w:t> </w:t>
      </w:r>
      <w:r w:rsidR="00201EDB" w:rsidRPr="00B62886">
        <w:rPr>
          <w:szCs w:val="20"/>
          <w:lang w:val="fr-CH"/>
        </w:rPr>
        <w:t>:</w:t>
      </w:r>
    </w:p>
    <w:p w:rsidR="00174FE4" w:rsidRDefault="00174FE4" w:rsidP="000E16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2" w:name="_Ref429042654"/>
      <w:r>
        <w:tab/>
      </w:r>
      <w:r>
        <w:tab/>
      </w:r>
      <w:r w:rsidRPr="000E1689">
        <w:rPr>
          <w:b w:val="0"/>
          <w:bCs/>
        </w:rPr>
        <w:t>Tableau 1 </w:t>
      </w:r>
      <w:bookmarkEnd w:id="2"/>
      <w:r w:rsidRPr="000E1689">
        <w:rPr>
          <w:b w:val="0"/>
          <w:bCs/>
        </w:rPr>
        <w:t xml:space="preserve"> </w:t>
      </w:r>
      <w:r w:rsidRPr="00174FE4">
        <w:rPr>
          <w:sz w:val="10"/>
        </w:rPr>
        <w:br/>
      </w:r>
      <w:r w:rsidRPr="00C577E2">
        <w:t xml:space="preserve">Résultats pour trois celluloses </w:t>
      </w:r>
      <w:proofErr w:type="gramStart"/>
      <w:r w:rsidRPr="00C577E2">
        <w:t>candidates</w:t>
      </w:r>
      <w:proofErr w:type="gramEnd"/>
      <w:r w:rsidRPr="00C577E2">
        <w:t xml:space="preserve"> (après traitement statistique) </w:t>
      </w:r>
      <w:r w:rsidRPr="00C577E2">
        <w:br/>
        <w:t>comparés à ceux de la cellulose WHATMAN CF11</w:t>
      </w:r>
      <w:bookmarkStart w:id="3" w:name="TmpSave"/>
      <w:bookmarkEnd w:id="3"/>
    </w:p>
    <w:p w:rsidR="00C27F98" w:rsidRPr="00C27F98" w:rsidRDefault="00C27F98" w:rsidP="00C27F98">
      <w:pPr>
        <w:pStyle w:val="SingleTxt"/>
        <w:spacing w:after="0" w:line="120" w:lineRule="exact"/>
        <w:rPr>
          <w:sz w:val="10"/>
          <w:lang w:val="fr-CH"/>
        </w:rPr>
      </w:pPr>
    </w:p>
    <w:p w:rsidR="00C27F98" w:rsidRPr="00174FE4" w:rsidRDefault="00C27F98" w:rsidP="00174F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22"/>
        </w:tabs>
        <w:spacing w:after="0" w:line="120" w:lineRule="exact"/>
        <w:ind w:right="1260"/>
        <w:rPr>
          <w:sz w:val="10"/>
        </w:rPr>
      </w:pPr>
    </w:p>
    <w:tbl>
      <w:tblPr>
        <w:tblW w:w="0" w:type="auto"/>
        <w:jc w:val="center"/>
        <w:tblInd w:w="1276"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CellMar>
          <w:left w:w="70" w:type="dxa"/>
          <w:right w:w="70" w:type="dxa"/>
        </w:tblCellMar>
        <w:tblLook w:val="04A0" w:firstRow="1" w:lastRow="0" w:firstColumn="1" w:lastColumn="0" w:noHBand="0" w:noVBand="1"/>
      </w:tblPr>
      <w:tblGrid>
        <w:gridCol w:w="1062"/>
        <w:gridCol w:w="1838"/>
        <w:gridCol w:w="1586"/>
        <w:gridCol w:w="1858"/>
        <w:gridCol w:w="1410"/>
      </w:tblGrid>
      <w:tr w:rsidR="00201EDB" w:rsidRPr="00CA1207" w:rsidTr="00DA4C19">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Celluloses</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WHATMAN CF11</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ARBOCEL B00</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TECHNOCEL 150</w:t>
            </w:r>
          </w:p>
        </w:tc>
        <w:tc>
          <w:tcPr>
            <w:tcW w:w="1410" w:type="dxa"/>
            <w:tcBorders>
              <w:top w:val="single" w:sz="6" w:space="0" w:color="1F497D" w:themeColor="text2"/>
              <w:left w:val="single" w:sz="6" w:space="0" w:color="1F497D" w:themeColor="text2"/>
              <w:bottom w:val="single" w:sz="6" w:space="0" w:color="1F497D" w:themeColor="text2"/>
              <w:right w:val="single" w:sz="6" w:space="0" w:color="1F497D" w:themeColor="text2"/>
            </w:tcBorders>
            <w:hideMark/>
          </w:tcPr>
          <w:p w:rsidR="00201EDB" w:rsidRPr="00CA1207" w:rsidRDefault="00201EDB" w:rsidP="00DA4C19">
            <w:pPr>
              <w:spacing w:before="60" w:after="60" w:line="240" w:lineRule="auto"/>
              <w:jc w:val="center"/>
              <w:rPr>
                <w:rFonts w:eastAsia="Times New Roman"/>
                <w:b/>
                <w:color w:val="000000"/>
                <w:lang w:val="en-GB" w:eastAsia="fr-FR"/>
              </w:rPr>
            </w:pPr>
            <w:r w:rsidRPr="00CA1207">
              <w:rPr>
                <w:rFonts w:eastAsia="Times New Roman"/>
                <w:b/>
                <w:color w:val="000000"/>
                <w:lang w:val="en-GB" w:eastAsia="fr-FR"/>
              </w:rPr>
              <w:t>SIGMA C6288</w:t>
            </w:r>
          </w:p>
        </w:tc>
      </w:tr>
      <w:tr w:rsidR="00201EDB" w:rsidRPr="00CA1207" w:rsidTr="00174FE4">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rsidR="00201EDB" w:rsidRPr="00CA1207" w:rsidRDefault="00201EDB" w:rsidP="00174FE4">
            <w:pPr>
              <w:spacing w:before="60" w:after="60" w:line="240" w:lineRule="auto"/>
              <w:ind w:left="85"/>
              <w:jc w:val="center"/>
              <w:rPr>
                <w:rFonts w:eastAsia="Times New Roman"/>
                <w:b/>
                <w:color w:val="000000"/>
                <w:lang w:val="en-GB" w:eastAsia="fr-FR"/>
              </w:rPr>
            </w:pP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GB" w:eastAsia="fr-FR"/>
              </w:rPr>
            </w:pPr>
            <w:r w:rsidRPr="00CA1207">
              <w:rPr>
                <w:rFonts w:eastAsia="Times New Roman"/>
                <w:color w:val="000000"/>
                <w:lang w:val="en-GB" w:eastAsia="fr-FR"/>
              </w:rPr>
              <w:t>T</w:t>
            </w:r>
            <w:r>
              <w:rPr>
                <w:rFonts w:eastAsia="Times New Roman"/>
                <w:color w:val="000000"/>
                <w:lang w:val="en-GB" w:eastAsia="fr-FR"/>
              </w:rPr>
              <w:t>emps</w:t>
            </w:r>
            <w:r w:rsidRPr="00CA1207">
              <w:rPr>
                <w:rFonts w:eastAsia="Times New Roman"/>
                <w:color w:val="000000"/>
                <w:lang w:val="en-GB" w:eastAsia="fr-FR"/>
              </w:rPr>
              <w:t xml:space="preserve"> (</w:t>
            </w:r>
            <w:proofErr w:type="spellStart"/>
            <w:r w:rsidRPr="00CA1207">
              <w:rPr>
                <w:rFonts w:eastAsia="Times New Roman"/>
                <w:color w:val="000000"/>
                <w:lang w:val="en-GB" w:eastAsia="fr-FR"/>
              </w:rPr>
              <w:t>ms</w:t>
            </w:r>
            <w:proofErr w:type="spellEnd"/>
            <w:r w:rsidRPr="00CA1207">
              <w:rPr>
                <w:rFonts w:eastAsia="Times New Roman"/>
                <w:color w:val="000000"/>
                <w:lang w:val="en-GB" w:eastAsia="fr-FR"/>
              </w:rPr>
              <w:t>)</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proofErr w:type="spellStart"/>
            <w:r>
              <w:rPr>
                <w:rFonts w:eastAsia="Times New Roman"/>
                <w:color w:val="000000"/>
                <w:lang w:val="en-US" w:eastAsia="fr-FR"/>
              </w:rPr>
              <w:t>Moyen</w:t>
            </w:r>
            <w:proofErr w:type="spellEnd"/>
            <w:r>
              <w:rPr>
                <w:rFonts w:eastAsia="Times New Roman"/>
                <w:color w:val="000000"/>
                <w:lang w:val="en-US" w:eastAsia="fr-FR"/>
              </w:rPr>
              <w:t xml:space="preserve"> </w:t>
            </w:r>
            <w:r w:rsidRPr="00CA1207">
              <w:rPr>
                <w:rFonts w:eastAsia="Times New Roman"/>
                <w:color w:val="000000"/>
                <w:lang w:val="en-US" w:eastAsia="fr-FR"/>
              </w:rPr>
              <w:t>(</w:t>
            </w:r>
            <w:proofErr w:type="spellStart"/>
            <w:r w:rsidRPr="00CA1207">
              <w:rPr>
                <w:rFonts w:eastAsia="Times New Roman"/>
                <w:color w:val="000000"/>
                <w:lang w:val="en-US" w:eastAsia="fr-FR"/>
              </w:rPr>
              <w:t>ms</w:t>
            </w:r>
            <w:proofErr w:type="spellEnd"/>
            <w:r w:rsidRPr="00CA1207">
              <w:rPr>
                <w:rFonts w:eastAsia="Times New Roman"/>
                <w:color w:val="000000"/>
                <w:lang w:val="en-US" w:eastAsia="fr-FR"/>
              </w:rPr>
              <w:t>)</w:t>
            </w:r>
          </w:p>
        </w:tc>
        <w:tc>
          <w:tcPr>
            <w:tcW w:w="0" w:type="auto"/>
            <w:tcBorders>
              <w:top w:val="single" w:sz="6" w:space="0" w:color="1F497D" w:themeColor="text2"/>
              <w:left w:val="single" w:sz="6" w:space="0" w:color="1F497D" w:themeColor="text2"/>
              <w:bottom w:val="nil"/>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proofErr w:type="spellStart"/>
            <w:r w:rsidRPr="00453434">
              <w:rPr>
                <w:rFonts w:eastAsia="Times New Roman"/>
                <w:color w:val="000000"/>
                <w:lang w:val="en-US" w:eastAsia="fr-FR"/>
              </w:rPr>
              <w:t>Moyen</w:t>
            </w:r>
            <w:proofErr w:type="spellEnd"/>
            <w:r w:rsidRPr="00CA1207">
              <w:rPr>
                <w:rFonts w:eastAsia="Times New Roman"/>
                <w:color w:val="000000"/>
                <w:lang w:val="en-US" w:eastAsia="fr-FR"/>
              </w:rPr>
              <w:t>(</w:t>
            </w:r>
            <w:proofErr w:type="spellStart"/>
            <w:r w:rsidRPr="00CA1207">
              <w:rPr>
                <w:rFonts w:eastAsia="Times New Roman"/>
                <w:color w:val="000000"/>
                <w:lang w:val="en-US" w:eastAsia="fr-FR"/>
              </w:rPr>
              <w:t>ms</w:t>
            </w:r>
            <w:proofErr w:type="spellEnd"/>
            <w:r w:rsidRPr="00CA1207">
              <w:rPr>
                <w:rFonts w:eastAsia="Times New Roman"/>
                <w:color w:val="000000"/>
                <w:lang w:val="en-US" w:eastAsia="fr-FR"/>
              </w:rPr>
              <w:t>)</w:t>
            </w:r>
          </w:p>
        </w:tc>
        <w:tc>
          <w:tcPr>
            <w:tcW w:w="1410" w:type="dxa"/>
            <w:tcBorders>
              <w:top w:val="single" w:sz="6" w:space="0" w:color="1F497D" w:themeColor="text2"/>
              <w:left w:val="single" w:sz="6" w:space="0" w:color="1F497D" w:themeColor="text2"/>
              <w:bottom w:val="nil"/>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proofErr w:type="spellStart"/>
            <w:r w:rsidRPr="00453434">
              <w:rPr>
                <w:rFonts w:eastAsia="Times New Roman"/>
                <w:color w:val="000000"/>
                <w:lang w:val="en-US" w:eastAsia="fr-FR"/>
              </w:rPr>
              <w:t>Moyen</w:t>
            </w:r>
            <w:proofErr w:type="spellEnd"/>
            <w:r w:rsidRPr="00CA1207">
              <w:rPr>
                <w:rFonts w:eastAsia="Times New Roman"/>
                <w:color w:val="000000"/>
                <w:lang w:val="en-US" w:eastAsia="fr-FR"/>
              </w:rPr>
              <w:t xml:space="preserve"> (</w:t>
            </w:r>
            <w:proofErr w:type="spellStart"/>
            <w:r w:rsidRPr="00CA1207">
              <w:rPr>
                <w:rFonts w:eastAsia="Times New Roman"/>
                <w:color w:val="000000"/>
                <w:lang w:val="en-US" w:eastAsia="fr-FR"/>
              </w:rPr>
              <w:t>ms</w:t>
            </w:r>
            <w:proofErr w:type="spellEnd"/>
            <w:r w:rsidRPr="00CA1207">
              <w:rPr>
                <w:rFonts w:eastAsia="Times New Roman"/>
                <w:color w:val="000000"/>
                <w:lang w:val="en-US" w:eastAsia="fr-FR"/>
              </w:rPr>
              <w:t>)</w:t>
            </w:r>
          </w:p>
        </w:tc>
      </w:tr>
      <w:tr w:rsidR="00201EDB" w:rsidRPr="00CA1207" w:rsidTr="00174FE4">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ind w:left="85"/>
              <w:jc w:val="center"/>
              <w:rPr>
                <w:rFonts w:eastAsia="Times New Roman"/>
                <w:color w:val="000000"/>
                <w:lang w:val="en-GB" w:eastAsia="fr-FR"/>
              </w:rPr>
            </w:pPr>
            <w:r>
              <w:rPr>
                <w:rFonts w:eastAsia="Times New Roman"/>
                <w:b/>
                <w:color w:val="000000"/>
                <w:lang w:val="en-US" w:eastAsia="fr-FR"/>
              </w:rPr>
              <w:t>GE</w:t>
            </w:r>
            <w:r w:rsidRPr="00CA1207">
              <w:rPr>
                <w:rFonts w:eastAsia="Times New Roman"/>
                <w:b/>
                <w:color w:val="000000"/>
                <w:lang w:val="en-US" w:eastAsia="fr-FR"/>
              </w:rPr>
              <w:t xml:space="preserve"> III</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r w:rsidRPr="00CA1207">
              <w:rPr>
                <w:rFonts w:eastAsia="Times New Roman"/>
                <w:color w:val="000000"/>
                <w:lang w:val="en-US" w:eastAsia="fr-FR"/>
              </w:rPr>
              <w:t>4</w:t>
            </w:r>
            <w:r w:rsidR="003B3FA6">
              <w:rPr>
                <w:rFonts w:eastAsia="Times New Roman"/>
                <w:color w:val="000000"/>
                <w:lang w:val="en-US" w:eastAsia="fr-FR"/>
              </w:rPr>
              <w:t> </w:t>
            </w:r>
            <w:r w:rsidRPr="00CA1207">
              <w:rPr>
                <w:rFonts w:eastAsia="Times New Roman"/>
                <w:color w:val="000000"/>
                <w:lang w:val="en-US" w:eastAsia="fr-FR"/>
              </w:rPr>
              <w:t>767</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color w:val="000000"/>
                <w:lang w:val="en-US" w:eastAsia="fr-FR"/>
              </w:rPr>
              <w:t>3</w:t>
            </w:r>
            <w:r w:rsidR="003B3FA6">
              <w:rPr>
                <w:rFonts w:eastAsia="Times New Roman"/>
                <w:color w:val="000000"/>
                <w:lang w:val="en-US" w:eastAsia="fr-FR"/>
              </w:rPr>
              <w:t> </w:t>
            </w:r>
            <w:r w:rsidRPr="00CA1207">
              <w:rPr>
                <w:rFonts w:eastAsia="Times New Roman"/>
                <w:color w:val="000000"/>
                <w:lang w:val="en-US" w:eastAsia="fr-FR"/>
              </w:rPr>
              <w:t>005</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3</w:t>
            </w:r>
            <w:r w:rsidR="003B3FA6">
              <w:rPr>
                <w:rFonts w:eastAsia="Times New Roman"/>
                <w:lang w:val="en-US" w:eastAsia="fr-FR"/>
              </w:rPr>
              <w:t> </w:t>
            </w:r>
            <w:r w:rsidRPr="00CA1207">
              <w:rPr>
                <w:rFonts w:eastAsia="Times New Roman"/>
                <w:lang w:val="en-US" w:eastAsia="fr-FR"/>
              </w:rPr>
              <w:t>014</w:t>
            </w:r>
          </w:p>
        </w:tc>
        <w:tc>
          <w:tcPr>
            <w:tcW w:w="141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3</w:t>
            </w:r>
            <w:r w:rsidR="003B3FA6">
              <w:rPr>
                <w:rFonts w:eastAsia="Times New Roman"/>
                <w:lang w:val="en-US" w:eastAsia="fr-FR"/>
              </w:rPr>
              <w:t> </w:t>
            </w:r>
            <w:r w:rsidRPr="00CA1207">
              <w:rPr>
                <w:rFonts w:eastAsia="Times New Roman"/>
                <w:lang w:val="en-US" w:eastAsia="fr-FR"/>
              </w:rPr>
              <w:t>126</w:t>
            </w:r>
          </w:p>
        </w:tc>
      </w:tr>
      <w:tr w:rsidR="00201EDB" w:rsidRPr="00CA1207" w:rsidTr="00174FE4">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ind w:left="85"/>
              <w:jc w:val="center"/>
              <w:rPr>
                <w:rFonts w:eastAsia="Times New Roman"/>
                <w:color w:val="000000"/>
                <w:lang w:val="en-GB" w:eastAsia="fr-FR"/>
              </w:rPr>
            </w:pPr>
            <w:r>
              <w:rPr>
                <w:rFonts w:eastAsia="Times New Roman"/>
                <w:b/>
                <w:color w:val="000000"/>
                <w:lang w:val="en-US" w:eastAsia="fr-FR"/>
              </w:rPr>
              <w:t>GE</w:t>
            </w:r>
            <w:r w:rsidRPr="00CA1207">
              <w:rPr>
                <w:rFonts w:eastAsia="Times New Roman"/>
                <w:b/>
                <w:color w:val="000000"/>
                <w:lang w:val="en-US" w:eastAsia="fr-FR"/>
              </w:rPr>
              <w:t xml:space="preserve"> II</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r w:rsidRPr="00CA1207">
              <w:rPr>
                <w:rFonts w:eastAsia="Times New Roman"/>
                <w:color w:val="000000"/>
                <w:lang w:val="en-US" w:eastAsia="fr-FR"/>
              </w:rPr>
              <w:t>2</w:t>
            </w:r>
            <w:r w:rsidR="003B3FA6">
              <w:rPr>
                <w:rFonts w:eastAsia="Times New Roman"/>
                <w:color w:val="000000"/>
                <w:lang w:val="en-US" w:eastAsia="fr-FR"/>
              </w:rPr>
              <w:t> </w:t>
            </w:r>
            <w:r w:rsidRPr="00CA1207">
              <w:rPr>
                <w:rFonts w:eastAsia="Times New Roman"/>
                <w:color w:val="000000"/>
                <w:lang w:val="en-US" w:eastAsia="fr-FR"/>
              </w:rPr>
              <w:t>555</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bCs/>
                <w:lang w:val="en-US" w:eastAsia="fr-FR"/>
              </w:rPr>
            </w:pPr>
            <w:r w:rsidRPr="00CA1207">
              <w:rPr>
                <w:rFonts w:eastAsia="Times New Roman"/>
                <w:color w:val="000000"/>
                <w:lang w:val="en-US" w:eastAsia="fr-FR"/>
              </w:rPr>
              <w:t>1</w:t>
            </w:r>
            <w:r w:rsidR="003B3FA6">
              <w:rPr>
                <w:rFonts w:eastAsia="Times New Roman"/>
                <w:color w:val="000000"/>
                <w:lang w:val="en-US" w:eastAsia="fr-FR"/>
              </w:rPr>
              <w:t> </w:t>
            </w:r>
            <w:r w:rsidRPr="00CA1207">
              <w:rPr>
                <w:rFonts w:eastAsia="Times New Roman"/>
                <w:color w:val="000000"/>
                <w:lang w:val="en-US" w:eastAsia="fr-FR"/>
              </w:rPr>
              <w:t>672</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1</w:t>
            </w:r>
            <w:r w:rsidR="003B3FA6">
              <w:rPr>
                <w:rFonts w:eastAsia="Times New Roman"/>
                <w:lang w:val="en-US" w:eastAsia="fr-FR"/>
              </w:rPr>
              <w:t> </w:t>
            </w:r>
            <w:r w:rsidRPr="00CA1207">
              <w:rPr>
                <w:rFonts w:eastAsia="Times New Roman"/>
                <w:lang w:val="en-US" w:eastAsia="fr-FR"/>
              </w:rPr>
              <w:t>753</w:t>
            </w:r>
          </w:p>
        </w:tc>
        <w:tc>
          <w:tcPr>
            <w:tcW w:w="141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932</w:t>
            </w:r>
          </w:p>
        </w:tc>
      </w:tr>
      <w:tr w:rsidR="00201EDB" w:rsidRPr="00CA1207" w:rsidTr="00174FE4">
        <w:trPr>
          <w:trHeight w:val="247"/>
          <w:jc w:val="center"/>
        </w:trPr>
        <w:tc>
          <w:tcPr>
            <w:tcW w:w="96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ind w:left="85"/>
              <w:jc w:val="center"/>
              <w:rPr>
                <w:rFonts w:eastAsia="Times New Roman"/>
                <w:color w:val="000000"/>
                <w:lang w:val="en-US" w:eastAsia="fr-FR"/>
              </w:rPr>
            </w:pPr>
            <w:r>
              <w:rPr>
                <w:rFonts w:eastAsia="Times New Roman"/>
                <w:b/>
                <w:color w:val="000000"/>
                <w:lang w:val="en-US" w:eastAsia="fr-FR"/>
              </w:rPr>
              <w:t>GE</w:t>
            </w:r>
            <w:r w:rsidRPr="00CA1207">
              <w:rPr>
                <w:rFonts w:eastAsia="Times New Roman"/>
                <w:b/>
                <w:color w:val="000000"/>
                <w:lang w:val="en-US" w:eastAsia="fr-FR"/>
              </w:rPr>
              <w:t xml:space="preserve"> I</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color w:val="000000"/>
                <w:lang w:val="en-US" w:eastAsia="fr-FR"/>
              </w:rPr>
            </w:pPr>
            <w:r w:rsidRPr="00CA1207">
              <w:rPr>
                <w:rFonts w:eastAsia="Times New Roman"/>
                <w:color w:val="000000"/>
                <w:lang w:val="en-US" w:eastAsia="fr-FR"/>
              </w:rPr>
              <w:t>121</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color w:val="000000"/>
                <w:lang w:val="en-US" w:eastAsia="fr-FR"/>
              </w:rPr>
              <w:t>107</w:t>
            </w:r>
          </w:p>
        </w:tc>
        <w:tc>
          <w:tcPr>
            <w:tcW w:w="0" w:type="auto"/>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87</w:t>
            </w:r>
          </w:p>
        </w:tc>
        <w:tc>
          <w:tcPr>
            <w:tcW w:w="1410"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hideMark/>
          </w:tcPr>
          <w:p w:rsidR="00201EDB" w:rsidRPr="00CA1207" w:rsidRDefault="00201EDB" w:rsidP="00174FE4">
            <w:pPr>
              <w:spacing w:before="60" w:after="60" w:line="240" w:lineRule="auto"/>
              <w:jc w:val="center"/>
              <w:rPr>
                <w:rFonts w:eastAsia="Times New Roman"/>
                <w:lang w:val="en-US" w:eastAsia="fr-FR"/>
              </w:rPr>
            </w:pPr>
            <w:r w:rsidRPr="00CA1207">
              <w:rPr>
                <w:rFonts w:eastAsia="Times New Roman"/>
                <w:lang w:val="en-US" w:eastAsia="fr-FR"/>
              </w:rPr>
              <w:t>94</w:t>
            </w:r>
          </w:p>
        </w:tc>
      </w:tr>
    </w:tbl>
    <w:p w:rsidR="00201EDB" w:rsidRPr="00C577E2" w:rsidRDefault="00201EDB" w:rsidP="00C577E2">
      <w:pPr>
        <w:pStyle w:val="SingleTxt"/>
        <w:spacing w:after="0" w:line="120" w:lineRule="exact"/>
        <w:rPr>
          <w:b/>
          <w:sz w:val="10"/>
          <w:lang w:val="fr-CH"/>
        </w:rPr>
      </w:pPr>
    </w:p>
    <w:p w:rsidR="00C577E2" w:rsidRPr="00C577E2" w:rsidRDefault="00C577E2" w:rsidP="00C577E2">
      <w:pPr>
        <w:pStyle w:val="SingleTxt"/>
        <w:spacing w:after="0" w:line="120" w:lineRule="exact"/>
        <w:rPr>
          <w:b/>
          <w:sz w:val="10"/>
          <w:lang w:val="fr-CH"/>
        </w:rPr>
      </w:pPr>
    </w:p>
    <w:p w:rsidR="00201EDB" w:rsidRPr="00CA1207" w:rsidRDefault="00174FE4" w:rsidP="00174FE4">
      <w:pPr>
        <w:pStyle w:val="SingleTxt"/>
        <w:rPr>
          <w:lang w:val="fr-CH"/>
        </w:rPr>
      </w:pPr>
      <w:r>
        <w:rPr>
          <w:lang w:val="fr-CH"/>
        </w:rPr>
        <w:tab/>
      </w:r>
      <w:r w:rsidR="00201EDB" w:rsidRPr="003E303C">
        <w:rPr>
          <w:lang w:val="fr-CH"/>
        </w:rPr>
        <w:t>Le</w:t>
      </w:r>
      <w:r w:rsidR="00201EDB">
        <w:rPr>
          <w:lang w:val="fr-CH"/>
        </w:rPr>
        <w:t xml:space="preserve">s valeurs du </w:t>
      </w:r>
      <w:r w:rsidR="00201EDB" w:rsidRPr="003E303C">
        <w:rPr>
          <w:lang w:val="fr-CH"/>
        </w:rPr>
        <w:t xml:space="preserve">temps moyen de montée en pression </w:t>
      </w:r>
      <w:r w:rsidR="00201EDB">
        <w:rPr>
          <w:lang w:val="fr-CH"/>
        </w:rPr>
        <w:t xml:space="preserve">pour les trois celluloses candidates sont inférieures à celles obtenues pour la cellulose </w:t>
      </w:r>
      <w:r w:rsidR="00201EDB" w:rsidRPr="00CA1207">
        <w:rPr>
          <w:lang w:val="fr-CH"/>
        </w:rPr>
        <w:t xml:space="preserve">WHATMAN CF11. </w:t>
      </w:r>
      <w:r w:rsidR="00201EDB">
        <w:rPr>
          <w:lang w:val="fr-CH"/>
        </w:rPr>
        <w:t xml:space="preserve">Comme premier critère de sélection nous avons décidé d’utiliser les rapports entre les temps moyens de </w:t>
      </w:r>
      <w:r w:rsidR="00201EDB" w:rsidRPr="00EA72DA">
        <w:rPr>
          <w:lang w:val="fr-CH"/>
        </w:rPr>
        <w:t>montée en pression</w:t>
      </w:r>
      <w:r w:rsidR="00201EDB">
        <w:rPr>
          <w:lang w:val="fr-CH"/>
        </w:rPr>
        <w:t xml:space="preserve"> des groupes d’emballage</w:t>
      </w:r>
      <w:r w:rsidR="00B23901">
        <w:rPr>
          <w:lang w:val="fr-CH"/>
        </w:rPr>
        <w:t> </w:t>
      </w:r>
      <w:r w:rsidR="00201EDB" w:rsidRPr="00CA1207">
        <w:rPr>
          <w:lang w:val="fr-CH"/>
        </w:rPr>
        <w:t xml:space="preserve">: </w:t>
      </w:r>
      <w:r w:rsidR="00201EDB" w:rsidRPr="00EA72DA">
        <w:rPr>
          <w:lang w:val="fr-CH"/>
        </w:rPr>
        <w:t>GE</w:t>
      </w:r>
      <w:r w:rsidR="00DA4C19">
        <w:rPr>
          <w:lang w:val="fr-CH"/>
        </w:rPr>
        <w:t> III/</w:t>
      </w:r>
      <w:r w:rsidR="00201EDB" w:rsidRPr="00EA72DA">
        <w:rPr>
          <w:lang w:val="fr-CH"/>
        </w:rPr>
        <w:t>GE</w:t>
      </w:r>
      <w:r w:rsidR="00201EDB" w:rsidRPr="00CA1207">
        <w:rPr>
          <w:lang w:val="fr-CH"/>
        </w:rPr>
        <w:t xml:space="preserve"> II, </w:t>
      </w:r>
      <w:r w:rsidR="00201EDB" w:rsidRPr="00EA72DA">
        <w:rPr>
          <w:lang w:val="fr-CH"/>
        </w:rPr>
        <w:t>GE</w:t>
      </w:r>
      <w:r w:rsidR="00DA4C19">
        <w:rPr>
          <w:lang w:val="fr-CH"/>
        </w:rPr>
        <w:t> II/</w:t>
      </w:r>
      <w:r w:rsidR="00201EDB" w:rsidRPr="00EA72DA">
        <w:rPr>
          <w:lang w:val="fr-CH"/>
        </w:rPr>
        <w:t>GE</w:t>
      </w:r>
      <w:r w:rsidR="00201EDB" w:rsidRPr="00CA1207">
        <w:rPr>
          <w:lang w:val="fr-CH"/>
        </w:rPr>
        <w:t xml:space="preserve"> I </w:t>
      </w:r>
      <w:r w:rsidR="00DA4C19">
        <w:rPr>
          <w:lang w:val="fr-CH"/>
        </w:rPr>
        <w:t>et</w:t>
      </w:r>
      <w:r w:rsidR="00201EDB" w:rsidRPr="00CA1207">
        <w:rPr>
          <w:lang w:val="fr-CH"/>
        </w:rPr>
        <w:t xml:space="preserve"> </w:t>
      </w:r>
      <w:r w:rsidR="00201EDB" w:rsidRPr="00EA72DA">
        <w:rPr>
          <w:lang w:val="fr-CH"/>
        </w:rPr>
        <w:t>GE</w:t>
      </w:r>
      <w:r w:rsidR="00DA4C19">
        <w:rPr>
          <w:lang w:val="fr-CH"/>
        </w:rPr>
        <w:t> III/</w:t>
      </w:r>
      <w:r w:rsidR="00201EDB" w:rsidRPr="00EA72DA">
        <w:rPr>
          <w:lang w:val="fr-CH"/>
        </w:rPr>
        <w:t>GE</w:t>
      </w:r>
      <w:r w:rsidR="00201EDB" w:rsidRPr="00CA1207">
        <w:rPr>
          <w:lang w:val="fr-CH"/>
        </w:rPr>
        <w:t xml:space="preserve"> I. </w:t>
      </w:r>
      <w:r w:rsidR="00201EDB">
        <w:rPr>
          <w:lang w:val="fr-CH"/>
        </w:rPr>
        <w:t xml:space="preserve">Ces rapports pour les </w:t>
      </w:r>
      <w:r w:rsidR="00201EDB" w:rsidRPr="00CA1207">
        <w:rPr>
          <w:lang w:val="fr-CH"/>
        </w:rPr>
        <w:t xml:space="preserve">celluloses ARBOCEL B00 </w:t>
      </w:r>
      <w:r w:rsidR="00201EDB">
        <w:rPr>
          <w:lang w:val="fr-CH"/>
        </w:rPr>
        <w:t>et</w:t>
      </w:r>
      <w:r w:rsidR="00201EDB" w:rsidRPr="00CA1207">
        <w:rPr>
          <w:lang w:val="fr-CH"/>
        </w:rPr>
        <w:t xml:space="preserve"> TECHNOCEL 150 </w:t>
      </w:r>
      <w:r w:rsidR="00201EDB">
        <w:rPr>
          <w:lang w:val="fr-CH"/>
        </w:rPr>
        <w:t xml:space="preserve">restent semblables à ceux obtenus pour la </w:t>
      </w:r>
      <w:r w:rsidR="00201EDB" w:rsidRPr="00CA1207">
        <w:rPr>
          <w:lang w:val="fr-CH"/>
        </w:rPr>
        <w:t xml:space="preserve">cellulose WHATMAN </w:t>
      </w:r>
      <w:r w:rsidR="00201EDB" w:rsidRPr="00CA1207">
        <w:rPr>
          <w:lang w:val="fr-CH"/>
        </w:rPr>
        <w:lastRenderedPageBreak/>
        <w:t xml:space="preserve">CF11 </w:t>
      </w:r>
      <w:r w:rsidR="00201EDB" w:rsidRPr="00EA72DA">
        <w:rPr>
          <w:lang w:val="fr-CH"/>
        </w:rPr>
        <w:t>tandis que les rapports pour l</w:t>
      </w:r>
      <w:r w:rsidR="00201EDB">
        <w:rPr>
          <w:lang w:val="fr-CH"/>
        </w:rPr>
        <w:t xml:space="preserve">a </w:t>
      </w:r>
      <w:r w:rsidR="00201EDB" w:rsidRPr="00CA1207">
        <w:rPr>
          <w:lang w:val="fr-CH"/>
        </w:rPr>
        <w:t xml:space="preserve">cellulose SIGMA C6288 </w:t>
      </w:r>
      <w:r w:rsidR="00201EDB">
        <w:rPr>
          <w:lang w:val="fr-CH"/>
        </w:rPr>
        <w:t xml:space="preserve">sont sensiblement </w:t>
      </w:r>
      <w:r w:rsidR="00201EDB" w:rsidRPr="00CA1207">
        <w:rPr>
          <w:lang w:val="fr-CH"/>
        </w:rPr>
        <w:t>diff</w:t>
      </w:r>
      <w:r w:rsidR="00201EDB">
        <w:rPr>
          <w:lang w:val="fr-CH"/>
        </w:rPr>
        <w:t>é</w:t>
      </w:r>
      <w:r w:rsidR="00201EDB" w:rsidRPr="00CA1207">
        <w:rPr>
          <w:lang w:val="fr-CH"/>
        </w:rPr>
        <w:t>rent</w:t>
      </w:r>
      <w:r w:rsidR="00201EDB">
        <w:rPr>
          <w:lang w:val="fr-CH"/>
        </w:rPr>
        <w:t>s</w:t>
      </w:r>
      <w:r w:rsidR="00201EDB" w:rsidRPr="00CA1207">
        <w:rPr>
          <w:lang w:val="fr-CH"/>
        </w:rPr>
        <w:t>.</w:t>
      </w:r>
    </w:p>
    <w:p w:rsidR="00201EDB" w:rsidRPr="00B62886" w:rsidRDefault="00B62886" w:rsidP="00201EDB">
      <w:pPr>
        <w:spacing w:after="120"/>
        <w:ind w:left="1701" w:right="1134"/>
        <w:rPr>
          <w:rFonts w:eastAsia="Times New Roman"/>
          <w:szCs w:val="20"/>
          <w:lang w:val="fr-CH"/>
        </w:rPr>
      </w:pPr>
      <w:r>
        <w:rPr>
          <w:rFonts w:eastAsia="Times New Roman"/>
          <w:szCs w:val="20"/>
          <w:lang w:val="fr-CH"/>
        </w:rPr>
        <w:tab/>
      </w:r>
      <w:r w:rsidR="00201EDB" w:rsidRPr="00B62886">
        <w:rPr>
          <w:rFonts w:eastAsia="Times New Roman"/>
          <w:szCs w:val="20"/>
          <w:lang w:val="fr-CH"/>
        </w:rPr>
        <w:t>ii)</w:t>
      </w:r>
      <w:r w:rsidR="00201EDB" w:rsidRPr="00B62886">
        <w:rPr>
          <w:rFonts w:eastAsia="Times New Roman"/>
          <w:szCs w:val="20"/>
          <w:lang w:val="fr-CH"/>
        </w:rPr>
        <w:tab/>
        <w:t xml:space="preserve">La classification effectuée pour les trois échantillons liquides de matières comburantes éprouvées dans le cadre de ce programme </w:t>
      </w:r>
      <w:proofErr w:type="spellStart"/>
      <w:r w:rsidR="00201EDB" w:rsidRPr="00B62886">
        <w:rPr>
          <w:rFonts w:eastAsia="Times New Roman"/>
          <w:szCs w:val="20"/>
          <w:lang w:val="fr-CH"/>
        </w:rPr>
        <w:t>interlaboratoires</w:t>
      </w:r>
      <w:proofErr w:type="spellEnd"/>
      <w:r w:rsidR="00201EDB" w:rsidRPr="00B62886">
        <w:rPr>
          <w:rFonts w:eastAsia="Times New Roman"/>
          <w:szCs w:val="20"/>
          <w:lang w:val="fr-CH"/>
        </w:rPr>
        <w:t xml:space="preserve"> avec les différentes celluloses reste comparable</w:t>
      </w:r>
      <w:r w:rsidR="00174FE4" w:rsidRPr="00B62886">
        <w:rPr>
          <w:rFonts w:eastAsia="Times New Roman"/>
          <w:szCs w:val="20"/>
          <w:lang w:val="fr-CH"/>
        </w:rPr>
        <w:t> </w:t>
      </w:r>
      <w:r w:rsidR="00201EDB" w:rsidRPr="00B62886">
        <w:rPr>
          <w:rFonts w:eastAsia="Times New Roman"/>
          <w:szCs w:val="20"/>
          <w:lang w:val="fr-CH"/>
        </w:rPr>
        <w:t>:</w:t>
      </w:r>
    </w:p>
    <w:p w:rsidR="00201EDB" w:rsidRPr="00B62886" w:rsidRDefault="00201EDB" w:rsidP="00DA4C19">
      <w:pPr>
        <w:pStyle w:val="Bullet2"/>
        <w:ind w:left="2217" w:hanging="130"/>
        <w:rPr>
          <w:lang w:val="fr-CH"/>
        </w:rPr>
      </w:pPr>
      <w:r w:rsidRPr="00B62886">
        <w:t xml:space="preserve">Acide perchlorique </w:t>
      </w:r>
      <w:r w:rsidRPr="00B62886">
        <w:rPr>
          <w:lang w:val="fr-CH"/>
        </w:rPr>
        <w:t>70</w:t>
      </w:r>
      <w:r w:rsidR="00174FE4" w:rsidRPr="00B62886">
        <w:rPr>
          <w:lang w:val="fr-CH"/>
        </w:rPr>
        <w:t> </w:t>
      </w:r>
      <w:r w:rsidRPr="00B62886">
        <w:rPr>
          <w:lang w:val="fr-CH"/>
        </w:rPr>
        <w:t xml:space="preserve">% </w:t>
      </w:r>
      <w:r w:rsidRPr="00B62886">
        <w:rPr>
          <w:lang w:val="fr-CH"/>
        </w:rPr>
        <w:tab/>
      </w:r>
      <w:r w:rsidRPr="00B62886">
        <w:rPr>
          <w:lang w:val="fr-CH"/>
        </w:rPr>
        <w:tab/>
      </w:r>
      <w:r w:rsidR="00DA4C19">
        <w:rPr>
          <w:lang w:val="fr-CH"/>
        </w:rPr>
        <w:tab/>
      </w:r>
      <w:r w:rsidR="00DA4C19">
        <w:rPr>
          <w:lang w:val="fr-CH"/>
        </w:rPr>
        <w:tab/>
      </w:r>
      <w:r w:rsidR="00DA4C19">
        <w:rPr>
          <w:lang w:val="fr-CH"/>
        </w:rPr>
        <w:tab/>
      </w:r>
      <w:r w:rsidR="00DA4C19">
        <w:rPr>
          <w:lang w:val="fr-CH"/>
        </w:rPr>
        <w:tab/>
      </w:r>
      <w:r w:rsidRPr="00B62886">
        <w:rPr>
          <w:lang w:val="fr-CH"/>
        </w:rPr>
        <w:t>Div. 5.1 GE I,</w:t>
      </w:r>
    </w:p>
    <w:p w:rsidR="00201EDB" w:rsidRPr="00B62886" w:rsidRDefault="00201EDB" w:rsidP="00DA4C19">
      <w:pPr>
        <w:pStyle w:val="Bullet2"/>
        <w:ind w:left="2217" w:hanging="130"/>
        <w:rPr>
          <w:szCs w:val="20"/>
          <w:lang w:val="fr-CH"/>
        </w:rPr>
      </w:pPr>
      <w:r w:rsidRPr="00B62886">
        <w:rPr>
          <w:szCs w:val="20"/>
        </w:rPr>
        <w:t xml:space="preserve">Acide perchlorique </w:t>
      </w:r>
      <w:r w:rsidRPr="00B62886">
        <w:rPr>
          <w:szCs w:val="20"/>
          <w:lang w:val="fr-CH"/>
        </w:rPr>
        <w:t>40</w:t>
      </w:r>
      <w:r w:rsidR="009D6D6A">
        <w:rPr>
          <w:szCs w:val="20"/>
          <w:lang w:val="fr-CH"/>
        </w:rPr>
        <w:t> </w:t>
      </w:r>
      <w:r w:rsidRPr="00B62886">
        <w:rPr>
          <w:szCs w:val="20"/>
          <w:lang w:val="fr-CH"/>
        </w:rPr>
        <w:t xml:space="preserve">% </w:t>
      </w:r>
      <w:r w:rsidRPr="00B62886">
        <w:rPr>
          <w:szCs w:val="20"/>
          <w:lang w:val="fr-CH"/>
        </w:rPr>
        <w:tab/>
      </w:r>
      <w:r w:rsidRPr="00B62886">
        <w:rPr>
          <w:szCs w:val="20"/>
          <w:lang w:val="fr-CH"/>
        </w:rPr>
        <w:tab/>
      </w:r>
      <w:r w:rsidR="00DA4C19">
        <w:rPr>
          <w:szCs w:val="20"/>
          <w:lang w:val="fr-CH"/>
        </w:rPr>
        <w:tab/>
      </w:r>
      <w:r w:rsidR="00DA4C19">
        <w:rPr>
          <w:szCs w:val="20"/>
          <w:lang w:val="fr-CH"/>
        </w:rPr>
        <w:tab/>
      </w:r>
      <w:r w:rsidR="00DA4C19">
        <w:rPr>
          <w:szCs w:val="20"/>
          <w:lang w:val="fr-CH"/>
        </w:rPr>
        <w:tab/>
      </w:r>
      <w:r w:rsidR="00DA4C19">
        <w:rPr>
          <w:szCs w:val="20"/>
          <w:lang w:val="fr-CH"/>
        </w:rPr>
        <w:tab/>
      </w:r>
      <w:r w:rsidRPr="00B62886">
        <w:rPr>
          <w:szCs w:val="20"/>
          <w:lang w:val="fr-CH"/>
        </w:rPr>
        <w:t>Div. 5.1 GE II,</w:t>
      </w:r>
    </w:p>
    <w:p w:rsidR="00201EDB" w:rsidRPr="00B62886" w:rsidRDefault="00201EDB" w:rsidP="00DA4C19">
      <w:pPr>
        <w:pStyle w:val="Bullet2"/>
        <w:ind w:left="2217" w:hanging="130"/>
        <w:rPr>
          <w:szCs w:val="20"/>
          <w:lang w:val="fr-CH"/>
        </w:rPr>
      </w:pPr>
      <w:r w:rsidRPr="00B62886">
        <w:rPr>
          <w:szCs w:val="20"/>
          <w:lang w:val="fr-CH"/>
        </w:rPr>
        <w:t xml:space="preserve">Nitrate de </w:t>
      </w:r>
      <w:r w:rsidR="009D6D6A">
        <w:rPr>
          <w:szCs w:val="20"/>
          <w:lang w:val="fr-CH"/>
        </w:rPr>
        <w:t>sodium en solution aqueuse à 45 </w:t>
      </w:r>
      <w:r w:rsidRPr="00B62886">
        <w:rPr>
          <w:szCs w:val="20"/>
          <w:lang w:val="fr-CH"/>
        </w:rPr>
        <w:t xml:space="preserve">% </w:t>
      </w:r>
      <w:r w:rsidRPr="00B62886">
        <w:rPr>
          <w:szCs w:val="20"/>
          <w:lang w:val="fr-CH"/>
        </w:rPr>
        <w:tab/>
      </w:r>
      <w:r w:rsidRPr="00B62886">
        <w:rPr>
          <w:szCs w:val="20"/>
          <w:lang w:val="fr-CH"/>
        </w:rPr>
        <w:tab/>
        <w:t>Pas div. 5.1.</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Il a été jugé à ce stade que les celluloses ARBOCEL B00 et TECHNOCEL 150 donnaient des résultats de qualité équivalente à celle obtenue avec la cellulose WHATMAN CF11. Cela a été perçu comme un encouragement à entamer l’étape suivante (voir par.</w:t>
      </w:r>
      <w:r w:rsidR="00174FE4" w:rsidRPr="00B62886">
        <w:rPr>
          <w:szCs w:val="20"/>
          <w:lang w:val="fr-CH"/>
        </w:rPr>
        <w:t> </w:t>
      </w:r>
      <w:r w:rsidRPr="00B62886">
        <w:rPr>
          <w:szCs w:val="20"/>
          <w:lang w:val="fr-CH"/>
        </w:rPr>
        <w:t xml:space="preserve">10 à 14). </w:t>
      </w:r>
    </w:p>
    <w:p w:rsidR="00201EDB" w:rsidRDefault="00201EDB" w:rsidP="0022434A">
      <w:pPr>
        <w:pStyle w:val="SingleTxt"/>
        <w:numPr>
          <w:ilvl w:val="0"/>
          <w:numId w:val="8"/>
        </w:numPr>
        <w:tabs>
          <w:tab w:val="clear" w:pos="475"/>
          <w:tab w:val="num" w:pos="1742"/>
        </w:tabs>
        <w:ind w:left="1267"/>
        <w:rPr>
          <w:sz w:val="22"/>
          <w:lang w:val="fr-CH"/>
        </w:rPr>
      </w:pPr>
      <w:r w:rsidRPr="00B62886">
        <w:rPr>
          <w:szCs w:val="20"/>
          <w:lang w:val="fr-CH"/>
        </w:rPr>
        <w:t>Les valeurs figurant au tableau 1 seront révisées pour tenir compte des derniers résultats. Une proposition pourra ensuite être faite en vue de procéder à quelques ajustements concernant les temps pris comme références pour la classification lorsque les temps obtenus avec les celluloses de substitution sont comparés à ceux obtenus avec la cellulose WHATMAN CF11 pour les matières de référence</w:t>
      </w:r>
      <w:r w:rsidRPr="009E6448">
        <w:rPr>
          <w:sz w:val="22"/>
          <w:lang w:val="fr-CH"/>
        </w:rPr>
        <w:t>.</w:t>
      </w:r>
    </w:p>
    <w:p w:rsidR="00174FE4" w:rsidRPr="00174FE4" w:rsidRDefault="00174FE4" w:rsidP="00174FE4">
      <w:pPr>
        <w:pStyle w:val="SingleTxt"/>
        <w:spacing w:after="0" w:line="120" w:lineRule="exact"/>
        <w:rPr>
          <w:sz w:val="10"/>
          <w:lang w:val="fr-CH"/>
        </w:rPr>
      </w:pPr>
    </w:p>
    <w:p w:rsidR="00174FE4" w:rsidRPr="00174FE4" w:rsidRDefault="00174FE4" w:rsidP="00174FE4">
      <w:pPr>
        <w:pStyle w:val="SingleTxt"/>
        <w:spacing w:after="0" w:line="120" w:lineRule="exact"/>
        <w:rPr>
          <w:sz w:val="10"/>
          <w:lang w:val="fr-CH"/>
        </w:rPr>
      </w:pPr>
    </w:p>
    <w:p w:rsidR="00201EDB" w:rsidRDefault="00174FE4" w:rsidP="00174F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201EDB">
        <w:rPr>
          <w:lang w:val="fr-CH"/>
        </w:rPr>
        <w:t>Étape</w:t>
      </w:r>
      <w:r w:rsidR="00201EDB" w:rsidRPr="009E6448">
        <w:rPr>
          <w:lang w:val="fr-CH"/>
        </w:rPr>
        <w:t xml:space="preserve"> 2</w:t>
      </w:r>
      <w:r>
        <w:rPr>
          <w:lang w:val="fr-CH"/>
        </w:rPr>
        <w:t> </w:t>
      </w:r>
      <w:r w:rsidR="00201EDB" w:rsidRPr="009E6448">
        <w:rPr>
          <w:lang w:val="fr-CH"/>
        </w:rPr>
        <w:t xml:space="preserve">: </w:t>
      </w:r>
      <w:r>
        <w:rPr>
          <w:lang w:val="fr-CH"/>
        </w:rPr>
        <w:t>« </w:t>
      </w:r>
      <w:r w:rsidR="00201EDB" w:rsidRPr="009E6448">
        <w:rPr>
          <w:lang w:val="fr-CH"/>
        </w:rPr>
        <w:t>Épreuve O.3</w:t>
      </w:r>
      <w:r>
        <w:rPr>
          <w:lang w:val="fr-CH"/>
        </w:rPr>
        <w:t> </w:t>
      </w:r>
      <w:r w:rsidR="00201EDB">
        <w:rPr>
          <w:lang w:val="fr-CH"/>
        </w:rPr>
        <w:t>:</w:t>
      </w:r>
      <w:r w:rsidR="00201EDB" w:rsidRPr="009E6448">
        <w:rPr>
          <w:lang w:val="fr-CH"/>
        </w:rPr>
        <w:t xml:space="preserve"> (Épreuve pour les matières solides </w:t>
      </w:r>
      <w:r>
        <w:rPr>
          <w:lang w:val="fr-CH"/>
        </w:rPr>
        <w:br/>
      </w:r>
      <w:r w:rsidR="00201EDB" w:rsidRPr="009E6448">
        <w:rPr>
          <w:lang w:val="fr-CH"/>
        </w:rPr>
        <w:t>comburantes)</w:t>
      </w:r>
      <w:r>
        <w:rPr>
          <w:lang w:val="fr-CH"/>
        </w:rPr>
        <w:t> »</w:t>
      </w:r>
    </w:p>
    <w:p w:rsidR="00174FE4" w:rsidRPr="00174FE4" w:rsidRDefault="00174FE4" w:rsidP="00174FE4">
      <w:pPr>
        <w:pStyle w:val="SingleTxt"/>
        <w:spacing w:after="0" w:line="120" w:lineRule="exact"/>
        <w:rPr>
          <w:sz w:val="10"/>
          <w:lang w:val="fr-CH"/>
        </w:rPr>
      </w:pPr>
    </w:p>
    <w:p w:rsidR="00174FE4" w:rsidRPr="00174FE4" w:rsidRDefault="00174FE4" w:rsidP="00174FE4">
      <w:pPr>
        <w:pStyle w:val="SingleTxt"/>
        <w:spacing w:after="0" w:line="120" w:lineRule="exact"/>
        <w:rPr>
          <w:sz w:val="10"/>
          <w:lang w:val="fr-CH"/>
        </w:rPr>
      </w:pPr>
    </w:p>
    <w:p w:rsidR="00201EDB" w:rsidRPr="00B62886" w:rsidRDefault="00174FE4" w:rsidP="0022434A">
      <w:pPr>
        <w:pStyle w:val="SingleTxt"/>
        <w:numPr>
          <w:ilvl w:val="0"/>
          <w:numId w:val="8"/>
        </w:numPr>
        <w:tabs>
          <w:tab w:val="clear" w:pos="475"/>
          <w:tab w:val="num" w:pos="1742"/>
        </w:tabs>
        <w:ind w:left="1267"/>
        <w:rPr>
          <w:szCs w:val="20"/>
          <w:lang w:val="fr-CH"/>
        </w:rPr>
      </w:pPr>
      <w:r>
        <w:rPr>
          <w:sz w:val="22"/>
          <w:lang w:val="fr-CH"/>
        </w:rPr>
        <w:t>À</w:t>
      </w:r>
      <w:r w:rsidR="00201EDB" w:rsidRPr="00135EEA">
        <w:rPr>
          <w:sz w:val="22"/>
          <w:lang w:val="fr-CH"/>
        </w:rPr>
        <w:t xml:space="preserve"> la suite de l</w:t>
      </w:r>
      <w:r w:rsidR="00201EDB">
        <w:rPr>
          <w:sz w:val="22"/>
          <w:lang w:val="fr-CH"/>
        </w:rPr>
        <w:t>’</w:t>
      </w:r>
      <w:r w:rsidR="00201EDB" w:rsidRPr="00135EEA">
        <w:rPr>
          <w:sz w:val="22"/>
          <w:lang w:val="fr-CH"/>
        </w:rPr>
        <w:t xml:space="preserve">étape </w:t>
      </w:r>
      <w:r w:rsidR="009D6D6A">
        <w:rPr>
          <w:sz w:val="22"/>
          <w:lang w:val="fr-CH"/>
        </w:rPr>
        <w:t>1 (voir par. </w:t>
      </w:r>
      <w:r w:rsidR="00201EDB" w:rsidRPr="00135EEA">
        <w:rPr>
          <w:sz w:val="22"/>
          <w:lang w:val="fr-CH"/>
        </w:rPr>
        <w:t>4 à 9), l</w:t>
      </w:r>
      <w:r w:rsidR="00201EDB">
        <w:rPr>
          <w:sz w:val="22"/>
          <w:lang w:val="fr-CH"/>
        </w:rPr>
        <w:t>’</w:t>
      </w:r>
      <w:r w:rsidR="00201EDB" w:rsidRPr="00135EEA">
        <w:rPr>
          <w:sz w:val="22"/>
          <w:lang w:val="fr-CH"/>
        </w:rPr>
        <w:t xml:space="preserve">INERIS a retenu deux des trois </w:t>
      </w:r>
      <w:r w:rsidR="00201EDB" w:rsidRPr="00B62886">
        <w:rPr>
          <w:szCs w:val="20"/>
          <w:lang w:val="fr-CH"/>
        </w:rPr>
        <w:t>celluloses candidates comme remplaçantes potentielles de la cellulose WHATMAN CF11.</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Deux autres laboratoires ont fait part de leur souhait de se joindre au programme pour participer à l’étape 2, ce qui porte le nombre de participants à 13 laboratoires de 9 pays.</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Un projet de programme </w:t>
      </w:r>
      <w:proofErr w:type="spellStart"/>
      <w:r w:rsidRPr="00B62886">
        <w:rPr>
          <w:szCs w:val="20"/>
          <w:lang w:val="fr-CH"/>
        </w:rPr>
        <w:t>interlaboratoires</w:t>
      </w:r>
      <w:proofErr w:type="spellEnd"/>
      <w:r w:rsidRPr="00B62886">
        <w:rPr>
          <w:szCs w:val="20"/>
          <w:lang w:val="fr-CH"/>
        </w:rPr>
        <w:t xml:space="preserve"> pour l’épreuve O.3 (étape 2) a été distribué aux participants en août 2015. Le programme final approuvé, basé sur les observations reçues, a été publié et des échantillons des deux celluloses (TECHNOCEL 150 et ARBOCEL B00) ont été envoyés aux laboratoires participants au début septembre 2015.</w:t>
      </w:r>
    </w:p>
    <w:p w:rsidR="00201EDB"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Les résultats d’ensemble communiqués par les laboratoires participants sont attendus d’ici </w:t>
      </w:r>
      <w:r w:rsidR="00DA4C19">
        <w:rPr>
          <w:szCs w:val="20"/>
          <w:lang w:val="fr-CH"/>
        </w:rPr>
        <w:t xml:space="preserve">à </w:t>
      </w:r>
      <w:r w:rsidRPr="00B62886">
        <w:rPr>
          <w:szCs w:val="20"/>
          <w:lang w:val="fr-CH"/>
        </w:rPr>
        <w:t>novembre 2015 afin de pouvoir être présentés aux Sous-</w:t>
      </w:r>
      <w:r w:rsidR="00DA4C19">
        <w:rPr>
          <w:szCs w:val="20"/>
          <w:lang w:val="fr-CH"/>
        </w:rPr>
        <w:t>C</w:t>
      </w:r>
      <w:r w:rsidRPr="00B62886">
        <w:rPr>
          <w:szCs w:val="20"/>
          <w:lang w:val="fr-CH"/>
        </w:rPr>
        <w:t>omités en novembre/décembre.</w:t>
      </w:r>
    </w:p>
    <w:p w:rsidR="00BD6BA2" w:rsidRPr="00B62886" w:rsidRDefault="00201EDB" w:rsidP="0022434A">
      <w:pPr>
        <w:pStyle w:val="SingleTxt"/>
        <w:numPr>
          <w:ilvl w:val="0"/>
          <w:numId w:val="8"/>
        </w:numPr>
        <w:tabs>
          <w:tab w:val="clear" w:pos="475"/>
          <w:tab w:val="num" w:pos="1742"/>
        </w:tabs>
        <w:ind w:left="1267"/>
        <w:rPr>
          <w:szCs w:val="20"/>
          <w:lang w:val="fr-CH"/>
        </w:rPr>
      </w:pPr>
      <w:r w:rsidRPr="00B62886">
        <w:rPr>
          <w:szCs w:val="20"/>
          <w:lang w:val="fr-CH"/>
        </w:rPr>
        <w:t xml:space="preserve">Les prochaines étapes du programme </w:t>
      </w:r>
      <w:proofErr w:type="spellStart"/>
      <w:r w:rsidRPr="00B62886">
        <w:rPr>
          <w:szCs w:val="20"/>
          <w:lang w:val="fr-CH"/>
        </w:rPr>
        <w:t>interlaboratoires</w:t>
      </w:r>
      <w:proofErr w:type="spellEnd"/>
      <w:r w:rsidRPr="00B62886">
        <w:rPr>
          <w:szCs w:val="20"/>
          <w:lang w:val="fr-CH"/>
        </w:rPr>
        <w:t xml:space="preserve"> sont exposées dans le do</w:t>
      </w:r>
      <w:r w:rsidR="00DA4C19">
        <w:rPr>
          <w:szCs w:val="20"/>
          <w:lang w:val="fr-CH"/>
        </w:rPr>
        <w:t>cument ST/SG/AC.10/C.4/2014/95-</w:t>
      </w:r>
      <w:r w:rsidRPr="00B62886">
        <w:rPr>
          <w:szCs w:val="20"/>
          <w:lang w:val="fr-CH"/>
        </w:rPr>
        <w:t>ST/SG/AC.10/C.3/2014/19, dans le tableau du paragraphe 1.</w:t>
      </w:r>
    </w:p>
    <w:p w:rsidR="00201EDB" w:rsidRPr="00201EDB" w:rsidRDefault="00201EDB" w:rsidP="00201ED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01EDB" w:rsidRPr="00201EDB" w:rsidSect="00BD6BA2">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ED" w:rsidRDefault="005660ED" w:rsidP="00F3330B">
      <w:pPr>
        <w:spacing w:line="240" w:lineRule="auto"/>
      </w:pPr>
      <w:r>
        <w:separator/>
      </w:r>
    </w:p>
  </w:endnote>
  <w:endnote w:type="continuationSeparator" w:id="0">
    <w:p w:rsidR="005660ED" w:rsidRDefault="005660E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D6BA2" w:rsidTr="00BD6BA2">
      <w:trPr>
        <w:jc w:val="center"/>
      </w:trPr>
      <w:tc>
        <w:tcPr>
          <w:tcW w:w="5126" w:type="dxa"/>
          <w:shd w:val="clear" w:color="auto" w:fill="auto"/>
        </w:tcPr>
        <w:p w:rsidR="00BD6BA2" w:rsidRPr="00BD6BA2" w:rsidRDefault="00BD6BA2" w:rsidP="00BD6B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090">
            <w:rPr>
              <w:b w:val="0"/>
              <w:w w:val="103"/>
              <w:sz w:val="14"/>
            </w:rPr>
            <w:t>GE.15-15218</w:t>
          </w:r>
          <w:r>
            <w:rPr>
              <w:b w:val="0"/>
              <w:w w:val="103"/>
              <w:sz w:val="14"/>
            </w:rPr>
            <w:fldChar w:fldCharType="end"/>
          </w:r>
        </w:p>
      </w:tc>
      <w:tc>
        <w:tcPr>
          <w:tcW w:w="5127" w:type="dxa"/>
          <w:shd w:val="clear" w:color="auto" w:fill="auto"/>
        </w:tcPr>
        <w:p w:rsidR="00BD6BA2" w:rsidRPr="00BD6BA2" w:rsidRDefault="00BD6BA2" w:rsidP="00BD6BA2">
          <w:pPr>
            <w:pStyle w:val="Footer"/>
            <w:rPr>
              <w:w w:val="103"/>
            </w:rPr>
          </w:pPr>
          <w:r>
            <w:rPr>
              <w:w w:val="103"/>
            </w:rPr>
            <w:fldChar w:fldCharType="begin"/>
          </w:r>
          <w:r>
            <w:rPr>
              <w:w w:val="103"/>
            </w:rPr>
            <w:instrText xml:space="preserve"> PAGE  \* Arabic  \* MERGEFORMAT </w:instrText>
          </w:r>
          <w:r>
            <w:rPr>
              <w:w w:val="103"/>
            </w:rPr>
            <w:fldChar w:fldCharType="separate"/>
          </w:r>
          <w:r w:rsidR="00B6309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3090">
            <w:rPr>
              <w:noProof/>
              <w:w w:val="103"/>
            </w:rPr>
            <w:t>3</w:t>
          </w:r>
          <w:r>
            <w:rPr>
              <w:w w:val="103"/>
            </w:rPr>
            <w:fldChar w:fldCharType="end"/>
          </w:r>
        </w:p>
      </w:tc>
    </w:tr>
  </w:tbl>
  <w:p w:rsidR="00BD6BA2" w:rsidRPr="00BD6BA2" w:rsidRDefault="00BD6BA2" w:rsidP="00BD6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D6BA2" w:rsidTr="00BD6BA2">
      <w:trPr>
        <w:jc w:val="center"/>
      </w:trPr>
      <w:tc>
        <w:tcPr>
          <w:tcW w:w="5126" w:type="dxa"/>
          <w:shd w:val="clear" w:color="auto" w:fill="auto"/>
        </w:tcPr>
        <w:p w:rsidR="00BD6BA2" w:rsidRPr="00BD6BA2" w:rsidRDefault="00BD6BA2" w:rsidP="00BD6BA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6309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3090">
            <w:rPr>
              <w:noProof/>
              <w:w w:val="103"/>
            </w:rPr>
            <w:t>3</w:t>
          </w:r>
          <w:r>
            <w:rPr>
              <w:w w:val="103"/>
            </w:rPr>
            <w:fldChar w:fldCharType="end"/>
          </w:r>
        </w:p>
      </w:tc>
      <w:tc>
        <w:tcPr>
          <w:tcW w:w="5127" w:type="dxa"/>
          <w:shd w:val="clear" w:color="auto" w:fill="auto"/>
        </w:tcPr>
        <w:p w:rsidR="00BD6BA2" w:rsidRPr="00BD6BA2" w:rsidRDefault="00BD6BA2" w:rsidP="00BD6B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090">
            <w:rPr>
              <w:b w:val="0"/>
              <w:w w:val="103"/>
              <w:sz w:val="14"/>
            </w:rPr>
            <w:t>GE.15-15218</w:t>
          </w:r>
          <w:r>
            <w:rPr>
              <w:b w:val="0"/>
              <w:w w:val="103"/>
              <w:sz w:val="14"/>
            </w:rPr>
            <w:fldChar w:fldCharType="end"/>
          </w:r>
        </w:p>
      </w:tc>
    </w:tr>
  </w:tbl>
  <w:p w:rsidR="00BD6BA2" w:rsidRPr="00BD6BA2" w:rsidRDefault="00BD6BA2" w:rsidP="00BD6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2" w:rsidRDefault="00BD6BA2">
    <w:pPr>
      <w:pStyle w:val="Footer"/>
    </w:pPr>
    <w:r>
      <w:rPr>
        <w:noProof/>
        <w:lang w:val="en-GB" w:eastAsia="en-GB"/>
      </w:rPr>
      <w:drawing>
        <wp:anchor distT="0" distB="0" distL="114300" distR="114300" simplePos="0" relativeHeight="251658240" behindDoc="0" locked="0" layoutInCell="1" allowOverlap="1" wp14:anchorId="3989EC36" wp14:editId="7B37A59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D6BA2" w:rsidTr="00BD6BA2">
      <w:tc>
        <w:tcPr>
          <w:tcW w:w="3859" w:type="dxa"/>
        </w:tcPr>
        <w:p w:rsidR="00BD6BA2" w:rsidRDefault="00BD6BA2" w:rsidP="00BD6BA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63090">
            <w:rPr>
              <w:b w:val="0"/>
              <w:sz w:val="20"/>
            </w:rPr>
            <w:t>GE.15-15218 (F)</w:t>
          </w:r>
          <w:r>
            <w:rPr>
              <w:b w:val="0"/>
              <w:sz w:val="20"/>
            </w:rPr>
            <w:fldChar w:fldCharType="end"/>
          </w:r>
          <w:r>
            <w:rPr>
              <w:b w:val="0"/>
              <w:sz w:val="20"/>
            </w:rPr>
            <w:t xml:space="preserve">    111115    1</w:t>
          </w:r>
          <w:r w:rsidR="00DA4C19">
            <w:rPr>
              <w:b w:val="0"/>
              <w:sz w:val="20"/>
            </w:rPr>
            <w:t>2</w:t>
          </w:r>
          <w:r>
            <w:rPr>
              <w:b w:val="0"/>
              <w:sz w:val="20"/>
            </w:rPr>
            <w:t>1115</w:t>
          </w:r>
        </w:p>
        <w:p w:rsidR="00BD6BA2" w:rsidRPr="00BD6BA2" w:rsidRDefault="00BD6BA2" w:rsidP="00BD6BA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63090">
            <w:rPr>
              <w:rFonts w:ascii="Barcode 3 of 9 by request" w:hAnsi="Barcode 3 of 9 by request"/>
              <w:b w:val="0"/>
              <w:spacing w:val="0"/>
              <w:w w:val="100"/>
              <w:sz w:val="24"/>
            </w:rPr>
            <w:t>*1515218*</w:t>
          </w:r>
          <w:r>
            <w:rPr>
              <w:rFonts w:ascii="Barcode 3 of 9 by request" w:hAnsi="Barcode 3 of 9 by request"/>
              <w:b w:val="0"/>
              <w:spacing w:val="0"/>
              <w:w w:val="100"/>
              <w:sz w:val="24"/>
            </w:rPr>
            <w:fldChar w:fldCharType="end"/>
          </w:r>
        </w:p>
      </w:tc>
      <w:tc>
        <w:tcPr>
          <w:tcW w:w="5127" w:type="dxa"/>
        </w:tcPr>
        <w:p w:rsidR="00BD6BA2" w:rsidRDefault="00BD6BA2" w:rsidP="00BD6BA2">
          <w:pPr>
            <w:pStyle w:val="Footer"/>
            <w:spacing w:line="240" w:lineRule="atLeast"/>
            <w:jc w:val="right"/>
            <w:rPr>
              <w:b w:val="0"/>
              <w:sz w:val="20"/>
            </w:rPr>
          </w:pPr>
          <w:r>
            <w:rPr>
              <w:b w:val="0"/>
              <w:noProof/>
              <w:sz w:val="20"/>
              <w:lang w:val="en-GB" w:eastAsia="en-GB"/>
            </w:rPr>
            <w:drawing>
              <wp:inline distT="0" distB="0" distL="0" distR="0" wp14:anchorId="20D860C2" wp14:editId="2804B04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D6BA2" w:rsidRPr="00BD6BA2" w:rsidRDefault="00BD6BA2" w:rsidP="00BD6BA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ED" w:rsidRPr="00FE4373" w:rsidRDefault="00FE4373" w:rsidP="00FE4373">
      <w:pPr>
        <w:pStyle w:val="Footer"/>
        <w:spacing w:after="80"/>
        <w:ind w:left="792"/>
        <w:rPr>
          <w:sz w:val="16"/>
        </w:rPr>
      </w:pPr>
      <w:r w:rsidRPr="00FE4373">
        <w:rPr>
          <w:sz w:val="16"/>
        </w:rPr>
        <w:t>__________________</w:t>
      </w:r>
    </w:p>
  </w:footnote>
  <w:footnote w:type="continuationSeparator" w:id="0">
    <w:p w:rsidR="005660ED" w:rsidRPr="00FE4373" w:rsidRDefault="00FE4373" w:rsidP="00FE4373">
      <w:pPr>
        <w:pStyle w:val="Footer"/>
        <w:spacing w:after="80"/>
        <w:ind w:left="792"/>
        <w:rPr>
          <w:sz w:val="16"/>
        </w:rPr>
      </w:pPr>
      <w:r w:rsidRPr="00FE4373">
        <w:rPr>
          <w:sz w:val="16"/>
        </w:rPr>
        <w:t>__________________</w:t>
      </w:r>
    </w:p>
  </w:footnote>
  <w:footnote w:id="1">
    <w:p w:rsidR="00FE4373" w:rsidRPr="00FE4373" w:rsidRDefault="00FE4373" w:rsidP="00FE4373">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7E6AA5">
        <w:rPr>
          <w:lang w:val="fr-CH"/>
        </w:rPr>
        <w:t>Conformément au programme de travail du Sous-Comité pour la période 2015</w:t>
      </w:r>
      <w:r w:rsidRPr="007E6AA5">
        <w:rPr>
          <w:lang w:val="fr-CH"/>
        </w:rPr>
        <w:noBreakHyphen/>
        <w:t>2016 adopté par le Comité à sa septième session</w:t>
      </w:r>
      <w:r>
        <w:rPr>
          <w:lang w:val="fr-CH"/>
        </w:rPr>
        <w:t xml:space="preserve"> (voir ST/SG/AC.10/C.3/92, par. </w:t>
      </w:r>
      <w:r w:rsidRPr="007E6AA5">
        <w:rPr>
          <w:lang w:val="fr-CH"/>
        </w:rPr>
        <w:t>95, et ST/SG/AC.10/42, par.</w:t>
      </w:r>
      <w:r>
        <w:rPr>
          <w:lang w:val="fr-CH"/>
        </w:rPr>
        <w:t> </w:t>
      </w:r>
      <w: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6BA2" w:rsidRPr="000E1689" w:rsidTr="00BD6BA2">
      <w:trPr>
        <w:trHeight w:hRule="exact" w:val="864"/>
        <w:jc w:val="center"/>
      </w:trPr>
      <w:tc>
        <w:tcPr>
          <w:tcW w:w="4882" w:type="dxa"/>
          <w:shd w:val="clear" w:color="auto" w:fill="auto"/>
          <w:vAlign w:val="bottom"/>
        </w:tcPr>
        <w:p w:rsidR="00BD6BA2" w:rsidRPr="00BD6BA2" w:rsidRDefault="00BD6BA2" w:rsidP="00BD6BA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3090">
            <w:rPr>
              <w:b/>
              <w:color w:val="000000"/>
            </w:rPr>
            <w:t>ST/SG/AC.10/C.3/2015/49</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B63090">
            <w:rPr>
              <w:b/>
              <w:color w:val="000000"/>
            </w:rPr>
            <w:t>ST/SG/AC.10/C.4/2015/12</w:t>
          </w:r>
          <w:r>
            <w:rPr>
              <w:b/>
              <w:color w:val="000000"/>
            </w:rPr>
            <w:fldChar w:fldCharType="end"/>
          </w:r>
        </w:p>
      </w:tc>
      <w:tc>
        <w:tcPr>
          <w:tcW w:w="5127" w:type="dxa"/>
          <w:shd w:val="clear" w:color="auto" w:fill="auto"/>
          <w:vAlign w:val="bottom"/>
        </w:tcPr>
        <w:p w:rsidR="00BD6BA2" w:rsidRDefault="00BD6BA2" w:rsidP="00BD6BA2">
          <w:pPr>
            <w:pStyle w:val="Header"/>
          </w:pPr>
        </w:p>
      </w:tc>
    </w:tr>
  </w:tbl>
  <w:p w:rsidR="00BD6BA2" w:rsidRPr="00BD6BA2" w:rsidRDefault="00BD6BA2" w:rsidP="00BD6BA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D6BA2" w:rsidRPr="000E1689" w:rsidTr="00BD6BA2">
      <w:trPr>
        <w:trHeight w:hRule="exact" w:val="864"/>
        <w:jc w:val="center"/>
      </w:trPr>
      <w:tc>
        <w:tcPr>
          <w:tcW w:w="4882" w:type="dxa"/>
          <w:shd w:val="clear" w:color="auto" w:fill="auto"/>
          <w:vAlign w:val="bottom"/>
        </w:tcPr>
        <w:p w:rsidR="00BD6BA2" w:rsidRDefault="00BD6BA2" w:rsidP="00BD6BA2">
          <w:pPr>
            <w:pStyle w:val="Header"/>
          </w:pPr>
        </w:p>
      </w:tc>
      <w:tc>
        <w:tcPr>
          <w:tcW w:w="5127" w:type="dxa"/>
          <w:shd w:val="clear" w:color="auto" w:fill="auto"/>
          <w:vAlign w:val="bottom"/>
        </w:tcPr>
        <w:p w:rsidR="00BD6BA2" w:rsidRPr="00BD6BA2" w:rsidRDefault="00BD6BA2" w:rsidP="00BD6BA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3090">
            <w:rPr>
              <w:b/>
              <w:color w:val="000000"/>
            </w:rPr>
            <w:t>ST/SG/AC.10/C.3/2015/49</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B63090">
            <w:rPr>
              <w:b/>
              <w:color w:val="000000"/>
            </w:rPr>
            <w:t>ST/SG/AC.10/C.4/2015/12</w:t>
          </w:r>
          <w:r>
            <w:rPr>
              <w:b/>
              <w:color w:val="000000"/>
            </w:rPr>
            <w:fldChar w:fldCharType="end"/>
          </w:r>
        </w:p>
      </w:tc>
    </w:tr>
  </w:tbl>
  <w:p w:rsidR="00BD6BA2" w:rsidRPr="00BD6BA2" w:rsidRDefault="00BD6BA2" w:rsidP="00BD6BA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D6BA2" w:rsidRPr="000E1689" w:rsidTr="00BD6BA2">
      <w:trPr>
        <w:trHeight w:hRule="exact" w:val="864"/>
      </w:trPr>
      <w:tc>
        <w:tcPr>
          <w:tcW w:w="1267" w:type="dxa"/>
          <w:tcBorders>
            <w:bottom w:val="single" w:sz="4" w:space="0" w:color="auto"/>
          </w:tcBorders>
          <w:shd w:val="clear" w:color="auto" w:fill="auto"/>
          <w:vAlign w:val="bottom"/>
        </w:tcPr>
        <w:p w:rsidR="00BD6BA2" w:rsidRDefault="00BD6BA2" w:rsidP="00BD6BA2">
          <w:pPr>
            <w:pStyle w:val="Header"/>
            <w:spacing w:after="120"/>
          </w:pPr>
        </w:p>
      </w:tc>
      <w:tc>
        <w:tcPr>
          <w:tcW w:w="2059" w:type="dxa"/>
          <w:tcBorders>
            <w:bottom w:val="single" w:sz="4" w:space="0" w:color="auto"/>
          </w:tcBorders>
          <w:shd w:val="clear" w:color="auto" w:fill="auto"/>
          <w:vAlign w:val="bottom"/>
        </w:tcPr>
        <w:p w:rsidR="00BD6BA2" w:rsidRPr="00BD6BA2" w:rsidRDefault="00BD6BA2" w:rsidP="00BD6BA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D6BA2" w:rsidRDefault="00BD6BA2" w:rsidP="00BD6BA2">
          <w:pPr>
            <w:pStyle w:val="Header"/>
            <w:spacing w:after="120"/>
          </w:pPr>
        </w:p>
      </w:tc>
      <w:tc>
        <w:tcPr>
          <w:tcW w:w="6653" w:type="dxa"/>
          <w:gridSpan w:val="4"/>
          <w:tcBorders>
            <w:bottom w:val="single" w:sz="4" w:space="0" w:color="auto"/>
          </w:tcBorders>
          <w:shd w:val="clear" w:color="auto" w:fill="auto"/>
          <w:vAlign w:val="bottom"/>
        </w:tcPr>
        <w:p w:rsidR="00BD6BA2" w:rsidRPr="00B93F33" w:rsidRDefault="00BD6BA2" w:rsidP="00BD6BA2">
          <w:pPr>
            <w:spacing w:after="80" w:line="240" w:lineRule="auto"/>
            <w:jc w:val="right"/>
            <w:rPr>
              <w:position w:val="-4"/>
              <w:lang w:val="en-US"/>
            </w:rPr>
          </w:pPr>
          <w:r w:rsidRPr="00B93F33">
            <w:rPr>
              <w:position w:val="-4"/>
              <w:sz w:val="40"/>
              <w:lang w:val="en-US"/>
            </w:rPr>
            <w:t>ST</w:t>
          </w:r>
          <w:r w:rsidRPr="00B93F33">
            <w:rPr>
              <w:position w:val="-4"/>
              <w:lang w:val="en-US"/>
            </w:rPr>
            <w:t>/SG/AC.10/C.3/2015/49–</w:t>
          </w:r>
          <w:r w:rsidRPr="00B93F33">
            <w:rPr>
              <w:position w:val="-4"/>
              <w:sz w:val="40"/>
              <w:lang w:val="en-US"/>
            </w:rPr>
            <w:t>ST</w:t>
          </w:r>
          <w:r w:rsidRPr="00B93F33">
            <w:rPr>
              <w:position w:val="-4"/>
              <w:lang w:val="en-US"/>
            </w:rPr>
            <w:t>/SG/AC.10/C.4/2015/12</w:t>
          </w:r>
        </w:p>
      </w:tc>
    </w:tr>
    <w:tr w:rsidR="00BD6BA2" w:rsidRPr="00BD6BA2" w:rsidTr="00BD6BA2">
      <w:trPr>
        <w:gridAfter w:val="1"/>
        <w:wAfter w:w="18" w:type="dxa"/>
        <w:trHeight w:hRule="exact" w:val="2880"/>
      </w:trPr>
      <w:tc>
        <w:tcPr>
          <w:tcW w:w="1267" w:type="dxa"/>
          <w:tcBorders>
            <w:top w:val="single" w:sz="4" w:space="0" w:color="auto"/>
            <w:bottom w:val="single" w:sz="12" w:space="0" w:color="auto"/>
          </w:tcBorders>
          <w:shd w:val="clear" w:color="auto" w:fill="auto"/>
        </w:tcPr>
        <w:p w:rsidR="00BD6BA2" w:rsidRPr="00BD6BA2" w:rsidRDefault="00BD6BA2" w:rsidP="00BD6BA2">
          <w:pPr>
            <w:pStyle w:val="Header"/>
            <w:spacing w:before="120" w:line="240" w:lineRule="auto"/>
            <w:ind w:left="-72"/>
            <w:jc w:val="center"/>
          </w:pPr>
          <w:r>
            <w:t xml:space="preserve">  </w:t>
          </w:r>
          <w:r>
            <w:rPr>
              <w:noProof/>
              <w:lang w:val="en-GB" w:eastAsia="en-GB"/>
            </w:rPr>
            <w:drawing>
              <wp:inline distT="0" distB="0" distL="0" distR="0" wp14:anchorId="20CAF8BE" wp14:editId="25B55BA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D6BA2" w:rsidRPr="00BD6BA2" w:rsidRDefault="00BD6BA2" w:rsidP="00BD6BA2">
          <w:pPr>
            <w:pStyle w:val="XLarge"/>
            <w:spacing w:before="109"/>
          </w:pPr>
          <w:r>
            <w:t>Secrétariat</w:t>
          </w:r>
        </w:p>
      </w:tc>
      <w:tc>
        <w:tcPr>
          <w:tcW w:w="245" w:type="dxa"/>
          <w:tcBorders>
            <w:top w:val="single" w:sz="4" w:space="0" w:color="auto"/>
            <w:bottom w:val="single" w:sz="12" w:space="0" w:color="auto"/>
          </w:tcBorders>
          <w:shd w:val="clear" w:color="auto" w:fill="auto"/>
        </w:tcPr>
        <w:p w:rsidR="00BD6BA2" w:rsidRPr="00BD6BA2" w:rsidRDefault="00BD6BA2" w:rsidP="00BD6BA2">
          <w:pPr>
            <w:pStyle w:val="Header"/>
            <w:spacing w:before="109"/>
          </w:pPr>
        </w:p>
      </w:tc>
      <w:tc>
        <w:tcPr>
          <w:tcW w:w="3280" w:type="dxa"/>
          <w:tcBorders>
            <w:top w:val="single" w:sz="4" w:space="0" w:color="auto"/>
            <w:bottom w:val="single" w:sz="12" w:space="0" w:color="auto"/>
          </w:tcBorders>
          <w:shd w:val="clear" w:color="auto" w:fill="auto"/>
        </w:tcPr>
        <w:p w:rsidR="00BD6BA2" w:rsidRPr="00B93F33" w:rsidRDefault="00BD6BA2" w:rsidP="00BD6BA2">
          <w:pPr>
            <w:pStyle w:val="Distribution"/>
            <w:rPr>
              <w:color w:val="000000"/>
              <w:lang w:val="fr-CH"/>
            </w:rPr>
          </w:pPr>
          <w:proofErr w:type="spellStart"/>
          <w:r w:rsidRPr="00B93F33">
            <w:rPr>
              <w:color w:val="000000"/>
              <w:lang w:val="fr-CH"/>
            </w:rPr>
            <w:t>Distr</w:t>
          </w:r>
          <w:proofErr w:type="spellEnd"/>
          <w:r w:rsidRPr="00B93F33">
            <w:rPr>
              <w:color w:val="000000"/>
              <w:lang w:val="fr-CH"/>
            </w:rPr>
            <w:t>. générale</w:t>
          </w:r>
        </w:p>
        <w:p w:rsidR="00BD6BA2" w:rsidRPr="00B93F33" w:rsidRDefault="00201EDB" w:rsidP="00BD6BA2">
          <w:pPr>
            <w:pStyle w:val="Publication"/>
            <w:rPr>
              <w:color w:val="000000"/>
              <w:lang w:val="fr-CH"/>
            </w:rPr>
          </w:pPr>
          <w:r w:rsidRPr="00B93F33">
            <w:rPr>
              <w:color w:val="000000"/>
              <w:lang w:val="fr-CH"/>
            </w:rPr>
            <w:t>8 sept</w:t>
          </w:r>
          <w:r w:rsidR="009D6D6A" w:rsidRPr="00B93F33">
            <w:rPr>
              <w:color w:val="000000"/>
              <w:lang w:val="fr-CH"/>
            </w:rPr>
            <w:t>e</w:t>
          </w:r>
          <w:r w:rsidRPr="00B93F33">
            <w:rPr>
              <w:color w:val="000000"/>
              <w:lang w:val="fr-CH"/>
            </w:rPr>
            <w:t>mbre</w:t>
          </w:r>
          <w:r w:rsidR="00BD6BA2" w:rsidRPr="00B93F33">
            <w:rPr>
              <w:color w:val="000000"/>
              <w:lang w:val="fr-CH"/>
            </w:rPr>
            <w:t xml:space="preserve"> 2015</w:t>
          </w:r>
        </w:p>
        <w:p w:rsidR="00BD6BA2" w:rsidRPr="00B93F33" w:rsidRDefault="00BD6BA2" w:rsidP="00BD6BA2">
          <w:pPr>
            <w:rPr>
              <w:lang w:val="fr-CH"/>
            </w:rPr>
          </w:pPr>
          <w:r w:rsidRPr="00B93F33">
            <w:rPr>
              <w:lang w:val="fr-CH"/>
            </w:rPr>
            <w:t>Français</w:t>
          </w:r>
        </w:p>
        <w:p w:rsidR="00BD6BA2" w:rsidRPr="00B93F33" w:rsidRDefault="00BD6BA2" w:rsidP="00BD6BA2">
          <w:pPr>
            <w:pStyle w:val="Original"/>
            <w:rPr>
              <w:color w:val="000000"/>
              <w:lang w:val="fr-CH"/>
            </w:rPr>
          </w:pPr>
          <w:r w:rsidRPr="00B93F33">
            <w:rPr>
              <w:color w:val="000000"/>
              <w:lang w:val="fr-CH"/>
            </w:rPr>
            <w:t>Original : anglais</w:t>
          </w:r>
        </w:p>
      </w:tc>
    </w:tr>
  </w:tbl>
  <w:p w:rsidR="00BD6BA2" w:rsidRPr="00B93F33" w:rsidRDefault="00BD6BA2" w:rsidP="00BD6BA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65282"/>
    <w:multiLevelType w:val="hybridMultilevel"/>
    <w:tmpl w:val="4E7C40A4"/>
    <w:lvl w:ilvl="0" w:tplc="517C7D8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2527EAB"/>
    <w:multiLevelType w:val="singleLevel"/>
    <w:tmpl w:val="D3E6A67A"/>
    <w:lvl w:ilvl="0">
      <w:start w:val="1"/>
      <w:numFmt w:val="decimal"/>
      <w:lvlRestart w:val="0"/>
      <w:lvlText w:val="%1."/>
      <w:lvlJc w:val="left"/>
      <w:pPr>
        <w:tabs>
          <w:tab w:val="num" w:pos="475"/>
        </w:tabs>
        <w:ind w:left="0" w:firstLine="0"/>
      </w:pPr>
      <w:rPr>
        <w:w w:val="100"/>
        <w:sz w:val="20"/>
        <w:szCs w:val="2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32D0F"/>
    <w:multiLevelType w:val="hybridMultilevel"/>
    <w:tmpl w:val="9806B7A8"/>
    <w:lvl w:ilvl="0" w:tplc="9DCACE32">
      <w:start w:val="1"/>
      <w:numFmt w:val="bullet"/>
      <w:lvlText w:val="a"/>
      <w:lvlJc w:val="left"/>
      <w:pPr>
        <w:ind w:left="2160" w:hanging="360"/>
      </w:pPr>
      <w:rPr>
        <w:rFonts w:ascii="Webdings" w:hAnsi="Webdings" w:hint="default"/>
        <w:color w:val="1F497D"/>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8"/>
  </w:num>
  <w:num w:numId="7">
    <w:abstractNumId w:val="7"/>
  </w:num>
  <w:num w:numId="8">
    <w:abstractNumId w:val="5"/>
  </w:num>
  <w:num w:numId="9">
    <w:abstractNumId w:val="4"/>
  </w:num>
  <w:num w:numId="10">
    <w:abstractNumId w:val="6"/>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218*"/>
    <w:docVar w:name="CreationDt" w:val="11/11/2015 11:16 AM"/>
    <w:docVar w:name="DocCategory" w:val="Doc"/>
    <w:docVar w:name="DocType" w:val="Final"/>
    <w:docVar w:name="DutyStation" w:val="Geneva"/>
    <w:docVar w:name="FooterJN" w:val="GE.15-15218"/>
    <w:docVar w:name="jobn" w:val="GE.15-15218 (F)"/>
    <w:docVar w:name="jobnDT" w:val="GE.15-15218 (F)   111115"/>
    <w:docVar w:name="jobnDTDT" w:val="GE.15-15218 (F)   111115   111115"/>
    <w:docVar w:name="JobNo" w:val="GE.1515218F"/>
    <w:docVar w:name="JobNo2" w:val="GE.1520475F"/>
    <w:docVar w:name="LocalDrive" w:val="0"/>
    <w:docVar w:name="OandT" w:val="BEAUNEE"/>
    <w:docVar w:name="PaperSize" w:val="A4"/>
    <w:docVar w:name="sss1" w:val="ST/SG/AC.10/C.3/2015/49"/>
    <w:docVar w:name="sss2" w:val="ST/SG/AC.10/C.4/2015/12"/>
    <w:docVar w:name="Symbol1" w:val="ST/SG/AC.10/C.3/2015/49"/>
    <w:docVar w:name="Symbol2" w:val="ST/SG/AC.10/C.4/2015/12"/>
  </w:docVars>
  <w:rsids>
    <w:rsidRoot w:val="005660E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689"/>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4FE4"/>
    <w:rsid w:val="00177D83"/>
    <w:rsid w:val="00180387"/>
    <w:rsid w:val="001818CC"/>
    <w:rsid w:val="00183EBF"/>
    <w:rsid w:val="00186793"/>
    <w:rsid w:val="0019082C"/>
    <w:rsid w:val="00192D05"/>
    <w:rsid w:val="00193A8C"/>
    <w:rsid w:val="001A1016"/>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1EDB"/>
    <w:rsid w:val="002021E9"/>
    <w:rsid w:val="00202789"/>
    <w:rsid w:val="00202F1F"/>
    <w:rsid w:val="00205199"/>
    <w:rsid w:val="0020521E"/>
    <w:rsid w:val="00206598"/>
    <w:rsid w:val="00207655"/>
    <w:rsid w:val="00207CAA"/>
    <w:rsid w:val="0021168F"/>
    <w:rsid w:val="002178A7"/>
    <w:rsid w:val="002220FF"/>
    <w:rsid w:val="0022434A"/>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E7AFB"/>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713"/>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37F"/>
    <w:rsid w:val="003968AB"/>
    <w:rsid w:val="00396ABF"/>
    <w:rsid w:val="00397343"/>
    <w:rsid w:val="003A2037"/>
    <w:rsid w:val="003A4ED6"/>
    <w:rsid w:val="003A56DC"/>
    <w:rsid w:val="003B3FA6"/>
    <w:rsid w:val="003B411E"/>
    <w:rsid w:val="003B445F"/>
    <w:rsid w:val="003B49BF"/>
    <w:rsid w:val="003B4C74"/>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38FE"/>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0ED"/>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1D7A"/>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0966"/>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5DB9"/>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6D6A"/>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3901"/>
    <w:rsid w:val="00B249F3"/>
    <w:rsid w:val="00B25B74"/>
    <w:rsid w:val="00B26B93"/>
    <w:rsid w:val="00B26C0B"/>
    <w:rsid w:val="00B27126"/>
    <w:rsid w:val="00B32CDE"/>
    <w:rsid w:val="00B34479"/>
    <w:rsid w:val="00B34D72"/>
    <w:rsid w:val="00B362BE"/>
    <w:rsid w:val="00B363A2"/>
    <w:rsid w:val="00B37213"/>
    <w:rsid w:val="00B41711"/>
    <w:rsid w:val="00B44C34"/>
    <w:rsid w:val="00B44EB6"/>
    <w:rsid w:val="00B503F3"/>
    <w:rsid w:val="00B504C9"/>
    <w:rsid w:val="00B52A47"/>
    <w:rsid w:val="00B53FB4"/>
    <w:rsid w:val="00B541C6"/>
    <w:rsid w:val="00B55195"/>
    <w:rsid w:val="00B556DD"/>
    <w:rsid w:val="00B5798F"/>
    <w:rsid w:val="00B57EB0"/>
    <w:rsid w:val="00B61107"/>
    <w:rsid w:val="00B61CB4"/>
    <w:rsid w:val="00B62886"/>
    <w:rsid w:val="00B63090"/>
    <w:rsid w:val="00B65DB9"/>
    <w:rsid w:val="00B66644"/>
    <w:rsid w:val="00B67756"/>
    <w:rsid w:val="00B70DA9"/>
    <w:rsid w:val="00B712B0"/>
    <w:rsid w:val="00B71478"/>
    <w:rsid w:val="00B71802"/>
    <w:rsid w:val="00B7200B"/>
    <w:rsid w:val="00B76414"/>
    <w:rsid w:val="00B77EB8"/>
    <w:rsid w:val="00B80756"/>
    <w:rsid w:val="00B81A2A"/>
    <w:rsid w:val="00B84109"/>
    <w:rsid w:val="00B85BDA"/>
    <w:rsid w:val="00B870D6"/>
    <w:rsid w:val="00B874A9"/>
    <w:rsid w:val="00B932C8"/>
    <w:rsid w:val="00B93B31"/>
    <w:rsid w:val="00B93F33"/>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6BA2"/>
    <w:rsid w:val="00BE1D55"/>
    <w:rsid w:val="00BE2F51"/>
    <w:rsid w:val="00BE3214"/>
    <w:rsid w:val="00BE5325"/>
    <w:rsid w:val="00BE5439"/>
    <w:rsid w:val="00BE62DB"/>
    <w:rsid w:val="00BE7E1A"/>
    <w:rsid w:val="00BF041C"/>
    <w:rsid w:val="00BF055A"/>
    <w:rsid w:val="00BF0B13"/>
    <w:rsid w:val="00BF0BBC"/>
    <w:rsid w:val="00BF5374"/>
    <w:rsid w:val="00BF651C"/>
    <w:rsid w:val="00BF734B"/>
    <w:rsid w:val="00BF7BD3"/>
    <w:rsid w:val="00C01B04"/>
    <w:rsid w:val="00C01B3A"/>
    <w:rsid w:val="00C02074"/>
    <w:rsid w:val="00C03721"/>
    <w:rsid w:val="00C05291"/>
    <w:rsid w:val="00C06025"/>
    <w:rsid w:val="00C067A3"/>
    <w:rsid w:val="00C115C1"/>
    <w:rsid w:val="00C118DD"/>
    <w:rsid w:val="00C13C81"/>
    <w:rsid w:val="00C14A5C"/>
    <w:rsid w:val="00C14B0A"/>
    <w:rsid w:val="00C23EFE"/>
    <w:rsid w:val="00C26CD3"/>
    <w:rsid w:val="00C27F98"/>
    <w:rsid w:val="00C3047B"/>
    <w:rsid w:val="00C30749"/>
    <w:rsid w:val="00C3163F"/>
    <w:rsid w:val="00C35E4D"/>
    <w:rsid w:val="00C436F7"/>
    <w:rsid w:val="00C45692"/>
    <w:rsid w:val="00C46175"/>
    <w:rsid w:val="00C472E3"/>
    <w:rsid w:val="00C47E57"/>
    <w:rsid w:val="00C55B02"/>
    <w:rsid w:val="00C56142"/>
    <w:rsid w:val="00C56B3A"/>
    <w:rsid w:val="00C56EFE"/>
    <w:rsid w:val="00C577E2"/>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521"/>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C19"/>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C21"/>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04EA"/>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2543"/>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373"/>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right="1264"/>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D6BA2"/>
    <w:rPr>
      <w:sz w:val="16"/>
      <w:szCs w:val="16"/>
    </w:rPr>
  </w:style>
  <w:style w:type="paragraph" w:styleId="CommentText">
    <w:name w:val="annotation text"/>
    <w:basedOn w:val="Normal"/>
    <w:link w:val="CommentTextChar"/>
    <w:uiPriority w:val="99"/>
    <w:semiHidden/>
    <w:unhideWhenUsed/>
    <w:rsid w:val="00BD6BA2"/>
    <w:pPr>
      <w:spacing w:line="240" w:lineRule="auto"/>
    </w:pPr>
    <w:rPr>
      <w:szCs w:val="20"/>
    </w:rPr>
  </w:style>
  <w:style w:type="character" w:customStyle="1" w:styleId="CommentTextChar">
    <w:name w:val="Comment Text Char"/>
    <w:basedOn w:val="DefaultParagraphFont"/>
    <w:link w:val="CommentText"/>
    <w:uiPriority w:val="99"/>
    <w:semiHidden/>
    <w:rsid w:val="00BD6B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D6BA2"/>
    <w:rPr>
      <w:b/>
      <w:bCs/>
    </w:rPr>
  </w:style>
  <w:style w:type="character" w:customStyle="1" w:styleId="CommentSubjectChar">
    <w:name w:val="Comment Subject Char"/>
    <w:basedOn w:val="CommentTextChar"/>
    <w:link w:val="CommentSubject"/>
    <w:uiPriority w:val="99"/>
    <w:semiHidden/>
    <w:rsid w:val="00BD6BA2"/>
    <w:rPr>
      <w:rFonts w:ascii="Times New Roman" w:hAnsi="Times New Roman"/>
      <w:b/>
      <w:bCs/>
      <w:spacing w:val="4"/>
      <w:w w:val="103"/>
      <w:kern w:val="14"/>
      <w:lang w:val="fr-CA"/>
    </w:rPr>
  </w:style>
  <w:style w:type="paragraph" w:customStyle="1" w:styleId="Bullet1G">
    <w:name w:val="_Bullet 1_G"/>
    <w:basedOn w:val="Normal"/>
    <w:qFormat/>
    <w:rsid w:val="00201ED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paragraph" w:customStyle="1" w:styleId="H4G">
    <w:name w:val="_ H_4_G"/>
    <w:basedOn w:val="Normal"/>
    <w:next w:val="Normal"/>
    <w:qFormat/>
    <w:rsid w:val="00C577E2"/>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right="1264"/>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D6BA2"/>
    <w:rPr>
      <w:sz w:val="16"/>
      <w:szCs w:val="16"/>
    </w:rPr>
  </w:style>
  <w:style w:type="paragraph" w:styleId="CommentText">
    <w:name w:val="annotation text"/>
    <w:basedOn w:val="Normal"/>
    <w:link w:val="CommentTextChar"/>
    <w:uiPriority w:val="99"/>
    <w:semiHidden/>
    <w:unhideWhenUsed/>
    <w:rsid w:val="00BD6BA2"/>
    <w:pPr>
      <w:spacing w:line="240" w:lineRule="auto"/>
    </w:pPr>
    <w:rPr>
      <w:szCs w:val="20"/>
    </w:rPr>
  </w:style>
  <w:style w:type="character" w:customStyle="1" w:styleId="CommentTextChar">
    <w:name w:val="Comment Text Char"/>
    <w:basedOn w:val="DefaultParagraphFont"/>
    <w:link w:val="CommentText"/>
    <w:uiPriority w:val="99"/>
    <w:semiHidden/>
    <w:rsid w:val="00BD6B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D6BA2"/>
    <w:rPr>
      <w:b/>
      <w:bCs/>
    </w:rPr>
  </w:style>
  <w:style w:type="character" w:customStyle="1" w:styleId="CommentSubjectChar">
    <w:name w:val="Comment Subject Char"/>
    <w:basedOn w:val="CommentTextChar"/>
    <w:link w:val="CommentSubject"/>
    <w:uiPriority w:val="99"/>
    <w:semiHidden/>
    <w:rsid w:val="00BD6BA2"/>
    <w:rPr>
      <w:rFonts w:ascii="Times New Roman" w:hAnsi="Times New Roman"/>
      <w:b/>
      <w:bCs/>
      <w:spacing w:val="4"/>
      <w:w w:val="103"/>
      <w:kern w:val="14"/>
      <w:lang w:val="fr-CA"/>
    </w:rPr>
  </w:style>
  <w:style w:type="paragraph" w:customStyle="1" w:styleId="Bullet1G">
    <w:name w:val="_Bullet 1_G"/>
    <w:basedOn w:val="Normal"/>
    <w:qFormat/>
    <w:rsid w:val="00201EDB"/>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paragraph" w:customStyle="1" w:styleId="H4G">
    <w:name w:val="_ H_4_G"/>
    <w:basedOn w:val="Normal"/>
    <w:next w:val="Normal"/>
    <w:qFormat/>
    <w:rsid w:val="00C577E2"/>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D6EB-61BA-43C8-BC5D-2063EFBA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Laurence Berthet</cp:lastModifiedBy>
  <cp:revision>2</cp:revision>
  <cp:lastPrinted>2015-11-12T10:53:00Z</cp:lastPrinted>
  <dcterms:created xsi:type="dcterms:W3CDTF">2015-11-12T10:54:00Z</dcterms:created>
  <dcterms:modified xsi:type="dcterms:W3CDTF">2015-11-12T10:54:00Z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1515218F</vt:lpwstr>
  </property>
  <property fmtid="{D5CDD505-2E9C-101B-9397-08002B2CF9AE}" pid="3" name="ODSRefJobNo">
    <vt:lpwstr>1520475F</vt:lpwstr>
  </property>
  <property fmtid="{D5CDD505-2E9C-101B-9397-08002B2CF9AE}" pid="4" name="Symbol1">
    <vt:lpwstr>ST/SG/AC.10/C.3/2015/49</vt:lpwstr>
  </property>
  <property fmtid="{D5CDD505-2E9C-101B-9397-08002B2CF9AE}" pid="5" name="Symbol2">
    <vt:lpwstr>ST/SG/AC.10/C.4/2015/12</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11 novembre 2015</vt:lpwstr>
  </property>
  <property fmtid="{D5CDD505-2E9C-101B-9397-08002B2CF9AE}" pid="12" name="Original">
    <vt:lpwstr>anglais</vt:lpwstr>
  </property>
  <property fmtid="{D5CDD505-2E9C-101B-9397-08002B2CF9AE}" pid="13" name="Release Date">
    <vt:lpwstr>111115</vt:lpwstr>
  </property>
</Properties>
</file>