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21" w:rsidRDefault="00916A21" w:rsidP="00916A21">
      <w:pPr>
        <w:spacing w:line="240" w:lineRule="auto"/>
        <w:rPr>
          <w:sz w:val="2"/>
        </w:rPr>
        <w:sectPr w:rsidR="00916A21" w:rsidSect="00916A2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46127A" w:rsidRDefault="0046127A" w:rsidP="0046127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6127A">
        <w:lastRenderedPageBreak/>
        <w:t xml:space="preserve">Comité d’experts du transport des marchandises dangereuses </w:t>
      </w:r>
      <w:r>
        <w:br/>
      </w:r>
      <w:r w:rsidRPr="0046127A">
        <w:t xml:space="preserve">et du Système général harmonisé de classification </w:t>
      </w:r>
      <w:r>
        <w:br/>
      </w:r>
      <w:r w:rsidRPr="0046127A">
        <w:t>et d’étiquetage des produits chimiques</w:t>
      </w:r>
    </w:p>
    <w:p w:rsidR="0046127A" w:rsidRPr="0046127A" w:rsidRDefault="0046127A" w:rsidP="0046127A">
      <w:pPr>
        <w:spacing w:line="120" w:lineRule="exact"/>
        <w:rPr>
          <w:sz w:val="10"/>
        </w:rPr>
      </w:pPr>
    </w:p>
    <w:p w:rsidR="0046127A" w:rsidRDefault="0046127A" w:rsidP="004612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63BF5">
        <w:t>Sous-Comité d</w:t>
      </w:r>
      <w:r>
        <w:t>’</w:t>
      </w:r>
      <w:r w:rsidRPr="00D63BF5">
        <w:t>experts du transport des marchandises dangereuses</w:t>
      </w:r>
    </w:p>
    <w:p w:rsidR="0046127A" w:rsidRPr="0046127A" w:rsidRDefault="0046127A" w:rsidP="0046127A">
      <w:pPr>
        <w:spacing w:line="120" w:lineRule="exact"/>
        <w:rPr>
          <w:sz w:val="10"/>
        </w:rPr>
      </w:pPr>
    </w:p>
    <w:p w:rsidR="0046127A" w:rsidRPr="004F4853" w:rsidRDefault="0046127A" w:rsidP="004612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154CB">
        <w:t>Quarante-huitième session</w:t>
      </w:r>
    </w:p>
    <w:p w:rsidR="0046127A" w:rsidRPr="004F4853" w:rsidRDefault="0046127A" w:rsidP="0046127A">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Gen</w:t>
      </w:r>
      <w:r w:rsidRPr="00D63BF5">
        <w:t>ève</w:t>
      </w:r>
      <w:r w:rsidRPr="004F4853">
        <w:t xml:space="preserve">, 30 </w:t>
      </w:r>
      <w:r w:rsidRPr="00D63BF5">
        <w:t>novembre</w:t>
      </w:r>
      <w:r w:rsidR="003A4B25">
        <w:t>-</w:t>
      </w:r>
      <w:r w:rsidRPr="004F4853">
        <w:t xml:space="preserve">9 </w:t>
      </w:r>
      <w:r w:rsidRPr="00D63BF5">
        <w:t>décembre</w:t>
      </w:r>
      <w:r>
        <w:t xml:space="preserve"> </w:t>
      </w:r>
      <w:r w:rsidRPr="004F4853">
        <w:t>2015</w:t>
      </w:r>
    </w:p>
    <w:p w:rsidR="0046127A" w:rsidRPr="004F4853" w:rsidRDefault="0046127A" w:rsidP="0046127A">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rPr>
      </w:pPr>
      <w:r w:rsidRPr="00D63BF5">
        <w:t xml:space="preserve">Point </w:t>
      </w:r>
      <w:r>
        <w:t>2</w:t>
      </w:r>
      <w:r w:rsidRPr="00D63BF5">
        <w:t xml:space="preserve"> </w:t>
      </w:r>
      <w:r>
        <w:t xml:space="preserve">i) </w:t>
      </w:r>
      <w:r w:rsidRPr="00D63BF5">
        <w:t>de l</w:t>
      </w:r>
      <w:r>
        <w:t>’</w:t>
      </w:r>
      <w:r w:rsidRPr="00D63BF5">
        <w:t>ordre du jour provisoire</w:t>
      </w:r>
    </w:p>
    <w:p w:rsidR="0046127A" w:rsidRDefault="0046127A" w:rsidP="004612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30E69">
        <w:t>Explosifs et questions connexes</w:t>
      </w:r>
      <w:r w:rsidR="003A4B25">
        <w:t> </w:t>
      </w:r>
      <w:r w:rsidRPr="00A30E69">
        <w:t>: questions diverses</w:t>
      </w:r>
    </w:p>
    <w:p w:rsidR="00756CD7" w:rsidRPr="00756CD7" w:rsidRDefault="00756CD7" w:rsidP="00756CD7">
      <w:pPr>
        <w:spacing w:line="120" w:lineRule="exact"/>
        <w:rPr>
          <w:sz w:val="10"/>
        </w:rPr>
      </w:pPr>
    </w:p>
    <w:p w:rsidR="00756CD7" w:rsidRPr="00756CD7" w:rsidRDefault="00756CD7" w:rsidP="00756CD7">
      <w:pPr>
        <w:spacing w:line="120" w:lineRule="exact"/>
        <w:rPr>
          <w:sz w:val="10"/>
        </w:rPr>
      </w:pPr>
    </w:p>
    <w:p w:rsidR="00756CD7" w:rsidRPr="00756CD7" w:rsidRDefault="00756CD7" w:rsidP="00756CD7">
      <w:pPr>
        <w:spacing w:line="120" w:lineRule="exact"/>
        <w:rPr>
          <w:sz w:val="10"/>
        </w:rPr>
      </w:pPr>
    </w:p>
    <w:p w:rsidR="00756CD7" w:rsidRDefault="0046127A" w:rsidP="00756C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F4853">
        <w:rPr>
          <w:szCs w:val="24"/>
        </w:rPr>
        <w:tab/>
      </w:r>
      <w:r w:rsidRPr="004F4853">
        <w:rPr>
          <w:szCs w:val="24"/>
        </w:rPr>
        <w:tab/>
      </w:r>
      <w:r w:rsidRPr="00A30E69">
        <w:t xml:space="preserve">Agréments par analogie fondés sur les résultats </w:t>
      </w:r>
      <w:r w:rsidR="00756CD7">
        <w:br/>
      </w:r>
      <w:r>
        <w:t xml:space="preserve">obtenus </w:t>
      </w:r>
      <w:r w:rsidRPr="00A30E69">
        <w:t>aux épreuves du Manuel d</w:t>
      </w:r>
      <w:r>
        <w:t>’</w:t>
      </w:r>
      <w:r w:rsidRPr="00A30E69">
        <w:t xml:space="preserve">épreuves </w:t>
      </w:r>
      <w:r w:rsidR="00756CD7">
        <w:br/>
      </w:r>
      <w:r w:rsidRPr="00A30E69">
        <w:t>et de critères</w:t>
      </w:r>
    </w:p>
    <w:p w:rsidR="00756CD7" w:rsidRPr="00756CD7" w:rsidRDefault="00756CD7" w:rsidP="00756CD7">
      <w:pPr>
        <w:pStyle w:val="SingleTxt"/>
        <w:spacing w:after="0" w:line="120" w:lineRule="exact"/>
        <w:rPr>
          <w:sz w:val="10"/>
        </w:rPr>
      </w:pPr>
    </w:p>
    <w:p w:rsidR="00756CD7" w:rsidRPr="00756CD7" w:rsidRDefault="00756CD7" w:rsidP="00756CD7">
      <w:pPr>
        <w:pStyle w:val="SingleTxt"/>
        <w:spacing w:after="0" w:line="120" w:lineRule="exact"/>
        <w:rPr>
          <w:sz w:val="10"/>
        </w:rPr>
      </w:pPr>
    </w:p>
    <w:p w:rsidR="0046127A" w:rsidRDefault="0046127A" w:rsidP="00756C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F4853">
        <w:tab/>
      </w:r>
      <w:r w:rsidRPr="004F4853">
        <w:tab/>
      </w:r>
      <w:r w:rsidRPr="00A30E69">
        <w:rPr>
          <w:lang w:val="en-US"/>
        </w:rPr>
        <w:t xml:space="preserve">Communication du Sporting Arms &amp; Ammunition </w:t>
      </w:r>
      <w:r w:rsidR="00756CD7">
        <w:rPr>
          <w:lang w:val="en-US"/>
        </w:rPr>
        <w:br/>
      </w:r>
      <w:r w:rsidRPr="00A30E69">
        <w:rPr>
          <w:lang w:val="en-US"/>
        </w:rPr>
        <w:t>Manufacturers</w:t>
      </w:r>
      <w:r>
        <w:rPr>
          <w:lang w:val="en-US"/>
        </w:rPr>
        <w:t>’</w:t>
      </w:r>
      <w:r w:rsidRPr="00A30E69">
        <w:rPr>
          <w:lang w:val="en-US"/>
        </w:rPr>
        <w:t xml:space="preserve"> Institute (SAAMI)</w:t>
      </w:r>
      <w:r w:rsidRPr="00756CD7">
        <w:rPr>
          <w:rStyle w:val="FootnoteReference"/>
          <w:b w:val="0"/>
          <w:sz w:val="20"/>
          <w:szCs w:val="20"/>
        </w:rPr>
        <w:footnoteReference w:id="1"/>
      </w:r>
    </w:p>
    <w:p w:rsidR="00756CD7" w:rsidRPr="00756CD7" w:rsidRDefault="00756CD7" w:rsidP="00756CD7">
      <w:pPr>
        <w:pStyle w:val="SingleTxt"/>
        <w:spacing w:after="0" w:line="120" w:lineRule="exact"/>
        <w:rPr>
          <w:sz w:val="10"/>
          <w:lang w:val="en-US"/>
        </w:rPr>
      </w:pPr>
    </w:p>
    <w:p w:rsidR="00756CD7" w:rsidRPr="00756CD7" w:rsidRDefault="00756CD7" w:rsidP="00756CD7">
      <w:pPr>
        <w:pStyle w:val="SingleTxt"/>
        <w:spacing w:after="0" w:line="120" w:lineRule="exact"/>
        <w:rPr>
          <w:sz w:val="10"/>
          <w:lang w:val="en-US"/>
        </w:rPr>
      </w:pPr>
    </w:p>
    <w:p w:rsidR="0046127A" w:rsidRDefault="0046127A" w:rsidP="00756CD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A30E69">
        <w:rPr>
          <w:lang w:val="en-US"/>
        </w:rPr>
        <w:tab/>
      </w:r>
      <w:r w:rsidRPr="00A30E69">
        <w:rPr>
          <w:lang w:val="en-US"/>
        </w:rPr>
        <w:tab/>
        <w:t>Introduction</w:t>
      </w:r>
      <w:bookmarkStart w:id="2" w:name="insstart"/>
      <w:bookmarkEnd w:id="2"/>
    </w:p>
    <w:p w:rsidR="00756CD7" w:rsidRPr="00756CD7" w:rsidRDefault="00756CD7" w:rsidP="00756CD7">
      <w:pPr>
        <w:spacing w:line="120" w:lineRule="exact"/>
        <w:rPr>
          <w:sz w:val="10"/>
          <w:lang w:val="en-US"/>
        </w:rPr>
      </w:pPr>
    </w:p>
    <w:p w:rsidR="00756CD7" w:rsidRPr="00756CD7" w:rsidRDefault="00756CD7" w:rsidP="00756CD7">
      <w:pPr>
        <w:spacing w:line="120" w:lineRule="exact"/>
        <w:rPr>
          <w:sz w:val="10"/>
          <w:lang w:val="en-US"/>
        </w:rPr>
      </w:pPr>
    </w:p>
    <w:p w:rsidR="0046127A" w:rsidRDefault="0046127A" w:rsidP="00756CD7">
      <w:pPr>
        <w:pStyle w:val="SingleTxt"/>
        <w:numPr>
          <w:ilvl w:val="0"/>
          <w:numId w:val="8"/>
        </w:numPr>
        <w:tabs>
          <w:tab w:val="clear" w:pos="475"/>
          <w:tab w:val="num" w:pos="1742"/>
        </w:tabs>
        <w:ind w:left="1267"/>
        <w:rPr>
          <w:lang w:val="fr-CH"/>
        </w:rPr>
      </w:pPr>
      <w:r w:rsidRPr="006430FE">
        <w:rPr>
          <w:spacing w:val="-2"/>
          <w:lang w:val="fr-CH"/>
        </w:rPr>
        <w:t xml:space="preserve">Le SAAMI a présenté </w:t>
      </w:r>
      <w:r w:rsidRPr="006430FE">
        <w:rPr>
          <w:spacing w:val="-2"/>
        </w:rPr>
        <w:t xml:space="preserve">à la dernière session </w:t>
      </w:r>
      <w:r w:rsidRPr="006430FE">
        <w:rPr>
          <w:spacing w:val="-2"/>
          <w:lang w:val="fr-CH"/>
        </w:rPr>
        <w:t>le d</w:t>
      </w:r>
      <w:r w:rsidRPr="006430FE">
        <w:rPr>
          <w:spacing w:val="-2"/>
        </w:rPr>
        <w:t>o</w:t>
      </w:r>
      <w:proofErr w:type="spellStart"/>
      <w:r w:rsidRPr="006430FE">
        <w:rPr>
          <w:spacing w:val="-2"/>
          <w:lang w:val="fr-CH"/>
        </w:rPr>
        <w:t>cumen</w:t>
      </w:r>
      <w:proofErr w:type="spellEnd"/>
      <w:r w:rsidRPr="006430FE">
        <w:rPr>
          <w:spacing w:val="-2"/>
        </w:rPr>
        <w:t xml:space="preserve">t </w:t>
      </w:r>
      <w:r w:rsidRPr="006430FE">
        <w:rPr>
          <w:spacing w:val="-2"/>
          <w:lang w:val="fr-CH"/>
        </w:rPr>
        <w:t>ST/SG/AC.10/C.3/2015/13</w:t>
      </w:r>
      <w:r w:rsidRPr="00756CD7">
        <w:rPr>
          <w:lang w:val="fr-CH"/>
        </w:rPr>
        <w:t xml:space="preserve"> sur le classement par analogie. </w:t>
      </w:r>
      <w:r w:rsidRPr="00756CD7">
        <w:t xml:space="preserve">Le Groupe de travail des explosifs a noté dans son rapport </w:t>
      </w:r>
      <w:r w:rsidRPr="00756CD7">
        <w:rPr>
          <w:lang w:val="fr-CH"/>
        </w:rPr>
        <w:t xml:space="preserve">contenu dans le </w:t>
      </w:r>
      <w:r w:rsidRPr="00756CD7">
        <w:t>do</w:t>
      </w:r>
      <w:r w:rsidRPr="00756CD7">
        <w:rPr>
          <w:lang w:val="fr-CH"/>
        </w:rPr>
        <w:t>c</w:t>
      </w:r>
      <w:proofErr w:type="spellStart"/>
      <w:r w:rsidRPr="00756CD7">
        <w:t>ument</w:t>
      </w:r>
      <w:proofErr w:type="spellEnd"/>
      <w:r w:rsidRPr="00756CD7">
        <w:t xml:space="preserve"> informel </w:t>
      </w:r>
      <w:r w:rsidR="00756CD7">
        <w:rPr>
          <w:lang w:val="fr-CH"/>
        </w:rPr>
        <w:t xml:space="preserve">INF.53 (quarante-septième </w:t>
      </w:r>
      <w:r w:rsidRPr="00756CD7">
        <w:rPr>
          <w:lang w:val="fr-CH"/>
        </w:rPr>
        <w:t>session)</w:t>
      </w:r>
      <w:r w:rsidR="00756CD7">
        <w:rPr>
          <w:lang w:val="fr-CH"/>
        </w:rPr>
        <w:t> </w:t>
      </w:r>
      <w:r w:rsidRPr="00756CD7">
        <w:rPr>
          <w:lang w:val="fr-CH"/>
        </w:rPr>
        <w:t xml:space="preserve">: </w:t>
      </w:r>
      <w:r w:rsidR="00756CD7">
        <w:rPr>
          <w:lang w:val="fr-CH"/>
        </w:rPr>
        <w:t>« </w:t>
      </w:r>
      <w:r w:rsidRPr="00756CD7">
        <w:rPr>
          <w:lang w:val="fr-CH"/>
        </w:rPr>
        <w:t>Le</w:t>
      </w:r>
      <w:r w:rsidR="007D2026">
        <w:rPr>
          <w:lang w:val="fr-CH"/>
        </w:rPr>
        <w:t> </w:t>
      </w:r>
      <w:r w:rsidRPr="00756CD7">
        <w:rPr>
          <w:lang w:val="fr-CH"/>
        </w:rPr>
        <w:t>classement par analogie est</w:t>
      </w:r>
      <w:r w:rsidRPr="00756CD7">
        <w:t xml:space="preserve"> communément utilisé par les autorités compétentes pour classer des explosifs sans avoir recours aux épreuves sur la base d’une comparaison avec des produits similaires ayant été éprouvés conformément au Manuel d’épreuves et de critères. Cette pratique n’est pas reconnue actuellement par le Manuel. Le Groupe de travail a appuyé le principe et encouragé le SAAMI à tenir compte de ses observations et à </w:t>
      </w:r>
      <w:r w:rsidR="00756CD7">
        <w:t>revenir à la quarante-huitième</w:t>
      </w:r>
      <w:r w:rsidRPr="00756CD7">
        <w:t xml:space="preserve"> session avec d’autres réflexions et considérations.</w:t>
      </w:r>
      <w:r w:rsidR="00756CD7">
        <w:t> »</w:t>
      </w:r>
      <w:r w:rsidRPr="00756CD7">
        <w:t xml:space="preserve">. Les échanges auxquels cette proposition a donné lieu en séance </w:t>
      </w:r>
      <w:r w:rsidRPr="006430FE">
        <w:rPr>
          <w:spacing w:val="-2"/>
        </w:rPr>
        <w:t xml:space="preserve">plénière ont été résumés dans le rapport du secrétariat (document </w:t>
      </w:r>
      <w:r w:rsidRPr="006430FE">
        <w:rPr>
          <w:spacing w:val="-2"/>
          <w:lang w:val="fr-CH"/>
        </w:rPr>
        <w:t>ST/SG/AC.10/C.3/94</w:t>
      </w:r>
      <w:r w:rsidRPr="006430FE">
        <w:rPr>
          <w:spacing w:val="-2"/>
        </w:rPr>
        <w:t>)</w:t>
      </w:r>
      <w:r w:rsidRPr="00756CD7">
        <w:t xml:space="preserve"> et</w:t>
      </w:r>
      <w:r w:rsidR="006430FE">
        <w:t> </w:t>
      </w:r>
      <w:r w:rsidRPr="00756CD7">
        <w:t xml:space="preserve">le </w:t>
      </w:r>
      <w:r w:rsidRPr="00756CD7">
        <w:rPr>
          <w:lang w:val="fr-CH"/>
        </w:rPr>
        <w:t xml:space="preserve">SAAMI </w:t>
      </w:r>
      <w:r w:rsidRPr="00756CD7">
        <w:t>a été invité à formuler une proposition</w:t>
      </w:r>
      <w:r w:rsidR="006430FE">
        <w:rPr>
          <w:lang w:val="fr-CH"/>
        </w:rPr>
        <w:t>.</w:t>
      </w:r>
    </w:p>
    <w:p w:rsidR="006430FE" w:rsidRPr="006430FE" w:rsidRDefault="006430FE" w:rsidP="006430FE">
      <w:pPr>
        <w:pStyle w:val="SingleTxt"/>
        <w:spacing w:after="0" w:line="120" w:lineRule="exact"/>
        <w:rPr>
          <w:sz w:val="10"/>
          <w:lang w:val="fr-CH"/>
        </w:rPr>
      </w:pPr>
    </w:p>
    <w:p w:rsidR="006430FE" w:rsidRPr="006430FE" w:rsidRDefault="006430FE" w:rsidP="006430FE">
      <w:pPr>
        <w:pStyle w:val="SingleTxt"/>
        <w:spacing w:after="0" w:line="120" w:lineRule="exact"/>
        <w:rPr>
          <w:sz w:val="10"/>
          <w:lang w:val="fr-CH"/>
        </w:rPr>
      </w:pPr>
    </w:p>
    <w:p w:rsidR="0046127A" w:rsidRDefault="0046127A" w:rsidP="006430F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8733BB">
        <w:rPr>
          <w:lang w:val="fr-CH"/>
        </w:rPr>
        <w:tab/>
      </w:r>
      <w:r w:rsidRPr="008733BB">
        <w:rPr>
          <w:lang w:val="fr-CH"/>
        </w:rPr>
        <w:tab/>
      </w:r>
      <w:r w:rsidRPr="00A30E69">
        <w:rPr>
          <w:lang w:val="en-US"/>
        </w:rPr>
        <w:t>Discussion</w:t>
      </w:r>
    </w:p>
    <w:p w:rsidR="006430FE" w:rsidRPr="006430FE" w:rsidRDefault="006430FE" w:rsidP="006430FE">
      <w:pPr>
        <w:spacing w:line="120" w:lineRule="exact"/>
        <w:rPr>
          <w:sz w:val="10"/>
          <w:lang w:val="en-US"/>
        </w:rPr>
      </w:pPr>
    </w:p>
    <w:p w:rsidR="006430FE" w:rsidRPr="006430FE" w:rsidRDefault="006430FE" w:rsidP="006430FE">
      <w:pPr>
        <w:spacing w:line="120" w:lineRule="exact"/>
        <w:rPr>
          <w:sz w:val="10"/>
          <w:lang w:val="en-US"/>
        </w:rPr>
      </w:pP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 xml:space="preserve">Le SAAMI propose </w:t>
      </w:r>
      <w:r w:rsidRPr="00C10453">
        <w:t>qu</w:t>
      </w:r>
      <w:r>
        <w:t>’</w:t>
      </w:r>
      <w:r w:rsidRPr="00C10453">
        <w:t>un</w:t>
      </w:r>
      <w:r w:rsidRPr="008733BB">
        <w:rPr>
          <w:lang w:val="fr-CH"/>
        </w:rPr>
        <w:t xml:space="preserve"> appendice </w:t>
      </w:r>
      <w:r>
        <w:t xml:space="preserve">consacré au classement par analogie soit ajouté au </w:t>
      </w:r>
      <w:r w:rsidRPr="00C025CB">
        <w:t>Manuel d</w:t>
      </w:r>
      <w:r>
        <w:t>’</w:t>
      </w:r>
      <w:r w:rsidRPr="00C025CB">
        <w:t>épreuves et de critères</w:t>
      </w:r>
      <w:r>
        <w:t>. Il s’agirait d’une solution pratique pour introduire cette importante méthode de classement. Cet appendice en préciserait l’objectif, le champ d’application et les caractéristiques, avant de donner un exemple.</w:t>
      </w: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lastRenderedPageBreak/>
        <w:t>Il s</w:t>
      </w:r>
      <w:r>
        <w:t>’</w:t>
      </w:r>
      <w:r w:rsidRPr="008733BB">
        <w:rPr>
          <w:lang w:val="fr-CH"/>
        </w:rPr>
        <w:t xml:space="preserve">agit de décrire </w:t>
      </w:r>
      <w:r>
        <w:t xml:space="preserve">une méthode </w:t>
      </w:r>
      <w:r w:rsidRPr="008733BB">
        <w:rPr>
          <w:lang w:val="fr-CH"/>
        </w:rPr>
        <w:t xml:space="preserve">rigoureusement </w:t>
      </w:r>
      <w:proofErr w:type="spellStart"/>
      <w:r w:rsidRPr="008733BB">
        <w:rPr>
          <w:lang w:val="fr-CH"/>
        </w:rPr>
        <w:t>contr</w:t>
      </w:r>
      <w:r>
        <w:t>ôlée</w:t>
      </w:r>
      <w:proofErr w:type="spellEnd"/>
      <w:r>
        <w:t xml:space="preserve"> en matière de classement des explosifs. L’</w:t>
      </w:r>
      <w:proofErr w:type="spellStart"/>
      <w:r>
        <w:t>autoclassification</w:t>
      </w:r>
      <w:proofErr w:type="spellEnd"/>
      <w:r>
        <w:t xml:space="preserve"> n’est généralement pas autorisée et c’est aux gouvernements qu’il incombe de publier les classements dans des documents émis par les autorités compétentes sur la base d’épreuves effectuées sur une petite échelle et d’une vérification empirique à grande échelle. Les produits, matières ou mélanges, sont éprouvés pour chaque variation, qu’il s’agisse de différences chimiques ou physiques, de l’emballage et/ou de la conception de l’objet.</w:t>
      </w: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La capacité d</w:t>
      </w:r>
      <w:r>
        <w:t>’</w:t>
      </w:r>
      <w:r w:rsidRPr="008733BB">
        <w:rPr>
          <w:lang w:val="fr-CH"/>
        </w:rPr>
        <w:t>éprouver chaque variation n</w:t>
      </w:r>
      <w:r>
        <w:t>’</w:t>
      </w:r>
      <w:r w:rsidRPr="008733BB">
        <w:rPr>
          <w:lang w:val="fr-CH"/>
        </w:rPr>
        <w:t>e</w:t>
      </w:r>
      <w:proofErr w:type="spellStart"/>
      <w:r>
        <w:t>xiste</w:t>
      </w:r>
      <w:proofErr w:type="spellEnd"/>
      <w:r>
        <w:t xml:space="preserve"> pas pour un nombre infini de produits. Les modifications qui n’ont pas d’effet sur le classement devraient être autorisées sans qu’il soit besoin de procéder à de nouvelles épreuves, pour autant qu’une évaluation ait été effectuée par l’autorité compétente et que des documents valident et autorisent des variations acceptables sur la base de données d’épreuves existantes.</w:t>
      </w: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D</w:t>
      </w:r>
      <w:r>
        <w:t>’</w:t>
      </w:r>
      <w:r w:rsidRPr="008733BB">
        <w:rPr>
          <w:lang w:val="fr-CH"/>
        </w:rPr>
        <w:t xml:space="preserve">autres </w:t>
      </w:r>
      <w:r w:rsidRPr="008B7832">
        <w:t>méthodes</w:t>
      </w:r>
      <w:r w:rsidRPr="008733BB">
        <w:rPr>
          <w:lang w:val="fr-CH"/>
        </w:rPr>
        <w:t xml:space="preserve"> sont souvent utilisées en association avec</w:t>
      </w:r>
      <w:r>
        <w:t xml:space="preserve"> l’analogie, ce qui fait que le classement par analogie ne doit pas être trop prescriptif. La méthode de réciprocité, par exemple, ne nécessite pas de données exhaustives pour autant que les caractéristiques principales soient prises en compte de manière satisfaisante. C’est la raison pour laquelle l’appendice ne mentionne qu’un nombre </w:t>
      </w:r>
      <w:r w:rsidRPr="003964DF">
        <w:t xml:space="preserve">limité </w:t>
      </w:r>
      <w:r>
        <w:t xml:space="preserve">de données et précise que les caractéristiques utilisées pour le classement par analogie ne doivent pas être considérées comme absolues ou inclusives et que les demandes ne doivent pas être refusées pour des motifs administratifs </w:t>
      </w:r>
      <w:r w:rsidRPr="003964DF">
        <w:t>seulement</w:t>
      </w:r>
      <w:r>
        <w:t>.</w:t>
      </w: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 xml:space="preserve">La responsabilité de </w:t>
      </w:r>
      <w:r>
        <w:t xml:space="preserve">préparer </w:t>
      </w:r>
      <w:r w:rsidRPr="008733BB">
        <w:rPr>
          <w:lang w:val="fr-CH"/>
        </w:rPr>
        <w:t>la demande i</w:t>
      </w:r>
      <w:r>
        <w:t>n</w:t>
      </w:r>
      <w:r w:rsidRPr="008733BB">
        <w:rPr>
          <w:lang w:val="fr-CH"/>
        </w:rPr>
        <w:t xml:space="preserve">combe au </w:t>
      </w:r>
      <w:r>
        <w:t xml:space="preserve">demandeur. </w:t>
      </w:r>
      <w:r w:rsidRPr="005247C4">
        <w:t xml:space="preserve">Le </w:t>
      </w:r>
      <w:r w:rsidRPr="008733BB">
        <w:rPr>
          <w:lang w:val="fr-CH"/>
        </w:rPr>
        <w:t xml:space="preserve">SAAMI note </w:t>
      </w:r>
      <w:proofErr w:type="spellStart"/>
      <w:r w:rsidRPr="008733BB">
        <w:rPr>
          <w:lang w:val="fr-CH"/>
        </w:rPr>
        <w:t>qu</w:t>
      </w:r>
      <w:proofErr w:type="spellEnd"/>
      <w:r>
        <w:t>’</w:t>
      </w:r>
      <w:r w:rsidRPr="008733BB">
        <w:rPr>
          <w:lang w:val="fr-CH"/>
        </w:rPr>
        <w:t xml:space="preserve">au Royaume-Uni </w:t>
      </w:r>
      <w:r>
        <w:t xml:space="preserve">c’est </w:t>
      </w:r>
      <w:r w:rsidRPr="008733BB">
        <w:rPr>
          <w:lang w:val="fr-CH"/>
        </w:rPr>
        <w:t>la Direction de la santé et de la sécurité</w:t>
      </w:r>
      <w:r>
        <w:t xml:space="preserve"> qui s’en charge et qui donne des indications sur les analogies ainsi que des détails quant à la manière d’établir une demande appropriée</w:t>
      </w:r>
      <w:r w:rsidR="007D2026">
        <w:t> </w:t>
      </w:r>
      <w:r>
        <w:t xml:space="preserve">: </w:t>
      </w:r>
      <w:r w:rsidRPr="008733BB">
        <w:rPr>
          <w:lang w:val="fr-CH"/>
        </w:rPr>
        <w:t>http://www.hse.gov.uk/</w:t>
      </w:r>
      <w:r>
        <w:t xml:space="preserve"> </w:t>
      </w:r>
      <w:r w:rsidRPr="008733BB">
        <w:rPr>
          <w:lang w:val="fr-CH"/>
        </w:rPr>
        <w:t>explosives/classification/</w:t>
      </w:r>
      <w:r w:rsidR="006430FE">
        <w:rPr>
          <w:lang w:val="fr-CH"/>
        </w:rPr>
        <w:br/>
      </w:r>
      <w:r w:rsidRPr="008733BB">
        <w:rPr>
          <w:lang w:val="fr-CH"/>
        </w:rPr>
        <w:t>analogy.htm</w:t>
      </w:r>
      <w:r>
        <w:t>.</w:t>
      </w: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Comme dans le cas du classement des explosifs</w:t>
      </w:r>
      <w:r>
        <w:t xml:space="preserve">, la décision finale revient à l’autorité compétente, comme il est précisé dans la section 1.1.3 du </w:t>
      </w:r>
      <w:r w:rsidRPr="009B19B6">
        <w:t>Manuel d</w:t>
      </w:r>
      <w:r>
        <w:t>’</w:t>
      </w:r>
      <w:r w:rsidRPr="009B19B6">
        <w:t>épreuves et de critères</w:t>
      </w:r>
      <w:r>
        <w:t xml:space="preserve"> </w:t>
      </w:r>
      <w:r w:rsidRPr="008733BB">
        <w:rPr>
          <w:lang w:val="fr-CH"/>
        </w:rPr>
        <w:t>(</w:t>
      </w:r>
      <w:r>
        <w:t xml:space="preserve">conformément à la numérotation de la prochaine </w:t>
      </w:r>
      <w:proofErr w:type="spellStart"/>
      <w:r w:rsidR="006430FE">
        <w:t>sixème</w:t>
      </w:r>
      <w:proofErr w:type="spellEnd"/>
      <w:r>
        <w:t xml:space="preserve"> édition révisée</w:t>
      </w:r>
      <w:r w:rsidRPr="008733BB">
        <w:rPr>
          <w:lang w:val="fr-CH"/>
        </w:rPr>
        <w:t>).</w:t>
      </w: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 xml:space="preserve">Les indications relatives aux </w:t>
      </w:r>
      <w:r>
        <w:t>caractéristique</w:t>
      </w:r>
      <w:r w:rsidRPr="008733BB">
        <w:rPr>
          <w:lang w:val="fr-CH"/>
        </w:rPr>
        <w:t xml:space="preserve">s sont ventilées entre matières, </w:t>
      </w:r>
      <w:r>
        <w:t>objets et emballages. Le niveau de détail a été abaissé d’un cran par rapport à la proposition précédente pour tenir compte de l’</w:t>
      </w:r>
      <w:r w:rsidR="006430FE">
        <w:t>avis des experts.</w:t>
      </w:r>
    </w:p>
    <w:p w:rsidR="0046127A" w:rsidRPr="006430FE" w:rsidRDefault="0046127A" w:rsidP="006430FE">
      <w:pPr>
        <w:pStyle w:val="SingleTxt"/>
        <w:numPr>
          <w:ilvl w:val="0"/>
          <w:numId w:val="8"/>
        </w:numPr>
        <w:tabs>
          <w:tab w:val="clear" w:pos="475"/>
          <w:tab w:val="num" w:pos="1742"/>
        </w:tabs>
        <w:ind w:left="1267"/>
        <w:rPr>
          <w:lang w:val="fr-CH"/>
        </w:rPr>
      </w:pPr>
      <w:r w:rsidRPr="008733BB">
        <w:rPr>
          <w:lang w:val="fr-CH"/>
        </w:rPr>
        <w:t xml:space="preserve">Il est </w:t>
      </w:r>
      <w:r w:rsidRPr="00AC1C09">
        <w:t>proposé</w:t>
      </w:r>
      <w:r w:rsidRPr="008733BB">
        <w:rPr>
          <w:lang w:val="fr-CH"/>
        </w:rPr>
        <w:t xml:space="preserve"> d</w:t>
      </w:r>
      <w:r>
        <w:t>’</w:t>
      </w:r>
      <w:r w:rsidRPr="008733BB">
        <w:rPr>
          <w:lang w:val="fr-CH"/>
        </w:rPr>
        <w:t>ajouter une phrase à la section 1.1.3 du Manuel d</w:t>
      </w:r>
      <w:r>
        <w:t>’</w:t>
      </w:r>
      <w:r w:rsidRPr="008733BB">
        <w:rPr>
          <w:lang w:val="fr-CH"/>
        </w:rPr>
        <w:t>épreuves et de critères</w:t>
      </w:r>
      <w:r>
        <w:t xml:space="preserve"> pour y faire référence à l’</w:t>
      </w:r>
      <w:r w:rsidR="006430FE">
        <w:t>appendice proposé.</w:t>
      </w:r>
    </w:p>
    <w:p w:rsidR="006430FE" w:rsidRPr="006430FE" w:rsidRDefault="006430FE" w:rsidP="006430FE">
      <w:pPr>
        <w:pStyle w:val="SingleTxt"/>
        <w:spacing w:after="0" w:line="120" w:lineRule="exact"/>
        <w:rPr>
          <w:sz w:val="10"/>
          <w:lang w:val="fr-CH"/>
        </w:rPr>
      </w:pPr>
    </w:p>
    <w:p w:rsidR="006430FE" w:rsidRPr="006430FE" w:rsidRDefault="006430FE" w:rsidP="006430FE">
      <w:pPr>
        <w:pStyle w:val="SingleTxt"/>
        <w:spacing w:after="0" w:line="120" w:lineRule="exact"/>
        <w:rPr>
          <w:sz w:val="10"/>
          <w:lang w:val="fr-CH"/>
        </w:rPr>
      </w:pPr>
    </w:p>
    <w:p w:rsidR="0046127A" w:rsidRDefault="0046127A" w:rsidP="006430F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rsidRPr="00A30E69">
        <w:rPr>
          <w:lang w:val="en-US"/>
        </w:rPr>
        <w:tab/>
      </w:r>
      <w:r w:rsidRPr="00A30E69">
        <w:rPr>
          <w:lang w:val="en-US"/>
        </w:rPr>
        <w:tab/>
        <w:t>Propos</w:t>
      </w:r>
      <w:r>
        <w:rPr>
          <w:lang w:val="en-US"/>
        </w:rPr>
        <w:t>ition</w:t>
      </w:r>
    </w:p>
    <w:p w:rsidR="006430FE" w:rsidRPr="006430FE" w:rsidRDefault="006430FE" w:rsidP="006430FE">
      <w:pPr>
        <w:spacing w:line="120" w:lineRule="exact"/>
        <w:rPr>
          <w:sz w:val="10"/>
          <w:lang w:val="en-US"/>
        </w:rPr>
      </w:pPr>
    </w:p>
    <w:p w:rsidR="006430FE" w:rsidRPr="006430FE" w:rsidRDefault="006430FE" w:rsidP="006430FE">
      <w:pPr>
        <w:spacing w:line="120" w:lineRule="exact"/>
        <w:rPr>
          <w:sz w:val="10"/>
          <w:lang w:val="en-US"/>
        </w:rPr>
      </w:pPr>
    </w:p>
    <w:p w:rsidR="0046127A" w:rsidRPr="008733BB" w:rsidRDefault="0046127A" w:rsidP="006430FE">
      <w:pPr>
        <w:pStyle w:val="SingleTxt"/>
        <w:numPr>
          <w:ilvl w:val="0"/>
          <w:numId w:val="8"/>
        </w:numPr>
        <w:tabs>
          <w:tab w:val="clear" w:pos="475"/>
          <w:tab w:val="num" w:pos="1742"/>
        </w:tabs>
        <w:ind w:left="1267"/>
        <w:rPr>
          <w:lang w:val="fr-CH"/>
        </w:rPr>
      </w:pPr>
      <w:r w:rsidRPr="008733BB">
        <w:rPr>
          <w:lang w:val="fr-CH"/>
        </w:rPr>
        <w:t>Ajouter dans le Manuel d</w:t>
      </w:r>
      <w:r>
        <w:t>’</w:t>
      </w:r>
      <w:r w:rsidRPr="008733BB">
        <w:rPr>
          <w:lang w:val="fr-CH"/>
        </w:rPr>
        <w:t xml:space="preserve">épreuves et de critères une </w:t>
      </w:r>
      <w:r w:rsidRPr="00AC1C09">
        <w:t>référence</w:t>
      </w:r>
      <w:r w:rsidRPr="008733BB">
        <w:rPr>
          <w:lang w:val="fr-CH"/>
        </w:rPr>
        <w:t xml:space="preserve"> à un nouvel appendice </w:t>
      </w:r>
      <w:r w:rsidR="006430FE">
        <w:rPr>
          <w:lang w:val="fr-CH"/>
        </w:rPr>
        <w:t>XX.</w:t>
      </w:r>
    </w:p>
    <w:p w:rsidR="0046127A" w:rsidRPr="00C3246A" w:rsidRDefault="005D63DD" w:rsidP="005D63DD">
      <w:pPr>
        <w:pStyle w:val="SingleTxt"/>
        <w:ind w:left="1742" w:hanging="475"/>
        <w:rPr>
          <w:lang w:val="en-US"/>
        </w:rPr>
      </w:pPr>
      <w:r>
        <w:tab/>
        <w:t>« </w:t>
      </w:r>
      <w:r w:rsidR="0046127A" w:rsidRPr="008733BB">
        <w:rPr>
          <w:lang w:val="fr-CH"/>
        </w:rPr>
        <w:t>1.1.3</w:t>
      </w:r>
      <w:r w:rsidR="0046127A" w:rsidRPr="008733BB">
        <w:rPr>
          <w:lang w:val="fr-CH"/>
        </w:rPr>
        <w:tab/>
        <w:t xml:space="preserve">Il </w:t>
      </w:r>
      <w:r w:rsidR="0046127A">
        <w:t xml:space="preserve">faut remarquer </w:t>
      </w:r>
      <w:r w:rsidR="0046127A" w:rsidRPr="008733BB">
        <w:rPr>
          <w:lang w:val="fr-CH"/>
        </w:rPr>
        <w:t>que</w:t>
      </w:r>
      <w:r w:rsidR="0046127A">
        <w:t xml:space="preserve"> </w:t>
      </w:r>
      <w:r w:rsidR="0046127A" w:rsidRPr="008733BB">
        <w:rPr>
          <w:lang w:val="fr-CH"/>
        </w:rPr>
        <w:t>le Manuel d</w:t>
      </w:r>
      <w:r w:rsidR="0046127A">
        <w:t>’</w:t>
      </w:r>
      <w:r w:rsidR="0046127A" w:rsidRPr="008733BB">
        <w:rPr>
          <w:lang w:val="fr-CH"/>
        </w:rPr>
        <w:t>épreuves et de critères n</w:t>
      </w:r>
      <w:r w:rsidR="0046127A">
        <w:t>’</w:t>
      </w:r>
      <w:r w:rsidR="0046127A" w:rsidRPr="008733BB">
        <w:rPr>
          <w:lang w:val="fr-CH"/>
        </w:rPr>
        <w:t>est pas une formulation concise de procédures d</w:t>
      </w:r>
      <w:r w:rsidR="0046127A">
        <w:t>’</w:t>
      </w:r>
      <w:r w:rsidR="0046127A" w:rsidRPr="008733BB">
        <w:rPr>
          <w:lang w:val="fr-CH"/>
        </w:rPr>
        <w:t>épreuve aboutissant infailliblement à un classement correct des produits.</w:t>
      </w:r>
      <w:r w:rsidR="0046127A">
        <w:t xml:space="preserve"> </w:t>
      </w:r>
      <w:r w:rsidR="0046127A" w:rsidRPr="00AC1C09">
        <w:t>Cela suppose donc que l</w:t>
      </w:r>
      <w:r w:rsidR="0046127A">
        <w:t>’</w:t>
      </w:r>
      <w:r w:rsidR="0046127A" w:rsidRPr="00AC1C09">
        <w:t>autorité chargée des épreuves soit compétente, et cela lui laisse la responsabilité du classement.</w:t>
      </w:r>
      <w:r w:rsidR="0046127A">
        <w:t xml:space="preserve"> </w:t>
      </w:r>
      <w:r w:rsidR="0046127A" w:rsidRPr="00FE30C1">
        <w:t>L</w:t>
      </w:r>
      <w:r w:rsidR="0046127A">
        <w:t>’</w:t>
      </w:r>
      <w:r w:rsidR="0046127A" w:rsidRPr="00FE30C1">
        <w:t>autorité compétente pourra renoncer à exécuter certaines épreuves, modifier les conditions d</w:t>
      </w:r>
      <w:r w:rsidR="0046127A">
        <w:t>’</w:t>
      </w:r>
      <w:r w:rsidR="0046127A" w:rsidRPr="00FE30C1">
        <w:t>épreuve et prescrire des épreuves supplémentaires si elle le considère nécessaire pour obtenir une évaluation fiable et réaliste des risques présentés par un produit.</w:t>
      </w:r>
      <w:r w:rsidR="0046127A">
        <w:t xml:space="preserve"> </w:t>
      </w:r>
      <w:r w:rsidR="0046127A" w:rsidRPr="00FE30C1">
        <w:t>Dans certains cas, on peut appliquer une procédure de présélection à échelle réduite pour décider s</w:t>
      </w:r>
      <w:r w:rsidR="0046127A">
        <w:t>’</w:t>
      </w:r>
      <w:r w:rsidR="0046127A" w:rsidRPr="00FE30C1">
        <w:t>il y a lieu ou non d</w:t>
      </w:r>
      <w:r w:rsidR="0046127A">
        <w:t>’</w:t>
      </w:r>
      <w:r w:rsidR="0046127A" w:rsidRPr="00FE30C1">
        <w:t>exécuter des épreuves de classement à pleine échelle.</w:t>
      </w:r>
      <w:r w:rsidR="0046127A">
        <w:t xml:space="preserve"> </w:t>
      </w:r>
      <w:r w:rsidR="0046127A" w:rsidRPr="00FE30C1">
        <w:t xml:space="preserve">Des exemples de procédures figurent </w:t>
      </w:r>
      <w:r w:rsidR="0046127A" w:rsidRPr="00FE30C1">
        <w:lastRenderedPageBreak/>
        <w:t>dans l</w:t>
      </w:r>
      <w:r w:rsidR="0046127A">
        <w:t>’</w:t>
      </w:r>
      <w:r w:rsidR="0046127A" w:rsidRPr="00FE30C1">
        <w:t>introduction à certaines séries d</w:t>
      </w:r>
      <w:r w:rsidR="0046127A">
        <w:t>’</w:t>
      </w:r>
      <w:r w:rsidR="0046127A" w:rsidRPr="00FE30C1">
        <w:t>épreuves ainsi que dans l</w:t>
      </w:r>
      <w:r w:rsidR="0046127A">
        <w:t>’</w:t>
      </w:r>
      <w:r w:rsidR="0046127A" w:rsidRPr="00FE30C1">
        <w:t>appendice 6.</w:t>
      </w:r>
      <w:r w:rsidR="0046127A">
        <w:t xml:space="preserve"> </w:t>
      </w:r>
      <w:r w:rsidR="0046127A" w:rsidRPr="008733BB">
        <w:rPr>
          <w:u w:val="single"/>
        </w:rPr>
        <w:t>On trouve dans l</w:t>
      </w:r>
      <w:r w:rsidR="0046127A">
        <w:rPr>
          <w:u w:val="single"/>
        </w:rPr>
        <w:t>’</w:t>
      </w:r>
      <w:r w:rsidR="0046127A" w:rsidRPr="008733BB">
        <w:rPr>
          <w:u w:val="single"/>
        </w:rPr>
        <w:t>appendice XX des indications concernant le classement par analogie avec des produits existants déjà éprouvés ou classés sans qu</w:t>
      </w:r>
      <w:r w:rsidR="0046127A">
        <w:rPr>
          <w:u w:val="single"/>
        </w:rPr>
        <w:t>’</w:t>
      </w:r>
      <w:r w:rsidR="0046127A" w:rsidRPr="008733BB">
        <w:rPr>
          <w:u w:val="single"/>
        </w:rPr>
        <w:t>il soit besoin de procéder à des épreuves supplémentaires, ou alors très limitées.</w:t>
      </w:r>
      <w:r w:rsidR="0046127A">
        <w:rPr>
          <w:u w:val="single"/>
        </w:rPr>
        <w:t xml:space="preserve"> </w:t>
      </w:r>
      <w:r w:rsidR="0046127A" w:rsidRPr="008733BB">
        <w:t>Les exemples qui peuvent être énumérés dans les différentes procédures d</w:t>
      </w:r>
      <w:r w:rsidR="0046127A">
        <w:t>’</w:t>
      </w:r>
      <w:r w:rsidR="0046127A" w:rsidRPr="008733BB">
        <w:t>épreuve sont donnés à des fins d</w:t>
      </w:r>
      <w:r w:rsidR="0046127A">
        <w:t>’</w:t>
      </w:r>
      <w:r w:rsidR="0046127A" w:rsidRPr="008733BB">
        <w:t>illustration et uniquement à titre indicatif.</w:t>
      </w:r>
      <w:r>
        <w:t> »</w:t>
      </w:r>
      <w:r w:rsidR="0046127A" w:rsidRPr="008733BB">
        <w:rPr>
          <w:lang w:val="en-US"/>
        </w:rPr>
        <w:t>.</w:t>
      </w:r>
    </w:p>
    <w:p w:rsidR="0046127A" w:rsidRPr="005D63DD" w:rsidRDefault="0046127A" w:rsidP="005D63DD">
      <w:pPr>
        <w:pStyle w:val="SingleTxt"/>
        <w:numPr>
          <w:ilvl w:val="0"/>
          <w:numId w:val="8"/>
        </w:numPr>
        <w:tabs>
          <w:tab w:val="clear" w:pos="475"/>
          <w:tab w:val="num" w:pos="1742"/>
        </w:tabs>
        <w:ind w:left="1267"/>
        <w:rPr>
          <w:lang w:val="fr-CH"/>
        </w:rPr>
      </w:pPr>
      <w:r w:rsidRPr="008733BB">
        <w:rPr>
          <w:lang w:val="fr-CH"/>
        </w:rPr>
        <w:t>Ajouter dans le Manuel d</w:t>
      </w:r>
      <w:r>
        <w:t>’</w:t>
      </w:r>
      <w:r w:rsidRPr="008733BB">
        <w:rPr>
          <w:lang w:val="fr-CH"/>
        </w:rPr>
        <w:t>épreuves et de critères un nouvel appendice XX</w:t>
      </w:r>
      <w:r>
        <w:t xml:space="preserve"> ainsi conçu</w:t>
      </w:r>
      <w:r w:rsidR="005D63DD">
        <w:t> </w:t>
      </w:r>
      <w:r>
        <w:t>:</w:t>
      </w:r>
    </w:p>
    <w:p w:rsidR="00A60BC1" w:rsidRPr="00997BC6" w:rsidRDefault="00A60BC1" w:rsidP="00997BC6">
      <w:pPr>
        <w:spacing w:line="120" w:lineRule="exact"/>
        <w:rPr>
          <w:sz w:val="10"/>
          <w:lang w:val="fr-CH"/>
        </w:rPr>
      </w:pPr>
    </w:p>
    <w:p w:rsidR="00997BC6" w:rsidRDefault="00997BC6">
      <w:pPr>
        <w:spacing w:line="240" w:lineRule="auto"/>
        <w:rPr>
          <w:sz w:val="10"/>
          <w:lang w:val="fr-CH"/>
        </w:rPr>
      </w:pPr>
    </w:p>
    <w:p w:rsidR="0046127A" w:rsidRDefault="0046127A" w:rsidP="005D63D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733BB">
        <w:rPr>
          <w:lang w:val="fr-CH"/>
        </w:rPr>
        <w:t>Appendice XX</w:t>
      </w:r>
    </w:p>
    <w:p w:rsidR="005D63DD" w:rsidRPr="005D63DD" w:rsidRDefault="005D63DD" w:rsidP="005D63DD">
      <w:pPr>
        <w:spacing w:line="120" w:lineRule="exact"/>
        <w:rPr>
          <w:sz w:val="10"/>
          <w:lang w:val="fr-CH"/>
        </w:rPr>
      </w:pPr>
    </w:p>
    <w:p w:rsidR="0046127A" w:rsidRDefault="0046127A" w:rsidP="005D63D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733BB">
        <w:rPr>
          <w:lang w:val="fr-CH"/>
        </w:rPr>
        <w:tab/>
      </w:r>
      <w:r w:rsidRPr="008733BB">
        <w:rPr>
          <w:lang w:val="fr-CH"/>
        </w:rPr>
        <w:tab/>
        <w:t>Classement des explosifs par analogie</w:t>
      </w:r>
    </w:p>
    <w:p w:rsidR="005D63DD" w:rsidRPr="005D63DD" w:rsidRDefault="005D63DD" w:rsidP="005D63DD">
      <w:pPr>
        <w:spacing w:line="120" w:lineRule="exact"/>
        <w:rPr>
          <w:sz w:val="10"/>
          <w:lang w:val="fr-CH"/>
        </w:rPr>
      </w:pPr>
    </w:p>
    <w:p w:rsidR="005D63DD" w:rsidRPr="005D63DD" w:rsidRDefault="005D63DD" w:rsidP="005D63DD">
      <w:pPr>
        <w:spacing w:line="120" w:lineRule="exact"/>
        <w:rPr>
          <w:sz w:val="10"/>
          <w:lang w:val="fr-CH"/>
        </w:rPr>
      </w:pPr>
    </w:p>
    <w:p w:rsidR="0046127A" w:rsidRDefault="0046127A" w:rsidP="005D63D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733BB">
        <w:rPr>
          <w:lang w:val="fr-CH"/>
        </w:rPr>
        <w:tab/>
        <w:t>1.</w:t>
      </w:r>
      <w:r w:rsidRPr="008733BB">
        <w:rPr>
          <w:lang w:val="fr-CH"/>
        </w:rPr>
        <w:tab/>
        <w:t>Objectif</w:t>
      </w:r>
    </w:p>
    <w:p w:rsidR="005D63DD" w:rsidRPr="005D63DD" w:rsidRDefault="005D63DD" w:rsidP="005D63DD">
      <w:pPr>
        <w:spacing w:line="120" w:lineRule="exact"/>
        <w:rPr>
          <w:sz w:val="10"/>
          <w:lang w:val="fr-CH"/>
        </w:rPr>
      </w:pPr>
    </w:p>
    <w:p w:rsidR="005D63DD" w:rsidRPr="005D63DD" w:rsidRDefault="005D63DD" w:rsidP="005D63DD">
      <w:pPr>
        <w:spacing w:line="120" w:lineRule="exact"/>
        <w:rPr>
          <w:sz w:val="10"/>
          <w:lang w:val="fr-CH"/>
        </w:rPr>
      </w:pPr>
    </w:p>
    <w:p w:rsidR="0046127A" w:rsidRPr="008733BB" w:rsidRDefault="0046127A" w:rsidP="005D63DD">
      <w:pPr>
        <w:pStyle w:val="SingleTxt"/>
        <w:rPr>
          <w:lang w:val="fr-CH"/>
        </w:rPr>
      </w:pPr>
      <w:r w:rsidRPr="008733BB">
        <w:rPr>
          <w:lang w:val="fr-CH"/>
        </w:rPr>
        <w:t>1.1</w:t>
      </w:r>
      <w:r w:rsidRPr="008733BB">
        <w:rPr>
          <w:lang w:val="fr-CH"/>
        </w:rPr>
        <w:tab/>
        <w:t>À la différence de</w:t>
      </w:r>
      <w:r>
        <w:t xml:space="preserve"> la plupart de</w:t>
      </w:r>
      <w:r w:rsidRPr="008733BB">
        <w:rPr>
          <w:lang w:val="fr-CH"/>
        </w:rPr>
        <w:t>s</w:t>
      </w:r>
      <w:r>
        <w:t xml:space="preserve"> </w:t>
      </w:r>
      <w:r w:rsidRPr="008733BB">
        <w:rPr>
          <w:lang w:val="fr-CH"/>
        </w:rPr>
        <w:t>produits chimiques qui sont classés par l</w:t>
      </w:r>
      <w:r>
        <w:t>’</w:t>
      </w:r>
      <w:r w:rsidRPr="008733BB">
        <w:rPr>
          <w:lang w:val="fr-CH"/>
        </w:rPr>
        <w:t>industrie</w:t>
      </w:r>
      <w:r>
        <w:t xml:space="preserve"> elle-même</w:t>
      </w:r>
      <w:r w:rsidRPr="008733BB">
        <w:rPr>
          <w:lang w:val="fr-CH"/>
        </w:rPr>
        <w:t>, les explosifs doivent souvent obtenir un agrément écrit d</w:t>
      </w:r>
      <w:r>
        <w:t>’</w:t>
      </w:r>
      <w:r w:rsidRPr="008733BB">
        <w:rPr>
          <w:lang w:val="fr-CH"/>
        </w:rPr>
        <w:t>une ou de plusieurs autorité</w:t>
      </w:r>
      <w:r>
        <w:t>(</w:t>
      </w:r>
      <w:r w:rsidRPr="008733BB">
        <w:rPr>
          <w:lang w:val="fr-CH"/>
        </w:rPr>
        <w:t>s</w:t>
      </w:r>
      <w:r>
        <w:t>)</w:t>
      </w:r>
      <w:r w:rsidRPr="008733BB">
        <w:rPr>
          <w:lang w:val="fr-CH"/>
        </w:rPr>
        <w:t xml:space="preserve"> compétente</w:t>
      </w:r>
      <w:r>
        <w:t>(</w:t>
      </w:r>
      <w:r w:rsidRPr="008733BB">
        <w:rPr>
          <w:lang w:val="fr-CH"/>
        </w:rPr>
        <w:t>s</w:t>
      </w:r>
      <w:r>
        <w:t>)</w:t>
      </w:r>
      <w:r w:rsidRPr="008733BB">
        <w:rPr>
          <w:lang w:val="fr-CH"/>
        </w:rPr>
        <w:t xml:space="preserve"> pour satisfaire aux réglementations nationales ou régionales sur les explosifs.</w:t>
      </w:r>
      <w:r>
        <w:t xml:space="preserve"> </w:t>
      </w:r>
      <w:r w:rsidRPr="00EE3FEF">
        <w:t xml:space="preserve">De même, les matières </w:t>
      </w:r>
      <w:proofErr w:type="spellStart"/>
      <w:r w:rsidRPr="00EE3FEF">
        <w:t>autoréactives</w:t>
      </w:r>
      <w:proofErr w:type="spellEnd"/>
      <w:r w:rsidRPr="00EE3FEF">
        <w:t xml:space="preserve"> et les peroxydes organiques peuvent être concernés par ces réglementations ou par une autre législation</w:t>
      </w:r>
      <w:r>
        <w:t xml:space="preserve"> et le présent appendice peut aussi s’appliquer à leur classement</w:t>
      </w:r>
      <w:r w:rsidRPr="00EE3FEF">
        <w:t>.</w:t>
      </w:r>
      <w:r>
        <w:t xml:space="preserve"> </w:t>
      </w:r>
      <w:r w:rsidRPr="0074429A">
        <w:t xml:space="preserve">Les produits ainsi contrôlés sont </w:t>
      </w:r>
      <w:r>
        <w:t xml:space="preserve">classés sur la base </w:t>
      </w:r>
      <w:r w:rsidRPr="00C94811">
        <w:t>d</w:t>
      </w:r>
      <w:r>
        <w:t>’</w:t>
      </w:r>
      <w:r w:rsidRPr="00C94811">
        <w:t>épreuves effectuées sur une petite échelle et d</w:t>
      </w:r>
      <w:r>
        <w:t>’</w:t>
      </w:r>
      <w:r w:rsidRPr="00C94811">
        <w:t>une vérification empirique à grande échelle</w:t>
      </w:r>
      <w:r>
        <w:t xml:space="preserve"> conformément aux </w:t>
      </w:r>
      <w:r w:rsidRPr="00C94811">
        <w:t xml:space="preserve">procédures de classement figurant dans le </w:t>
      </w:r>
      <w:r>
        <w:t xml:space="preserve">présent </w:t>
      </w:r>
      <w:r w:rsidRPr="00C94811">
        <w:t>Manuel d</w:t>
      </w:r>
      <w:r>
        <w:t>’</w:t>
      </w:r>
      <w:r w:rsidRPr="00C94811">
        <w:t>épreuves et de critères</w:t>
      </w:r>
      <w:r>
        <w:t xml:space="preserve">. Des combinaisons spécifiques de caractéristiques chimiques et physiques, d’emballages et de modèles d’objets sont évaluées. Il en résulte un niveau de contrôle supérieur à ce qui s’applique normalement aux marchandises dangereuses. Les produits ainsi contrôlés varient considérablement en termes de dangerosité, puisque </w:t>
      </w:r>
      <w:r w:rsidRPr="004B552A">
        <w:t xml:space="preserve">les explosifs peuvent aller de la </w:t>
      </w:r>
      <w:r w:rsidRPr="008733BB">
        <w:rPr>
          <w:lang w:val="fr-CH"/>
        </w:rPr>
        <w:t xml:space="preserve">division 1.1 à la division 1.4, groupe de compatibilité S et </w:t>
      </w:r>
      <w:r w:rsidRPr="004B552A">
        <w:t>présenter</w:t>
      </w:r>
      <w:r w:rsidRPr="008733BB">
        <w:rPr>
          <w:lang w:val="fr-CH"/>
        </w:rPr>
        <w:t xml:space="preserve"> moins de danger que </w:t>
      </w:r>
      <w:r>
        <w:t xml:space="preserve">des produits qui sont classés par </w:t>
      </w:r>
      <w:proofErr w:type="gramStart"/>
      <w:r>
        <w:t>leur fabricants</w:t>
      </w:r>
      <w:proofErr w:type="gramEnd"/>
      <w:r>
        <w:t xml:space="preserve"> eux-mêmes. Par conséquent, les autorités compétentes doivent faire preuve de jugement pour </w:t>
      </w:r>
      <w:r w:rsidRPr="00F55E80">
        <w:t xml:space="preserve">à la fois </w:t>
      </w:r>
      <w:r>
        <w:t>assurer la séc</w:t>
      </w:r>
      <w:r w:rsidR="005D63DD">
        <w:t>urité et faciliter le commerce.</w:t>
      </w:r>
    </w:p>
    <w:p w:rsidR="0046127A" w:rsidRDefault="0046127A" w:rsidP="005D63DD">
      <w:pPr>
        <w:pStyle w:val="SingleTxt"/>
      </w:pPr>
      <w:r w:rsidRPr="008733BB">
        <w:rPr>
          <w:lang w:val="fr-CH"/>
        </w:rPr>
        <w:t>1.2</w:t>
      </w:r>
      <w:r w:rsidRPr="008733BB">
        <w:rPr>
          <w:lang w:val="fr-CH"/>
        </w:rPr>
        <w:tab/>
        <w:t>La capacité d</w:t>
      </w:r>
      <w:r>
        <w:t>’</w:t>
      </w:r>
      <w:r w:rsidRPr="008733BB">
        <w:rPr>
          <w:lang w:val="fr-CH"/>
        </w:rPr>
        <w:t>éprouver chaque variation n</w:t>
      </w:r>
      <w:r>
        <w:t>’</w:t>
      </w:r>
      <w:r w:rsidRPr="008733BB">
        <w:rPr>
          <w:lang w:val="fr-CH"/>
        </w:rPr>
        <w:t>existe pas pour un nombre infini de produits. Les modifications qui n</w:t>
      </w:r>
      <w:r>
        <w:t>’</w:t>
      </w:r>
      <w:r w:rsidRPr="008733BB">
        <w:rPr>
          <w:lang w:val="fr-CH"/>
        </w:rPr>
        <w:t>ont pas d</w:t>
      </w:r>
      <w:r>
        <w:t>’</w:t>
      </w:r>
      <w:r w:rsidRPr="008733BB">
        <w:rPr>
          <w:lang w:val="fr-CH"/>
        </w:rPr>
        <w:t xml:space="preserve">effet sur le classement </w:t>
      </w:r>
      <w:r>
        <w:t xml:space="preserve">sont </w:t>
      </w:r>
      <w:r w:rsidRPr="008733BB">
        <w:rPr>
          <w:lang w:val="fr-CH"/>
        </w:rPr>
        <w:t xml:space="preserve">autorisées </w:t>
      </w:r>
      <w:r>
        <w:t>s</w:t>
      </w:r>
      <w:r w:rsidRPr="008733BB">
        <w:rPr>
          <w:lang w:val="fr-CH"/>
        </w:rPr>
        <w:t xml:space="preserve">ans </w:t>
      </w:r>
      <w:proofErr w:type="spellStart"/>
      <w:r w:rsidRPr="008733BB">
        <w:rPr>
          <w:lang w:val="fr-CH"/>
        </w:rPr>
        <w:t>qu</w:t>
      </w:r>
      <w:proofErr w:type="spellEnd"/>
      <w:r>
        <w:t>’</w:t>
      </w:r>
      <w:r w:rsidRPr="008733BB">
        <w:rPr>
          <w:lang w:val="fr-CH"/>
        </w:rPr>
        <w:t xml:space="preserve">il soit besoin de procéder à de nouvelles épreuves, </w:t>
      </w:r>
      <w:r>
        <w:t xml:space="preserve">mais elles sont toujours sujettes à évaluation et documentation par l’autorité compétente. Ainsi donc, si de nombreux produits sont soumis aux épreuves, d’autres peuvent être </w:t>
      </w:r>
      <w:r w:rsidRPr="009D1D81">
        <w:t xml:space="preserve">approuvés par </w:t>
      </w:r>
      <w:r>
        <w:t>d’autres méthodes, notamment par analogie, expertise, réciprocité, détermination de modifications négligeables</w:t>
      </w:r>
      <w:r w:rsidR="005D63DD">
        <w:t xml:space="preserve"> ou défauts de réglementation.</w:t>
      </w:r>
    </w:p>
    <w:p w:rsidR="0046127A" w:rsidRDefault="0046127A" w:rsidP="005D63DD">
      <w:pPr>
        <w:pStyle w:val="SingleTxt"/>
      </w:pPr>
      <w:r w:rsidRPr="008733BB">
        <w:rPr>
          <w:lang w:val="fr-CH"/>
        </w:rPr>
        <w:t>1.3</w:t>
      </w:r>
      <w:r w:rsidRPr="008733BB">
        <w:rPr>
          <w:lang w:val="fr-CH"/>
        </w:rPr>
        <w:tab/>
        <w:t>L</w:t>
      </w:r>
      <w:r>
        <w:t>’</w:t>
      </w:r>
      <w:r w:rsidRPr="008733BB">
        <w:rPr>
          <w:lang w:val="fr-CH"/>
        </w:rPr>
        <w:t xml:space="preserve">agrément de produit par </w:t>
      </w:r>
      <w:r w:rsidR="00B95816">
        <w:t>« </w:t>
      </w:r>
      <w:r w:rsidRPr="008733BB">
        <w:rPr>
          <w:lang w:val="fr-CH"/>
        </w:rPr>
        <w:t>analogie</w:t>
      </w:r>
      <w:r w:rsidR="00B95816">
        <w:rPr>
          <w:lang w:val="fr-CH"/>
        </w:rPr>
        <w:t> »</w:t>
      </w:r>
      <w:r w:rsidRPr="008733BB">
        <w:rPr>
          <w:lang w:val="fr-CH"/>
        </w:rPr>
        <w:t xml:space="preserve"> consiste à les comparer avec des produits existants </w:t>
      </w:r>
      <w:r>
        <w:t xml:space="preserve">déjà éprouvés ou classés, </w:t>
      </w:r>
      <w:r w:rsidRPr="00F9001E">
        <w:t>sans qu</w:t>
      </w:r>
      <w:r>
        <w:t>’</w:t>
      </w:r>
      <w:r w:rsidRPr="00F9001E">
        <w:t>il soit besoin de procéder à des épreuves supplémentaires, ou alors très limitées</w:t>
      </w:r>
      <w:r>
        <w:t>. Le présent appendice vise à indiquer comment procéder à des agréments par analogie. Cette procédure peut être simple ou compliquée selon les différences qui existent entre les produits de référence et les produits candidats. L’importance de ces différences fait qu’elles sont acceptables ou non à des fi</w:t>
      </w:r>
      <w:r w:rsidR="005D63DD">
        <w:t>ns de comparaison.</w:t>
      </w:r>
    </w:p>
    <w:p w:rsidR="005D63DD" w:rsidRPr="005D63DD" w:rsidRDefault="005D63DD" w:rsidP="005D63DD">
      <w:pPr>
        <w:pStyle w:val="SingleTxt"/>
        <w:spacing w:after="0" w:line="120" w:lineRule="exact"/>
        <w:rPr>
          <w:sz w:val="10"/>
        </w:rPr>
      </w:pPr>
    </w:p>
    <w:p w:rsidR="005D63DD" w:rsidRPr="005D63DD" w:rsidRDefault="005D63DD" w:rsidP="005D63DD">
      <w:pPr>
        <w:pStyle w:val="SingleTxt"/>
        <w:spacing w:after="0" w:line="120" w:lineRule="exact"/>
        <w:rPr>
          <w:sz w:val="10"/>
          <w:lang w:val="fr-CH"/>
        </w:rPr>
      </w:pPr>
    </w:p>
    <w:p w:rsidR="0046127A" w:rsidRDefault="0046127A" w:rsidP="005D63D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733BB">
        <w:rPr>
          <w:lang w:val="fr-CH"/>
        </w:rPr>
        <w:tab/>
        <w:t>2.</w:t>
      </w:r>
      <w:r w:rsidRPr="008733BB">
        <w:rPr>
          <w:lang w:val="fr-CH"/>
        </w:rPr>
        <w:tab/>
        <w:t>Champ d</w:t>
      </w:r>
      <w:r>
        <w:t>’</w:t>
      </w:r>
      <w:r w:rsidRPr="008733BB">
        <w:rPr>
          <w:lang w:val="fr-CH"/>
        </w:rPr>
        <w:t>application</w:t>
      </w:r>
    </w:p>
    <w:p w:rsidR="005D63DD" w:rsidRPr="005D63DD" w:rsidRDefault="005D63DD" w:rsidP="005D63DD">
      <w:pPr>
        <w:spacing w:line="120" w:lineRule="exact"/>
        <w:rPr>
          <w:sz w:val="10"/>
          <w:lang w:val="fr-CH"/>
        </w:rPr>
      </w:pPr>
    </w:p>
    <w:p w:rsidR="005D63DD" w:rsidRPr="005D63DD" w:rsidRDefault="005D63DD" w:rsidP="005D63DD">
      <w:pPr>
        <w:spacing w:line="120" w:lineRule="exact"/>
        <w:rPr>
          <w:sz w:val="10"/>
          <w:lang w:val="fr-CH"/>
        </w:rPr>
      </w:pPr>
    </w:p>
    <w:p w:rsidR="0046127A" w:rsidRPr="008733BB" w:rsidRDefault="0046127A" w:rsidP="005D63DD">
      <w:pPr>
        <w:pStyle w:val="SingleTxt"/>
        <w:rPr>
          <w:lang w:val="fr-CH"/>
        </w:rPr>
      </w:pPr>
      <w:r w:rsidRPr="008733BB">
        <w:rPr>
          <w:lang w:val="fr-CH"/>
        </w:rPr>
        <w:t>2.1</w:t>
      </w:r>
      <w:r w:rsidRPr="008733BB">
        <w:rPr>
          <w:lang w:val="fr-CH"/>
        </w:rPr>
        <w:tab/>
        <w:t>L</w:t>
      </w:r>
      <w:r>
        <w:t>’</w:t>
      </w:r>
      <w:r w:rsidRPr="008733BB">
        <w:rPr>
          <w:lang w:val="fr-CH"/>
        </w:rPr>
        <w:t>agrément par analogie d</w:t>
      </w:r>
      <w:r>
        <w:t>’</w:t>
      </w:r>
      <w:r w:rsidRPr="008733BB">
        <w:rPr>
          <w:lang w:val="fr-CH"/>
        </w:rPr>
        <w:t>un</w:t>
      </w:r>
      <w:r>
        <w:t xml:space="preserve"> produit </w:t>
      </w:r>
      <w:r w:rsidRPr="008733BB">
        <w:rPr>
          <w:lang w:val="fr-CH"/>
        </w:rPr>
        <w:t>candidat</w:t>
      </w:r>
      <w:r>
        <w:t xml:space="preserve"> repose sur la comparaison avec un ou plusieurs produit(s) de référence servant de base de classement </w:t>
      </w:r>
      <w:r w:rsidRPr="00F9001E">
        <w:t>sans épreuve supplémentaire, ou alors très limitée</w:t>
      </w:r>
      <w:r>
        <w:t>. La matière ou l’objet de référence doit avoir été classé conformément au Ma</w:t>
      </w:r>
      <w:r w:rsidR="005D63DD">
        <w:t>nuel d’épreuves et de critères.</w:t>
      </w:r>
    </w:p>
    <w:p w:rsidR="0046127A" w:rsidRPr="008733BB" w:rsidRDefault="0046127A" w:rsidP="005D63DD">
      <w:pPr>
        <w:pStyle w:val="SingleTxt"/>
        <w:rPr>
          <w:lang w:val="fr-CH"/>
        </w:rPr>
      </w:pPr>
      <w:r w:rsidRPr="008733BB">
        <w:rPr>
          <w:lang w:val="fr-CH"/>
        </w:rPr>
        <w:t>2.2</w:t>
      </w:r>
      <w:r w:rsidRPr="008733BB">
        <w:rPr>
          <w:lang w:val="fr-CH"/>
        </w:rPr>
        <w:tab/>
        <w:t>Le demandeur doit d</w:t>
      </w:r>
      <w:r>
        <w:t>’</w:t>
      </w:r>
      <w:r w:rsidRPr="008733BB">
        <w:rPr>
          <w:lang w:val="fr-CH"/>
        </w:rPr>
        <w:t xml:space="preserve">abord </w:t>
      </w:r>
      <w:r w:rsidRPr="001045C0">
        <w:t>déterminer</w:t>
      </w:r>
      <w:r w:rsidRPr="008733BB">
        <w:rPr>
          <w:lang w:val="fr-CH"/>
        </w:rPr>
        <w:t xml:space="preserve"> quelles sont les caractéristiques</w:t>
      </w:r>
      <w:r>
        <w:t xml:space="preserve"> critiques, si le(s) candidat(s) entre(nt) dans le cadre de la ou des référence(s). Les informations à l’appui de la demande doivent permettre de comparer la référence et le candidat, par exemple à l’aide d’un tableau et d’une explic</w:t>
      </w:r>
      <w:r w:rsidR="005D63DD">
        <w:t>ation technique, selon le cas.</w:t>
      </w:r>
    </w:p>
    <w:p w:rsidR="0046127A" w:rsidRDefault="0046127A" w:rsidP="005D63DD">
      <w:pPr>
        <w:pStyle w:val="SingleTxt"/>
      </w:pPr>
      <w:r w:rsidRPr="008733BB">
        <w:rPr>
          <w:lang w:val="fr-CH"/>
        </w:rPr>
        <w:t>2.3</w:t>
      </w:r>
      <w:r w:rsidRPr="008733BB">
        <w:rPr>
          <w:lang w:val="fr-CH"/>
        </w:rPr>
        <w:tab/>
        <w:t>La méthode par analogie</w:t>
      </w:r>
      <w:r>
        <w:t xml:space="preserve"> </w:t>
      </w:r>
      <w:r w:rsidRPr="008733BB">
        <w:rPr>
          <w:lang w:val="fr-CH"/>
        </w:rPr>
        <w:t xml:space="preserve">peut être </w:t>
      </w:r>
      <w:r w:rsidRPr="001045C0">
        <w:t>appliquée</w:t>
      </w:r>
      <w:r w:rsidRPr="008733BB">
        <w:rPr>
          <w:lang w:val="fr-CH"/>
        </w:rPr>
        <w:t xml:space="preserve"> conjointement avec </w:t>
      </w:r>
      <w:r>
        <w:t xml:space="preserve">l’un ou l’autre des </w:t>
      </w:r>
      <w:r w:rsidRPr="008733BB">
        <w:rPr>
          <w:lang w:val="fr-CH"/>
        </w:rPr>
        <w:t>moyens</w:t>
      </w:r>
      <w:r>
        <w:t xml:space="preserve"> différents des épreuves évoqués au paragraphe 1.2 ci-dessus et les limites de la méthode par analogie n’empêchent pas de recourir à d’autres méthodes seules ou combinées. L’expertise et la discrétion de l’autorité compétente sont toutefois primordiales et ce sont elles qui priment (voir la sec</w:t>
      </w:r>
      <w:r w:rsidR="005D63DD">
        <w:t>tion 1.1.3 du présent Manuel).</w:t>
      </w:r>
    </w:p>
    <w:p w:rsidR="004304A4" w:rsidRPr="004304A4" w:rsidRDefault="004304A4" w:rsidP="004304A4">
      <w:pPr>
        <w:pStyle w:val="SingleTxt"/>
        <w:spacing w:after="0" w:line="120" w:lineRule="exact"/>
        <w:rPr>
          <w:sz w:val="10"/>
        </w:rPr>
      </w:pPr>
    </w:p>
    <w:p w:rsidR="004304A4" w:rsidRPr="004304A4" w:rsidRDefault="004304A4" w:rsidP="004304A4">
      <w:pPr>
        <w:pStyle w:val="SingleTxt"/>
        <w:spacing w:after="0" w:line="120" w:lineRule="exact"/>
        <w:rPr>
          <w:sz w:val="10"/>
          <w:lang w:val="fr-CH"/>
        </w:rPr>
      </w:pPr>
    </w:p>
    <w:p w:rsidR="0046127A" w:rsidRDefault="0046127A" w:rsidP="004304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30E69">
        <w:rPr>
          <w:lang w:val="en-US"/>
        </w:rPr>
        <w:tab/>
      </w:r>
      <w:r w:rsidRPr="008733BB">
        <w:rPr>
          <w:lang w:val="fr-CH"/>
        </w:rPr>
        <w:t>3.</w:t>
      </w:r>
      <w:r w:rsidRPr="008733BB">
        <w:rPr>
          <w:lang w:val="fr-CH"/>
        </w:rPr>
        <w:tab/>
      </w:r>
      <w:r>
        <w:t>Caractéristique</w:t>
      </w:r>
      <w:r w:rsidRPr="008733BB">
        <w:rPr>
          <w:lang w:val="fr-CH"/>
        </w:rPr>
        <w:t>s</w:t>
      </w:r>
    </w:p>
    <w:p w:rsidR="004304A4" w:rsidRPr="004304A4" w:rsidRDefault="004304A4" w:rsidP="004304A4">
      <w:pPr>
        <w:spacing w:line="120" w:lineRule="exact"/>
        <w:rPr>
          <w:sz w:val="10"/>
          <w:lang w:val="fr-CH"/>
        </w:rPr>
      </w:pPr>
    </w:p>
    <w:p w:rsidR="004304A4" w:rsidRPr="004304A4" w:rsidRDefault="004304A4" w:rsidP="004304A4">
      <w:pPr>
        <w:spacing w:line="120" w:lineRule="exact"/>
        <w:rPr>
          <w:sz w:val="10"/>
          <w:lang w:val="fr-CH"/>
        </w:rPr>
      </w:pPr>
    </w:p>
    <w:p w:rsidR="0046127A" w:rsidRPr="008733BB" w:rsidRDefault="00B95816" w:rsidP="004304A4">
      <w:pPr>
        <w:pStyle w:val="SingleTxt"/>
        <w:rPr>
          <w:lang w:val="fr-CH"/>
        </w:rPr>
      </w:pPr>
      <w:r>
        <w:rPr>
          <w:lang w:val="fr-CH"/>
        </w:rPr>
        <w:tab/>
      </w:r>
      <w:r w:rsidR="0046127A" w:rsidRPr="008733BB">
        <w:rPr>
          <w:lang w:val="fr-CH"/>
        </w:rPr>
        <w:t xml:space="preserve">Les </w:t>
      </w:r>
      <w:r w:rsidR="0046127A">
        <w:t>caractéristique</w:t>
      </w:r>
      <w:r w:rsidR="0046127A" w:rsidRPr="008733BB">
        <w:rPr>
          <w:lang w:val="fr-CH"/>
        </w:rPr>
        <w:t>s suivant</w:t>
      </w:r>
      <w:r w:rsidR="0046127A">
        <w:t>e</w:t>
      </w:r>
      <w:r w:rsidR="0046127A" w:rsidRPr="008733BB">
        <w:rPr>
          <w:lang w:val="fr-CH"/>
        </w:rPr>
        <w:t xml:space="preserve">s </w:t>
      </w:r>
      <w:proofErr w:type="spellStart"/>
      <w:r w:rsidR="0046127A" w:rsidRPr="008733BB">
        <w:rPr>
          <w:lang w:val="fr-CH"/>
        </w:rPr>
        <w:t>relati</w:t>
      </w:r>
      <w:r w:rsidR="0046127A">
        <w:t>ve</w:t>
      </w:r>
      <w:proofErr w:type="spellEnd"/>
      <w:r w:rsidR="0046127A" w:rsidRPr="008733BB">
        <w:rPr>
          <w:lang w:val="fr-CH"/>
        </w:rPr>
        <w:t>s aux données techniques peuvent</w:t>
      </w:r>
      <w:r w:rsidR="0046127A">
        <w:t xml:space="preserve"> avoir de l’importance pour le classement par analogie et elles sont présentées à ce titre; elles ne doivent </w:t>
      </w:r>
      <w:r w:rsidR="0046127A" w:rsidRPr="003D3F5B">
        <w:t xml:space="preserve">toutefois </w:t>
      </w:r>
      <w:r w:rsidR="0046127A">
        <w:t>pas être considérées comme absolues et inclusives. Les caractéristiques sont divisées en matières, objets et emballages.</w:t>
      </w:r>
    </w:p>
    <w:p w:rsidR="0046127A" w:rsidRPr="008733BB" w:rsidRDefault="0046127A" w:rsidP="004304A4">
      <w:pPr>
        <w:pStyle w:val="SingleTxt"/>
        <w:rPr>
          <w:lang w:val="fr-CH"/>
        </w:rPr>
      </w:pPr>
      <w:r w:rsidRPr="008733BB">
        <w:rPr>
          <w:lang w:val="fr-CH"/>
        </w:rPr>
        <w:t>3.1</w:t>
      </w:r>
      <w:r w:rsidRPr="008733BB">
        <w:rPr>
          <w:lang w:val="fr-CH"/>
        </w:rPr>
        <w:tab/>
      </w:r>
      <w:r>
        <w:t>C</w:t>
      </w:r>
      <w:r w:rsidRPr="005B0A59">
        <w:t>aractéristiques</w:t>
      </w:r>
      <w:r w:rsidRPr="008733BB">
        <w:rPr>
          <w:lang w:val="fr-CH"/>
        </w:rPr>
        <w:t xml:space="preserve"> des matières</w:t>
      </w:r>
    </w:p>
    <w:p w:rsidR="0046127A" w:rsidRPr="008733BB" w:rsidRDefault="0046127A" w:rsidP="00A60BC1">
      <w:pPr>
        <w:pStyle w:val="Bullet1"/>
        <w:rPr>
          <w:lang w:val="fr-CH"/>
        </w:rPr>
      </w:pPr>
      <w:r w:rsidRPr="008733BB">
        <w:rPr>
          <w:lang w:val="fr-CH"/>
        </w:rPr>
        <w:t>Pou</w:t>
      </w:r>
      <w:r>
        <w:t>r</w:t>
      </w:r>
      <w:proofErr w:type="spellStart"/>
      <w:r w:rsidRPr="008733BB">
        <w:rPr>
          <w:lang w:val="fr-CH"/>
        </w:rPr>
        <w:t>centages</w:t>
      </w:r>
      <w:proofErr w:type="spellEnd"/>
      <w:r w:rsidRPr="008733BB">
        <w:rPr>
          <w:lang w:val="fr-CH"/>
        </w:rPr>
        <w:t xml:space="preserve"> des ingrédients</w:t>
      </w:r>
    </w:p>
    <w:p w:rsidR="0046127A" w:rsidRPr="008733BB" w:rsidRDefault="0046127A" w:rsidP="00A60BC1">
      <w:pPr>
        <w:pStyle w:val="Bullet1"/>
        <w:rPr>
          <w:lang w:val="fr-CH"/>
        </w:rPr>
      </w:pPr>
      <w:r w:rsidRPr="008733BB">
        <w:rPr>
          <w:lang w:val="fr-CH"/>
        </w:rPr>
        <w:t xml:space="preserve">Variations chimiques ou </w:t>
      </w:r>
      <w:r>
        <w:t>remplacements</w:t>
      </w:r>
    </w:p>
    <w:p w:rsidR="0046127A" w:rsidRPr="00A30E69" w:rsidRDefault="004304A4" w:rsidP="00A60BC1">
      <w:pPr>
        <w:pStyle w:val="Bullet1"/>
        <w:rPr>
          <w:lang w:val="en-GB"/>
        </w:rPr>
      </w:pPr>
      <w:r>
        <w:rPr>
          <w:lang w:val="en-GB"/>
        </w:rPr>
        <w:t>Surface</w:t>
      </w:r>
    </w:p>
    <w:p w:rsidR="0046127A" w:rsidRPr="008733BB" w:rsidRDefault="0046127A" w:rsidP="00A60BC1">
      <w:pPr>
        <w:pStyle w:val="Bullet1"/>
        <w:rPr>
          <w:lang w:val="fr-CH"/>
        </w:rPr>
      </w:pPr>
      <w:r w:rsidRPr="00710505">
        <w:t>Répartit</w:t>
      </w:r>
      <w:r w:rsidR="004304A4">
        <w:t>ion de la taille des particules</w:t>
      </w:r>
    </w:p>
    <w:p w:rsidR="0046127A" w:rsidRPr="008733BB" w:rsidRDefault="004304A4" w:rsidP="00A60BC1">
      <w:pPr>
        <w:pStyle w:val="Bullet1"/>
        <w:rPr>
          <w:lang w:val="fr-CH"/>
        </w:rPr>
      </w:pPr>
      <w:r>
        <w:rPr>
          <w:lang w:val="fr-CH"/>
        </w:rPr>
        <w:t>Densité</w:t>
      </w:r>
    </w:p>
    <w:p w:rsidR="0046127A" w:rsidRPr="008733BB" w:rsidRDefault="0046127A" w:rsidP="004304A4">
      <w:pPr>
        <w:pStyle w:val="SingleTxt"/>
        <w:rPr>
          <w:lang w:val="fr-CH"/>
        </w:rPr>
      </w:pPr>
      <w:r w:rsidRPr="008733BB">
        <w:rPr>
          <w:lang w:val="fr-CH"/>
        </w:rPr>
        <w:t>3.2</w:t>
      </w:r>
      <w:r w:rsidRPr="008733BB">
        <w:rPr>
          <w:lang w:val="fr-CH"/>
        </w:rPr>
        <w:tab/>
      </w:r>
      <w:r>
        <w:t xml:space="preserve">Caractéristiques </w:t>
      </w:r>
      <w:r w:rsidR="004304A4">
        <w:rPr>
          <w:lang w:val="fr-CH"/>
        </w:rPr>
        <w:t>des objets</w:t>
      </w:r>
    </w:p>
    <w:p w:rsidR="0046127A" w:rsidRPr="008733BB" w:rsidRDefault="0046127A" w:rsidP="00A60BC1">
      <w:pPr>
        <w:pStyle w:val="Bullet1"/>
        <w:rPr>
          <w:lang w:val="fr-CH"/>
        </w:rPr>
      </w:pPr>
      <w:r w:rsidRPr="008733BB">
        <w:rPr>
          <w:lang w:val="fr-CH"/>
        </w:rPr>
        <w:t>Matière(s) contenue(s) dans l</w:t>
      </w:r>
      <w:r>
        <w:t>’</w:t>
      </w:r>
      <w:r w:rsidRPr="008733BB">
        <w:rPr>
          <w:lang w:val="fr-CH"/>
        </w:rPr>
        <w:t>objet (d</w:t>
      </w:r>
      <w:proofErr w:type="spellStart"/>
      <w:r>
        <w:t>éc</w:t>
      </w:r>
      <w:proofErr w:type="spellEnd"/>
      <w:r w:rsidRPr="008733BB">
        <w:rPr>
          <w:lang w:val="fr-CH"/>
        </w:rPr>
        <w:t>rit</w:t>
      </w:r>
      <w:r>
        <w:t>e</w:t>
      </w:r>
      <w:r w:rsidRPr="008733BB">
        <w:rPr>
          <w:lang w:val="fr-CH"/>
        </w:rPr>
        <w:t xml:space="preserve"> ci-dessus) </w:t>
      </w:r>
    </w:p>
    <w:p w:rsidR="0046127A" w:rsidRPr="008733BB" w:rsidRDefault="0046127A" w:rsidP="00A60BC1">
      <w:pPr>
        <w:pStyle w:val="Bullet1"/>
        <w:rPr>
          <w:lang w:val="fr-CH"/>
        </w:rPr>
      </w:pPr>
      <w:r>
        <w:t xml:space="preserve">Poids </w:t>
      </w:r>
      <w:r w:rsidRPr="008733BB">
        <w:rPr>
          <w:lang w:val="fr-CH"/>
        </w:rPr>
        <w:t xml:space="preserve">net </w:t>
      </w:r>
      <w:r w:rsidRPr="0054565A">
        <w:t>maximal</w:t>
      </w:r>
      <w:r>
        <w:t xml:space="preserve"> </w:t>
      </w:r>
      <w:r w:rsidRPr="008733BB">
        <w:rPr>
          <w:lang w:val="fr-CH"/>
        </w:rPr>
        <w:t>d</w:t>
      </w:r>
      <w:r>
        <w:t>’</w:t>
      </w:r>
      <w:r w:rsidRPr="008733BB">
        <w:rPr>
          <w:lang w:val="fr-CH"/>
        </w:rPr>
        <w:t>explosif par objet</w:t>
      </w:r>
    </w:p>
    <w:p w:rsidR="0046127A" w:rsidRPr="008733BB" w:rsidRDefault="0046127A" w:rsidP="00A60BC1">
      <w:pPr>
        <w:pStyle w:val="Bullet1"/>
        <w:rPr>
          <w:lang w:val="fr-CH"/>
        </w:rPr>
      </w:pPr>
      <w:r>
        <w:t>Conception</w:t>
      </w:r>
      <w:r w:rsidRPr="008733BB">
        <w:rPr>
          <w:lang w:val="fr-CH"/>
        </w:rPr>
        <w:t xml:space="preserve"> de l</w:t>
      </w:r>
      <w:r>
        <w:t>’</w:t>
      </w:r>
      <w:r w:rsidRPr="008733BB">
        <w:rPr>
          <w:lang w:val="fr-CH"/>
        </w:rPr>
        <w:t xml:space="preserve">objet </w:t>
      </w:r>
    </w:p>
    <w:p w:rsidR="0046127A" w:rsidRPr="008733BB" w:rsidRDefault="0046127A" w:rsidP="00A60BC1">
      <w:pPr>
        <w:pStyle w:val="Bullet1"/>
        <w:rPr>
          <w:lang w:val="fr-CH"/>
        </w:rPr>
      </w:pPr>
      <w:r w:rsidRPr="008733BB">
        <w:rPr>
          <w:lang w:val="fr-CH"/>
        </w:rPr>
        <w:t>Protection contre l</w:t>
      </w:r>
      <w:r>
        <w:t>’</w:t>
      </w:r>
      <w:r w:rsidRPr="008733BB">
        <w:rPr>
          <w:lang w:val="fr-CH"/>
        </w:rPr>
        <w:t>inflammation/le déclenchement</w:t>
      </w:r>
    </w:p>
    <w:p w:rsidR="0046127A" w:rsidRPr="00A30E69" w:rsidRDefault="0046127A" w:rsidP="00A60BC1">
      <w:pPr>
        <w:pStyle w:val="Bullet1"/>
        <w:rPr>
          <w:lang w:val="en-GB"/>
        </w:rPr>
      </w:pPr>
      <w:r w:rsidRPr="00A30E69">
        <w:rPr>
          <w:lang w:val="en-GB"/>
        </w:rPr>
        <w:t>Dimensions</w:t>
      </w:r>
    </w:p>
    <w:p w:rsidR="0046127A" w:rsidRPr="008733BB" w:rsidRDefault="0046127A" w:rsidP="00A60BC1">
      <w:pPr>
        <w:pStyle w:val="Bullet1"/>
        <w:rPr>
          <w:lang w:val="fr-CH"/>
        </w:rPr>
      </w:pPr>
      <w:r w:rsidRPr="00710505">
        <w:t>Matériaux</w:t>
      </w:r>
      <w:r w:rsidRPr="008733BB">
        <w:rPr>
          <w:lang w:val="fr-CH"/>
        </w:rPr>
        <w:t xml:space="preserve"> de construction</w:t>
      </w:r>
    </w:p>
    <w:p w:rsidR="0046127A" w:rsidRPr="008733BB" w:rsidRDefault="0046127A" w:rsidP="004304A4">
      <w:pPr>
        <w:pStyle w:val="SingleTxt"/>
        <w:rPr>
          <w:lang w:val="fr-CH"/>
        </w:rPr>
      </w:pPr>
      <w:r w:rsidRPr="008733BB">
        <w:rPr>
          <w:lang w:val="fr-CH"/>
        </w:rPr>
        <w:t>3.3</w:t>
      </w:r>
      <w:r w:rsidRPr="008733BB">
        <w:rPr>
          <w:lang w:val="fr-CH"/>
        </w:rPr>
        <w:tab/>
      </w:r>
      <w:r>
        <w:t>Caractéristique</w:t>
      </w:r>
      <w:r w:rsidRPr="008733BB">
        <w:rPr>
          <w:lang w:val="fr-CH"/>
        </w:rPr>
        <w:t>s de l</w:t>
      </w:r>
      <w:r>
        <w:t>’</w:t>
      </w:r>
      <w:r w:rsidRPr="008733BB">
        <w:rPr>
          <w:lang w:val="fr-CH"/>
        </w:rPr>
        <w:t>emballage</w:t>
      </w:r>
    </w:p>
    <w:p w:rsidR="0046127A" w:rsidRPr="008733BB" w:rsidRDefault="0046127A" w:rsidP="00A60BC1">
      <w:pPr>
        <w:pStyle w:val="Bullet1"/>
        <w:rPr>
          <w:lang w:val="fr-CH"/>
        </w:rPr>
      </w:pPr>
      <w:r w:rsidRPr="0054565A">
        <w:t>Poids net maximal d</w:t>
      </w:r>
      <w:r>
        <w:t>’</w:t>
      </w:r>
      <w:r w:rsidRPr="0054565A">
        <w:t xml:space="preserve">explosif </w:t>
      </w:r>
      <w:r w:rsidRPr="008733BB">
        <w:rPr>
          <w:lang w:val="fr-CH"/>
        </w:rPr>
        <w:t xml:space="preserve">par emballage intérieur </w:t>
      </w:r>
      <w:r>
        <w:t>(le cas échéant)</w:t>
      </w:r>
    </w:p>
    <w:p w:rsidR="0046127A" w:rsidRPr="008733BB" w:rsidRDefault="0046127A" w:rsidP="00A60BC1">
      <w:pPr>
        <w:pStyle w:val="Bullet1"/>
        <w:rPr>
          <w:lang w:val="fr-CH"/>
        </w:rPr>
      </w:pPr>
      <w:r w:rsidRPr="0054565A">
        <w:t>Poids net maximal d</w:t>
      </w:r>
      <w:r>
        <w:t>’</w:t>
      </w:r>
      <w:r w:rsidRPr="0054565A">
        <w:t xml:space="preserve">explosif </w:t>
      </w:r>
      <w:r w:rsidRPr="008733BB">
        <w:rPr>
          <w:lang w:val="fr-CH"/>
        </w:rPr>
        <w:t>par emballage extérieur</w:t>
      </w:r>
    </w:p>
    <w:p w:rsidR="0046127A" w:rsidRPr="008733BB" w:rsidRDefault="0046127A" w:rsidP="00A60BC1">
      <w:pPr>
        <w:pStyle w:val="Bullet1"/>
        <w:rPr>
          <w:lang w:val="fr-CH"/>
        </w:rPr>
      </w:pPr>
      <w:r w:rsidRPr="008733BB">
        <w:rPr>
          <w:lang w:val="fr-CH"/>
        </w:rPr>
        <w:t>Dimensions et volume</w:t>
      </w:r>
    </w:p>
    <w:p w:rsidR="0046127A" w:rsidRPr="008733BB" w:rsidRDefault="0046127A" w:rsidP="00A60BC1">
      <w:pPr>
        <w:pStyle w:val="Bullet1"/>
        <w:rPr>
          <w:lang w:val="fr-CH"/>
        </w:rPr>
      </w:pPr>
      <w:r w:rsidRPr="008733BB">
        <w:rPr>
          <w:lang w:val="fr-CH"/>
        </w:rPr>
        <w:t>Espace libre à l</w:t>
      </w:r>
      <w:r>
        <w:t>’</w:t>
      </w:r>
      <w:r w:rsidRPr="008733BB">
        <w:rPr>
          <w:lang w:val="fr-CH"/>
        </w:rPr>
        <w:t>intérieur de l</w:t>
      </w:r>
      <w:r>
        <w:t>’</w:t>
      </w:r>
      <w:r w:rsidRPr="008733BB">
        <w:rPr>
          <w:lang w:val="fr-CH"/>
        </w:rPr>
        <w:t>emballage (matières)</w:t>
      </w:r>
    </w:p>
    <w:p w:rsidR="0046127A" w:rsidRPr="00A60BC1" w:rsidRDefault="0046127A" w:rsidP="00A60BC1">
      <w:pPr>
        <w:pStyle w:val="Bullet1"/>
        <w:rPr>
          <w:spacing w:val="-2"/>
          <w:lang w:val="fr-CH"/>
        </w:rPr>
      </w:pPr>
      <w:r w:rsidRPr="00A60BC1">
        <w:rPr>
          <w:spacing w:val="-2"/>
          <w:lang w:val="fr-CH"/>
        </w:rPr>
        <w:t>Matériau de construction</w:t>
      </w:r>
      <w:r w:rsidRPr="00A60BC1">
        <w:rPr>
          <w:spacing w:val="-2"/>
        </w:rPr>
        <w:t xml:space="preserve"> </w:t>
      </w:r>
      <w:r w:rsidR="004304A4" w:rsidRPr="00A60BC1">
        <w:rPr>
          <w:spacing w:val="-2"/>
        </w:rPr>
        <w:t>–</w:t>
      </w:r>
      <w:r w:rsidRPr="00A60BC1">
        <w:rPr>
          <w:spacing w:val="-2"/>
        </w:rPr>
        <w:t xml:space="preserve"> </w:t>
      </w:r>
      <w:r w:rsidRPr="00A60BC1">
        <w:rPr>
          <w:spacing w:val="-2"/>
          <w:lang w:val="fr-CH"/>
        </w:rPr>
        <w:t>confinement (</w:t>
      </w:r>
      <w:r w:rsidRPr="00A60BC1">
        <w:rPr>
          <w:spacing w:val="-2"/>
        </w:rPr>
        <w:t>montée en pression</w:t>
      </w:r>
      <w:r w:rsidRPr="00A60BC1">
        <w:rPr>
          <w:spacing w:val="-2"/>
          <w:lang w:val="fr-CH"/>
        </w:rPr>
        <w:t>)/</w:t>
      </w:r>
      <w:r w:rsidRPr="00A60BC1">
        <w:rPr>
          <w:spacing w:val="-2"/>
        </w:rPr>
        <w:t>rétention</w:t>
      </w:r>
      <w:r w:rsidRPr="00A60BC1">
        <w:rPr>
          <w:spacing w:val="-2"/>
          <w:lang w:val="fr-CH"/>
        </w:rPr>
        <w:t xml:space="preserve"> (</w:t>
      </w:r>
      <w:r w:rsidRPr="00A60BC1">
        <w:rPr>
          <w:spacing w:val="-2"/>
        </w:rPr>
        <w:t>éclats</w:t>
      </w:r>
      <w:r w:rsidRPr="00A60BC1">
        <w:rPr>
          <w:spacing w:val="-2"/>
          <w:lang w:val="fr-CH"/>
        </w:rPr>
        <w:t>/</w:t>
      </w:r>
      <w:r w:rsidRPr="00A60BC1">
        <w:rPr>
          <w:spacing w:val="-2"/>
        </w:rPr>
        <w:t>débris</w:t>
      </w:r>
      <w:r w:rsidRPr="00A60BC1">
        <w:rPr>
          <w:spacing w:val="-2"/>
          <w:lang w:val="fr-CH"/>
        </w:rPr>
        <w:t>)</w:t>
      </w:r>
    </w:p>
    <w:p w:rsidR="0046127A" w:rsidRPr="008733BB" w:rsidRDefault="0046127A" w:rsidP="00A60BC1">
      <w:pPr>
        <w:pStyle w:val="Bullet1"/>
        <w:rPr>
          <w:lang w:val="fr-CH"/>
        </w:rPr>
      </w:pPr>
      <w:r w:rsidRPr="008733BB">
        <w:rPr>
          <w:lang w:val="fr-CH"/>
        </w:rPr>
        <w:t>Conception</w:t>
      </w:r>
    </w:p>
    <w:p w:rsidR="0046127A" w:rsidRPr="008733BB" w:rsidRDefault="0046127A" w:rsidP="00A60BC1">
      <w:pPr>
        <w:pStyle w:val="Bullet1"/>
        <w:rPr>
          <w:lang w:val="fr-CH"/>
        </w:rPr>
      </w:pPr>
      <w:r w:rsidRPr="008733BB">
        <w:rPr>
          <w:lang w:val="fr-CH"/>
        </w:rPr>
        <w:t>Géométrie</w:t>
      </w:r>
    </w:p>
    <w:p w:rsidR="0046127A" w:rsidRPr="008733BB" w:rsidRDefault="0046127A" w:rsidP="00A60BC1">
      <w:pPr>
        <w:pStyle w:val="Bullet1"/>
        <w:rPr>
          <w:lang w:val="fr-CH"/>
        </w:rPr>
      </w:pPr>
      <w:r w:rsidRPr="008733BB">
        <w:rPr>
          <w:lang w:val="fr-CH"/>
        </w:rPr>
        <w:t>Nombre maximum d</w:t>
      </w:r>
      <w:r>
        <w:t>’</w:t>
      </w:r>
      <w:r w:rsidRPr="008733BB">
        <w:rPr>
          <w:lang w:val="fr-CH"/>
        </w:rPr>
        <w:t>o</w:t>
      </w:r>
      <w:r>
        <w:t>b</w:t>
      </w:r>
      <w:r w:rsidRPr="008733BB">
        <w:rPr>
          <w:lang w:val="fr-CH"/>
        </w:rPr>
        <w:t>jets par emballage (</w:t>
      </w:r>
      <w:r>
        <w:t>objets</w:t>
      </w:r>
      <w:r w:rsidRPr="008733BB">
        <w:rPr>
          <w:lang w:val="fr-CH"/>
        </w:rPr>
        <w:t>)</w:t>
      </w:r>
    </w:p>
    <w:p w:rsidR="0046127A" w:rsidRPr="008733BB" w:rsidRDefault="0046127A" w:rsidP="00A60BC1">
      <w:pPr>
        <w:pStyle w:val="Bullet1"/>
        <w:rPr>
          <w:lang w:val="fr-CH"/>
        </w:rPr>
      </w:pPr>
      <w:r w:rsidRPr="008733BB">
        <w:rPr>
          <w:lang w:val="fr-CH"/>
        </w:rPr>
        <w:t>Type d</w:t>
      </w:r>
      <w:r>
        <w:t>’</w:t>
      </w:r>
      <w:r w:rsidR="00A60BC1">
        <w:rPr>
          <w:lang w:val="fr-CH"/>
        </w:rPr>
        <w:t>emballage intérieur</w:t>
      </w:r>
    </w:p>
    <w:p w:rsidR="0046127A" w:rsidRPr="008733BB" w:rsidRDefault="0046127A" w:rsidP="00A60BC1">
      <w:pPr>
        <w:pStyle w:val="Bullet1"/>
        <w:rPr>
          <w:lang w:val="fr-CH"/>
        </w:rPr>
      </w:pPr>
      <w:r w:rsidRPr="008733BB">
        <w:rPr>
          <w:lang w:val="fr-CH"/>
        </w:rPr>
        <w:t>Type d</w:t>
      </w:r>
      <w:r>
        <w:t>’</w:t>
      </w:r>
      <w:r w:rsidRPr="008733BB">
        <w:rPr>
          <w:lang w:val="fr-CH"/>
        </w:rPr>
        <w:t>emballage intermédiaire (le cas échéant)</w:t>
      </w:r>
    </w:p>
    <w:p w:rsidR="0046127A" w:rsidRPr="008733BB" w:rsidRDefault="0046127A" w:rsidP="00A60BC1">
      <w:pPr>
        <w:pStyle w:val="Bullet1"/>
        <w:rPr>
          <w:lang w:val="fr-CH"/>
        </w:rPr>
      </w:pPr>
      <w:r w:rsidRPr="008733BB">
        <w:rPr>
          <w:lang w:val="fr-CH"/>
        </w:rPr>
        <w:t>Espacement/dimensions (</w:t>
      </w:r>
      <w:r>
        <w:t>objets</w:t>
      </w:r>
      <w:r w:rsidRPr="008733BB">
        <w:rPr>
          <w:lang w:val="fr-CH"/>
        </w:rPr>
        <w:t>)</w:t>
      </w:r>
    </w:p>
    <w:p w:rsidR="0046127A" w:rsidRPr="008733BB" w:rsidRDefault="0046127A" w:rsidP="00A60BC1">
      <w:pPr>
        <w:pStyle w:val="Bullet1"/>
        <w:rPr>
          <w:lang w:val="fr-CH"/>
        </w:rPr>
      </w:pPr>
      <w:r w:rsidRPr="008733BB">
        <w:rPr>
          <w:lang w:val="fr-CH"/>
        </w:rPr>
        <w:t>Protection contre l</w:t>
      </w:r>
      <w:r>
        <w:t>’</w:t>
      </w:r>
      <w:r w:rsidRPr="008733BB">
        <w:rPr>
          <w:lang w:val="fr-CH"/>
        </w:rPr>
        <w:t>inflammation/</w:t>
      </w:r>
      <w:r>
        <w:t>le déclenchement</w:t>
      </w:r>
    </w:p>
    <w:p w:rsidR="0046127A" w:rsidRPr="008733BB" w:rsidRDefault="0046127A" w:rsidP="00A60BC1">
      <w:pPr>
        <w:pStyle w:val="Bullet1"/>
        <w:rPr>
          <w:lang w:val="fr-CH"/>
        </w:rPr>
      </w:pPr>
      <w:r w:rsidRPr="008733BB">
        <w:rPr>
          <w:lang w:val="fr-CH"/>
        </w:rPr>
        <w:t>Limitation de la gravité de la réaction</w:t>
      </w:r>
    </w:p>
    <w:p w:rsidR="0046127A" w:rsidRPr="00EE5390" w:rsidRDefault="0046127A" w:rsidP="00EE5390">
      <w:pPr>
        <w:spacing w:line="120" w:lineRule="exact"/>
        <w:rPr>
          <w:rFonts w:eastAsia="Times New Roman"/>
          <w:b/>
          <w:sz w:val="10"/>
          <w:lang w:val="fr-CH"/>
        </w:rPr>
      </w:pPr>
    </w:p>
    <w:p w:rsidR="00EE5390" w:rsidRPr="00EE5390" w:rsidRDefault="00EE5390" w:rsidP="00EE5390">
      <w:pPr>
        <w:spacing w:line="120" w:lineRule="exact"/>
        <w:rPr>
          <w:rFonts w:eastAsia="Times New Roman"/>
          <w:b/>
          <w:sz w:val="10"/>
          <w:lang w:val="fr-CH"/>
        </w:rPr>
      </w:pPr>
    </w:p>
    <w:p w:rsidR="0046127A" w:rsidRDefault="0046127A" w:rsidP="004304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733BB">
        <w:rPr>
          <w:lang w:val="fr-CH"/>
        </w:rPr>
        <w:tab/>
        <w:t>4.</w:t>
      </w:r>
      <w:r w:rsidRPr="008733BB">
        <w:rPr>
          <w:lang w:val="fr-CH"/>
        </w:rPr>
        <w:tab/>
        <w:t>Exemple d</w:t>
      </w:r>
      <w:r>
        <w:t>’</w:t>
      </w:r>
      <w:r w:rsidRPr="008733BB">
        <w:rPr>
          <w:lang w:val="fr-CH"/>
        </w:rPr>
        <w:t>objet</w:t>
      </w:r>
    </w:p>
    <w:p w:rsidR="004304A4" w:rsidRPr="004304A4" w:rsidRDefault="004304A4" w:rsidP="004304A4">
      <w:pPr>
        <w:spacing w:line="120" w:lineRule="exact"/>
        <w:rPr>
          <w:sz w:val="10"/>
          <w:lang w:val="fr-CH"/>
        </w:rPr>
      </w:pPr>
    </w:p>
    <w:p w:rsidR="004304A4" w:rsidRPr="004304A4" w:rsidRDefault="004304A4" w:rsidP="004304A4">
      <w:pPr>
        <w:spacing w:line="120" w:lineRule="exact"/>
        <w:rPr>
          <w:sz w:val="10"/>
          <w:lang w:val="fr-CH"/>
        </w:rPr>
      </w:pPr>
    </w:p>
    <w:p w:rsidR="0046127A" w:rsidRDefault="004304A4" w:rsidP="004304A4">
      <w:pPr>
        <w:pStyle w:val="SingleTxt"/>
      </w:pPr>
      <w:r>
        <w:rPr>
          <w:lang w:val="fr-CH"/>
        </w:rPr>
        <w:tab/>
      </w:r>
      <w:r w:rsidR="0046127A" w:rsidRPr="008733BB">
        <w:rPr>
          <w:lang w:val="fr-CH"/>
        </w:rPr>
        <w:t xml:space="preserve">Le tableau ci-dessous compare </w:t>
      </w:r>
      <w:r w:rsidR="0046127A">
        <w:t>les propriétés pour déterminer si les caractéristiques sont analogues</w:t>
      </w:r>
      <w:r w:rsidR="0046127A" w:rsidRPr="008733BB">
        <w:rPr>
          <w:lang w:val="fr-CH"/>
        </w:rPr>
        <w:t>.</w:t>
      </w:r>
    </w:p>
    <w:p w:rsidR="004304A4" w:rsidRPr="004304A4" w:rsidRDefault="004304A4" w:rsidP="004304A4">
      <w:pPr>
        <w:pStyle w:val="SingleTxt"/>
        <w:spacing w:after="0" w:line="120" w:lineRule="exact"/>
        <w:rPr>
          <w:sz w:val="10"/>
        </w:rPr>
      </w:pPr>
    </w:p>
    <w:tbl>
      <w:tblPr>
        <w:tblStyle w:val="Grilledutableau1"/>
        <w:tblW w:w="751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2396"/>
        <w:gridCol w:w="2396"/>
      </w:tblGrid>
      <w:tr w:rsidR="00505657" w:rsidRPr="004304A4" w:rsidTr="00505657">
        <w:trPr>
          <w:tblHeader/>
        </w:trPr>
        <w:tc>
          <w:tcPr>
            <w:tcW w:w="2783" w:type="dxa"/>
            <w:tcBorders>
              <w:top w:val="single" w:sz="4" w:space="0" w:color="auto"/>
              <w:bottom w:val="single" w:sz="12" w:space="0" w:color="auto"/>
            </w:tcBorders>
            <w:shd w:val="clear" w:color="auto" w:fill="auto"/>
            <w:vAlign w:val="bottom"/>
            <w:hideMark/>
          </w:tcPr>
          <w:p w:rsidR="0046127A" w:rsidRPr="004304A4" w:rsidRDefault="0046127A" w:rsidP="00AD22E9">
            <w:pPr>
              <w:pStyle w:val="FootnoteText"/>
              <w:spacing w:before="80" w:after="80" w:line="160" w:lineRule="exact"/>
              <w:ind w:right="43"/>
              <w:rPr>
                <w:i/>
                <w:sz w:val="14"/>
                <w:lang w:val="en-GB"/>
              </w:rPr>
            </w:pPr>
            <w:proofErr w:type="spellStart"/>
            <w:r w:rsidRPr="004304A4">
              <w:rPr>
                <w:i/>
                <w:sz w:val="14"/>
                <w:lang w:val="en-US"/>
              </w:rPr>
              <w:t>Données</w:t>
            </w:r>
            <w:proofErr w:type="spellEnd"/>
            <w:r w:rsidRPr="004304A4">
              <w:rPr>
                <w:i/>
                <w:sz w:val="14"/>
                <w:lang w:val="en-US"/>
              </w:rPr>
              <w:t xml:space="preserve"> techniques</w:t>
            </w:r>
          </w:p>
        </w:tc>
        <w:tc>
          <w:tcPr>
            <w:tcW w:w="2448" w:type="dxa"/>
            <w:tcBorders>
              <w:top w:val="single" w:sz="4" w:space="0" w:color="auto"/>
              <w:bottom w:val="single" w:sz="12" w:space="0" w:color="auto"/>
            </w:tcBorders>
            <w:shd w:val="clear" w:color="auto" w:fill="auto"/>
            <w:vAlign w:val="bottom"/>
            <w:hideMark/>
          </w:tcPr>
          <w:p w:rsidR="0046127A" w:rsidRPr="004304A4" w:rsidRDefault="0046127A" w:rsidP="00AD22E9">
            <w:pPr>
              <w:pStyle w:val="FootnoteText"/>
              <w:spacing w:before="80" w:after="80" w:line="160" w:lineRule="exact"/>
              <w:ind w:right="43"/>
              <w:rPr>
                <w:i/>
                <w:sz w:val="14"/>
                <w:lang w:val="en-GB"/>
              </w:rPr>
            </w:pPr>
            <w:r w:rsidRPr="004304A4">
              <w:rPr>
                <w:i/>
                <w:sz w:val="14"/>
                <w:lang w:val="en-US"/>
              </w:rPr>
              <w:t xml:space="preserve">Objet </w:t>
            </w:r>
            <w:proofErr w:type="spellStart"/>
            <w:r w:rsidRPr="004304A4">
              <w:rPr>
                <w:i/>
                <w:sz w:val="14"/>
                <w:lang w:val="en-US"/>
              </w:rPr>
              <w:t>candidat</w:t>
            </w:r>
            <w:proofErr w:type="spellEnd"/>
          </w:p>
        </w:tc>
        <w:tc>
          <w:tcPr>
            <w:tcW w:w="2448" w:type="dxa"/>
            <w:tcBorders>
              <w:top w:val="single" w:sz="4" w:space="0" w:color="auto"/>
              <w:bottom w:val="single" w:sz="12" w:space="0" w:color="auto"/>
            </w:tcBorders>
            <w:shd w:val="clear" w:color="auto" w:fill="auto"/>
            <w:vAlign w:val="bottom"/>
            <w:hideMark/>
          </w:tcPr>
          <w:p w:rsidR="0046127A" w:rsidRPr="004304A4" w:rsidRDefault="0046127A" w:rsidP="00AD22E9">
            <w:pPr>
              <w:pStyle w:val="FootnoteText"/>
              <w:spacing w:before="80" w:after="80" w:line="160" w:lineRule="exact"/>
              <w:ind w:right="43"/>
              <w:rPr>
                <w:i/>
                <w:sz w:val="14"/>
                <w:lang w:val="en-GB"/>
              </w:rPr>
            </w:pPr>
            <w:r w:rsidRPr="004304A4">
              <w:rPr>
                <w:i/>
                <w:sz w:val="14"/>
                <w:lang w:val="en-US"/>
              </w:rPr>
              <w:t xml:space="preserve">Objet de </w:t>
            </w:r>
            <w:proofErr w:type="spellStart"/>
            <w:r w:rsidRPr="004304A4">
              <w:rPr>
                <w:i/>
                <w:sz w:val="14"/>
                <w:lang w:val="en-US"/>
              </w:rPr>
              <w:t>référence</w:t>
            </w:r>
            <w:proofErr w:type="spellEnd"/>
          </w:p>
        </w:tc>
      </w:tr>
      <w:tr w:rsidR="004304A4" w:rsidRPr="004304A4" w:rsidTr="00505657">
        <w:trPr>
          <w:trHeight w:hRule="exact" w:val="115"/>
          <w:tblHeader/>
        </w:trPr>
        <w:tc>
          <w:tcPr>
            <w:tcW w:w="2783" w:type="dxa"/>
            <w:tcBorders>
              <w:top w:val="single" w:sz="12" w:space="0" w:color="auto"/>
            </w:tcBorders>
            <w:shd w:val="clear" w:color="auto" w:fill="auto"/>
            <w:vAlign w:val="bottom"/>
          </w:tcPr>
          <w:p w:rsidR="004304A4" w:rsidRPr="004304A4" w:rsidRDefault="004304A4" w:rsidP="004304A4">
            <w:pPr>
              <w:pStyle w:val="FootnoteText"/>
              <w:spacing w:before="40" w:after="80" w:line="240" w:lineRule="exact"/>
              <w:ind w:right="40"/>
              <w:rPr>
                <w:sz w:val="20"/>
                <w:lang w:val="en-GB"/>
              </w:rPr>
            </w:pPr>
          </w:p>
        </w:tc>
        <w:tc>
          <w:tcPr>
            <w:tcW w:w="2448" w:type="dxa"/>
            <w:tcBorders>
              <w:top w:val="single" w:sz="12" w:space="0" w:color="auto"/>
            </w:tcBorders>
            <w:shd w:val="clear" w:color="auto" w:fill="auto"/>
            <w:vAlign w:val="bottom"/>
          </w:tcPr>
          <w:p w:rsidR="004304A4" w:rsidRPr="004304A4" w:rsidRDefault="004304A4" w:rsidP="004304A4">
            <w:pPr>
              <w:pStyle w:val="FootnoteText"/>
              <w:spacing w:before="40" w:after="80" w:line="240" w:lineRule="exact"/>
              <w:ind w:right="397"/>
              <w:rPr>
                <w:sz w:val="20"/>
                <w:lang w:val="en-US"/>
              </w:rPr>
            </w:pPr>
          </w:p>
        </w:tc>
        <w:tc>
          <w:tcPr>
            <w:tcW w:w="2448" w:type="dxa"/>
            <w:tcBorders>
              <w:top w:val="single" w:sz="12" w:space="0" w:color="auto"/>
            </w:tcBorders>
            <w:shd w:val="clear" w:color="auto" w:fill="auto"/>
            <w:vAlign w:val="bottom"/>
          </w:tcPr>
          <w:p w:rsidR="004304A4" w:rsidRPr="004304A4" w:rsidRDefault="004304A4" w:rsidP="004304A4">
            <w:pPr>
              <w:pStyle w:val="FootnoteText"/>
              <w:spacing w:before="40" w:after="80" w:line="240" w:lineRule="exact"/>
              <w:ind w:right="397"/>
              <w:rPr>
                <w:sz w:val="20"/>
                <w:lang w:val="en-US"/>
              </w:rPr>
            </w:pPr>
          </w:p>
        </w:tc>
      </w:tr>
      <w:tr w:rsidR="00505657" w:rsidRPr="004304A4" w:rsidTr="00505657">
        <w:tc>
          <w:tcPr>
            <w:tcW w:w="2783" w:type="dxa"/>
            <w:shd w:val="clear" w:color="auto" w:fill="auto"/>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XXX</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YYY</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Classement</w:t>
            </w:r>
            <w:proofErr w:type="spellEnd"/>
            <w:r w:rsidRPr="004304A4">
              <w:rPr>
                <w:sz w:val="20"/>
                <w:lang w:val="en-US"/>
              </w:rPr>
              <w:t xml:space="preserve"> original</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TBD</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ONU 277, 1.3C</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 xml:space="preserve">Base du </w:t>
            </w:r>
            <w:proofErr w:type="spellStart"/>
            <w:r w:rsidRPr="004304A4">
              <w:rPr>
                <w:sz w:val="20"/>
                <w:lang w:val="en-US"/>
              </w:rPr>
              <w:t>classement</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Analogie</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rPr>
              <w:t>Épreuves</w:t>
            </w:r>
            <w:r w:rsidRPr="004304A4">
              <w:rPr>
                <w:sz w:val="20"/>
                <w:lang w:val="fr-CH"/>
              </w:rPr>
              <w:t xml:space="preserve"> de la série 3 </w:t>
            </w:r>
            <w:r w:rsidRPr="004304A4">
              <w:rPr>
                <w:sz w:val="20"/>
              </w:rPr>
              <w:t xml:space="preserve">Épreuves de la série </w:t>
            </w:r>
            <w:r w:rsidRPr="004304A4">
              <w:rPr>
                <w:sz w:val="20"/>
                <w:lang w:val="fr-CH"/>
              </w:rPr>
              <w:t>6</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Description</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 xml:space="preserve">Voir le dessin xxx </w:t>
            </w:r>
            <w:r w:rsidRPr="004304A4">
              <w:rPr>
                <w:sz w:val="20"/>
              </w:rPr>
              <w:t>fourni</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 xml:space="preserve">Voir le dessin </w:t>
            </w:r>
            <w:proofErr w:type="spellStart"/>
            <w:r w:rsidRPr="004304A4">
              <w:rPr>
                <w:sz w:val="20"/>
              </w:rPr>
              <w:t>yyy</w:t>
            </w:r>
            <w:proofErr w:type="spellEnd"/>
            <w:r w:rsidRPr="004304A4">
              <w:rPr>
                <w:sz w:val="20"/>
                <w:lang w:val="fr-CH"/>
              </w:rPr>
              <w:t xml:space="preserve"> fourni</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Matériau</w:t>
            </w:r>
            <w:proofErr w:type="spellEnd"/>
            <w:r w:rsidRPr="004304A4">
              <w:rPr>
                <w:sz w:val="20"/>
                <w:lang w:val="en-US"/>
              </w:rPr>
              <w:t xml:space="preserve"> de construction</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Acier</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Acier</w:t>
            </w:r>
            <w:proofErr w:type="spellEnd"/>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Fabrication</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Soudé</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Soudé</w:t>
            </w:r>
            <w:proofErr w:type="spellEnd"/>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Poids net d</w:t>
            </w:r>
            <w:r w:rsidRPr="004304A4">
              <w:rPr>
                <w:sz w:val="20"/>
              </w:rPr>
              <w:t>’</w:t>
            </w:r>
            <w:r w:rsidRPr="004304A4">
              <w:rPr>
                <w:sz w:val="20"/>
                <w:lang w:val="fr-CH"/>
              </w:rPr>
              <w:t>explosif</w:t>
            </w:r>
            <w:r w:rsidRPr="004304A4">
              <w:rPr>
                <w:sz w:val="20"/>
              </w:rPr>
              <w:t xml:space="preserve"> </w:t>
            </w:r>
            <w:r w:rsidRPr="004304A4">
              <w:rPr>
                <w:sz w:val="20"/>
                <w:lang w:val="fr-CH"/>
              </w:rPr>
              <w:t>par</w:t>
            </w:r>
            <w:r w:rsidRPr="004304A4">
              <w:rPr>
                <w:sz w:val="20"/>
              </w:rPr>
              <w:t xml:space="preserve"> objet</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10 g</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15 g</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Explosif</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HNS-II</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HNS-II</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Méthode</w:t>
            </w:r>
            <w:proofErr w:type="spellEnd"/>
            <w:r w:rsidRPr="004304A4">
              <w:rPr>
                <w:sz w:val="20"/>
                <w:lang w:val="en-US"/>
              </w:rPr>
              <w:t xml:space="preserve"> </w:t>
            </w:r>
            <w:proofErr w:type="spellStart"/>
            <w:r w:rsidRPr="004304A4">
              <w:rPr>
                <w:sz w:val="20"/>
                <w:lang w:val="en-US"/>
              </w:rPr>
              <w:t>d’emballage</w:t>
            </w:r>
            <w:proofErr w:type="spellEnd"/>
            <w:r w:rsidRPr="004304A4">
              <w:rPr>
                <w:sz w:val="20"/>
                <w:lang w:val="en-US"/>
              </w:rPr>
              <w:t xml:space="preserve"> </w:t>
            </w:r>
            <w:r w:rsidR="004304A4">
              <w:rPr>
                <w:sz w:val="20"/>
                <w:lang w:val="en-US"/>
              </w:rPr>
              <w:t>–</w:t>
            </w:r>
            <w:r w:rsidRPr="004304A4">
              <w:rPr>
                <w:sz w:val="20"/>
                <w:lang w:val="en-US"/>
              </w:rPr>
              <w:t xml:space="preserve"> </w:t>
            </w:r>
            <w:proofErr w:type="spellStart"/>
            <w:r w:rsidRPr="004304A4">
              <w:rPr>
                <w:sz w:val="20"/>
                <w:lang w:val="en-US"/>
              </w:rPr>
              <w:t>intérieur</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Récipient, en carton, 6</w:t>
            </w:r>
            <w:r w:rsidR="00505657">
              <w:rPr>
                <w:sz w:val="20"/>
                <w:lang w:val="fr-CH"/>
              </w:rPr>
              <w:t> </w:t>
            </w:r>
            <w:r w:rsidRPr="004304A4">
              <w:rPr>
                <w:sz w:val="20"/>
                <w:lang w:val="fr-CH"/>
              </w:rPr>
              <w:t>unit</w:t>
            </w:r>
            <w:r w:rsidRPr="004304A4">
              <w:rPr>
                <w:sz w:val="20"/>
              </w:rPr>
              <w:t>é</w:t>
            </w:r>
            <w:r w:rsidRPr="004304A4">
              <w:rPr>
                <w:sz w:val="20"/>
                <w:lang w:val="fr-CH"/>
              </w:rPr>
              <w:t xml:space="preserve">s </w:t>
            </w:r>
            <w:r w:rsidRPr="004304A4">
              <w:rPr>
                <w:sz w:val="20"/>
              </w:rPr>
              <w:t>par boîte intérieure</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Récipient, en carton, 6</w:t>
            </w:r>
            <w:r w:rsidR="00505657">
              <w:rPr>
                <w:sz w:val="20"/>
                <w:lang w:val="fr-CH"/>
              </w:rPr>
              <w:t> </w:t>
            </w:r>
            <w:r w:rsidRPr="004304A4">
              <w:rPr>
                <w:sz w:val="20"/>
                <w:lang w:val="fr-CH"/>
              </w:rPr>
              <w:t>unités par boîte intérieur</w:t>
            </w:r>
            <w:r w:rsidRPr="004304A4">
              <w:rPr>
                <w:sz w:val="20"/>
              </w:rPr>
              <w:t>e</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Méthode</w:t>
            </w:r>
            <w:proofErr w:type="spellEnd"/>
            <w:r w:rsidRPr="004304A4">
              <w:rPr>
                <w:sz w:val="20"/>
                <w:lang w:val="en-US"/>
              </w:rPr>
              <w:t xml:space="preserve"> </w:t>
            </w:r>
            <w:proofErr w:type="spellStart"/>
            <w:r w:rsidRPr="004304A4">
              <w:rPr>
                <w:sz w:val="20"/>
                <w:lang w:val="en-US"/>
              </w:rPr>
              <w:t>d’emballage</w:t>
            </w:r>
            <w:proofErr w:type="spellEnd"/>
            <w:r w:rsidRPr="004304A4">
              <w:rPr>
                <w:sz w:val="20"/>
                <w:lang w:val="en-US"/>
              </w:rPr>
              <w:t xml:space="preserve"> – </w:t>
            </w:r>
            <w:proofErr w:type="spellStart"/>
            <w:r w:rsidRPr="004304A4">
              <w:rPr>
                <w:sz w:val="20"/>
                <w:lang w:val="en-US"/>
              </w:rPr>
              <w:t>intermédiaire</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Aucune</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Aucune</w:t>
            </w:r>
            <w:proofErr w:type="spellEnd"/>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proofErr w:type="spellStart"/>
            <w:r w:rsidRPr="004304A4">
              <w:rPr>
                <w:sz w:val="20"/>
                <w:lang w:val="en-US"/>
              </w:rPr>
              <w:t>Méthode</w:t>
            </w:r>
            <w:proofErr w:type="spellEnd"/>
            <w:r w:rsidRPr="004304A4">
              <w:rPr>
                <w:sz w:val="20"/>
                <w:lang w:val="en-US"/>
              </w:rPr>
              <w:t xml:space="preserve"> </w:t>
            </w:r>
            <w:proofErr w:type="spellStart"/>
            <w:r w:rsidRPr="004304A4">
              <w:rPr>
                <w:sz w:val="20"/>
                <w:lang w:val="en-US"/>
              </w:rPr>
              <w:t>d’emballage</w:t>
            </w:r>
            <w:proofErr w:type="spellEnd"/>
            <w:r w:rsidRPr="004304A4">
              <w:rPr>
                <w:sz w:val="20"/>
                <w:lang w:val="en-US"/>
              </w:rPr>
              <w:t xml:space="preserve"> – </w:t>
            </w:r>
            <w:proofErr w:type="spellStart"/>
            <w:r w:rsidRPr="004304A4">
              <w:rPr>
                <w:sz w:val="20"/>
                <w:lang w:val="en-US"/>
              </w:rPr>
              <w:t>extérieur</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Boîte, en carton (4G), 8</w:t>
            </w:r>
            <w:r w:rsidR="00505657">
              <w:rPr>
                <w:sz w:val="20"/>
                <w:lang w:val="fr-CH"/>
              </w:rPr>
              <w:t> </w:t>
            </w:r>
            <w:r w:rsidRPr="004304A4">
              <w:rPr>
                <w:sz w:val="20"/>
                <w:lang w:val="fr-CH"/>
              </w:rPr>
              <w:t xml:space="preserve">emballages intérieurs </w:t>
            </w:r>
            <w:r w:rsidR="00505657">
              <w:rPr>
                <w:sz w:val="20"/>
                <w:lang w:val="fr-CH"/>
              </w:rPr>
              <w:br/>
            </w:r>
            <w:r w:rsidRPr="004304A4">
              <w:rPr>
                <w:sz w:val="20"/>
                <w:lang w:val="fr-CH"/>
              </w:rPr>
              <w:t xml:space="preserve">par </w:t>
            </w:r>
            <w:proofErr w:type="spellStart"/>
            <w:r w:rsidRPr="004304A4">
              <w:rPr>
                <w:sz w:val="20"/>
                <w:lang w:val="fr-CH"/>
              </w:rPr>
              <w:t>bo</w:t>
            </w:r>
            <w:r w:rsidRPr="004304A4">
              <w:rPr>
                <w:sz w:val="20"/>
              </w:rPr>
              <w:t>îte</w:t>
            </w:r>
            <w:proofErr w:type="spellEnd"/>
            <w:r w:rsidRPr="004304A4">
              <w:rPr>
                <w:sz w:val="20"/>
              </w:rPr>
              <w:t xml:space="preserve"> intérieur</w:t>
            </w:r>
            <w:r w:rsidR="004D233F">
              <w:rPr>
                <w:sz w:val="20"/>
              </w:rPr>
              <w:t>e</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Boîte, en carton (4G), 8</w:t>
            </w:r>
            <w:r w:rsidR="00505657">
              <w:rPr>
                <w:sz w:val="20"/>
                <w:lang w:val="fr-CH"/>
              </w:rPr>
              <w:t> </w:t>
            </w:r>
            <w:r w:rsidRPr="004304A4">
              <w:rPr>
                <w:sz w:val="20"/>
                <w:lang w:val="fr-CH"/>
              </w:rPr>
              <w:t xml:space="preserve">emballages intérieurs </w:t>
            </w:r>
            <w:r w:rsidR="00505657">
              <w:rPr>
                <w:sz w:val="20"/>
                <w:lang w:val="fr-CH"/>
              </w:rPr>
              <w:br/>
            </w:r>
            <w:r w:rsidRPr="004304A4">
              <w:rPr>
                <w:sz w:val="20"/>
                <w:lang w:val="fr-CH"/>
              </w:rPr>
              <w:t>par boîte intérieur</w:t>
            </w:r>
            <w:r w:rsidR="004D233F">
              <w:rPr>
                <w:sz w:val="20"/>
                <w:lang w:val="fr-CH"/>
              </w:rPr>
              <w:t>e</w:t>
            </w:r>
          </w:p>
        </w:tc>
      </w:tr>
      <w:tr w:rsidR="00505657" w:rsidRPr="004304A4" w:rsidTr="00505657">
        <w:tc>
          <w:tcPr>
            <w:tcW w:w="2783"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 xml:space="preserve">Instruction </w:t>
            </w:r>
            <w:proofErr w:type="spellStart"/>
            <w:r w:rsidRPr="004304A4">
              <w:rPr>
                <w:sz w:val="20"/>
                <w:lang w:val="en-US"/>
              </w:rPr>
              <w:t>d’emballage</w:t>
            </w:r>
            <w:proofErr w:type="spellEnd"/>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PI 134</w:t>
            </w:r>
          </w:p>
        </w:tc>
        <w:tc>
          <w:tcPr>
            <w:tcW w:w="2448" w:type="dxa"/>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PI 134</w:t>
            </w:r>
          </w:p>
        </w:tc>
      </w:tr>
      <w:tr w:rsidR="00505657" w:rsidRPr="004304A4" w:rsidTr="00505657">
        <w:tc>
          <w:tcPr>
            <w:tcW w:w="2783" w:type="dxa"/>
            <w:tcBorders>
              <w:bottom w:val="single" w:sz="12" w:space="0" w:color="auto"/>
            </w:tcBorders>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fr-CH"/>
              </w:rPr>
            </w:pPr>
            <w:r w:rsidRPr="004304A4">
              <w:rPr>
                <w:sz w:val="20"/>
                <w:lang w:val="fr-CH"/>
              </w:rPr>
              <w:t>Poids net d</w:t>
            </w:r>
            <w:r w:rsidRPr="004304A4">
              <w:rPr>
                <w:sz w:val="20"/>
              </w:rPr>
              <w:t>’</w:t>
            </w:r>
            <w:r w:rsidRPr="004304A4">
              <w:rPr>
                <w:sz w:val="20"/>
                <w:lang w:val="fr-CH"/>
              </w:rPr>
              <w:t>explosif</w:t>
            </w:r>
            <w:r w:rsidRPr="004304A4">
              <w:rPr>
                <w:sz w:val="20"/>
              </w:rPr>
              <w:t xml:space="preserve"> </w:t>
            </w:r>
            <w:r w:rsidRPr="004304A4">
              <w:rPr>
                <w:sz w:val="20"/>
                <w:lang w:val="fr-CH"/>
              </w:rPr>
              <w:t>par boîte</w:t>
            </w:r>
          </w:p>
        </w:tc>
        <w:tc>
          <w:tcPr>
            <w:tcW w:w="2448" w:type="dxa"/>
            <w:tcBorders>
              <w:bottom w:val="single" w:sz="12" w:space="0" w:color="auto"/>
            </w:tcBorders>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480 g</w:t>
            </w:r>
          </w:p>
        </w:tc>
        <w:tc>
          <w:tcPr>
            <w:tcW w:w="2448" w:type="dxa"/>
            <w:tcBorders>
              <w:bottom w:val="single" w:sz="12" w:space="0" w:color="auto"/>
            </w:tcBorders>
            <w:shd w:val="clear" w:color="auto" w:fill="auto"/>
            <w:hideMark/>
          </w:tcPr>
          <w:p w:rsidR="0046127A" w:rsidRPr="004304A4" w:rsidRDefault="0046127A" w:rsidP="00505657">
            <w:pPr>
              <w:pStyle w:val="FootnoteText"/>
              <w:tabs>
                <w:tab w:val="left" w:pos="288"/>
                <w:tab w:val="left" w:pos="576"/>
                <w:tab w:val="left" w:pos="864"/>
                <w:tab w:val="left" w:pos="1152"/>
              </w:tabs>
              <w:spacing w:before="40" w:after="80" w:line="240" w:lineRule="exact"/>
              <w:ind w:right="43"/>
              <w:rPr>
                <w:sz w:val="20"/>
                <w:lang w:val="en-GB"/>
              </w:rPr>
            </w:pPr>
            <w:r w:rsidRPr="004304A4">
              <w:rPr>
                <w:sz w:val="20"/>
                <w:lang w:val="en-US"/>
              </w:rPr>
              <w:t>720 g</w:t>
            </w:r>
          </w:p>
        </w:tc>
      </w:tr>
    </w:tbl>
    <w:p w:rsidR="00916A21" w:rsidRPr="004304A4" w:rsidRDefault="004304A4" w:rsidP="004304A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16A21" w:rsidRPr="004304A4" w:rsidSect="00916A21">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7T15:41:00Z" w:initials="Start">
    <w:p w:rsidR="006430FE" w:rsidRDefault="006430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NO&gt;&gt;N1519998F&lt;&lt;ODS JOB NO&gt;&gt;</w:t>
      </w:r>
    </w:p>
    <w:p w:rsidR="006430FE" w:rsidRDefault="006430FE">
      <w:pPr>
        <w:pStyle w:val="CommentText"/>
      </w:pPr>
      <w:r>
        <w:t>&lt;&lt;ODS DOC SYMBOL1&gt;&gt;ST/SG/AC.10/C.3/2015/43&lt;&lt;ODS DOC SYMBOL1&gt;&gt;</w:t>
      </w:r>
    </w:p>
    <w:p w:rsidR="006430FE" w:rsidRDefault="006430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FE" w:rsidRDefault="006430FE" w:rsidP="00F3330B">
      <w:pPr>
        <w:spacing w:line="240" w:lineRule="auto"/>
      </w:pPr>
      <w:r>
        <w:separator/>
      </w:r>
    </w:p>
  </w:endnote>
  <w:endnote w:type="continuationSeparator" w:id="0">
    <w:p w:rsidR="006430FE" w:rsidRDefault="006430F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30FE" w:rsidTr="00916A21">
      <w:trPr>
        <w:jc w:val="center"/>
      </w:trPr>
      <w:tc>
        <w:tcPr>
          <w:tcW w:w="5126" w:type="dxa"/>
          <w:shd w:val="clear" w:color="auto" w:fill="auto"/>
        </w:tcPr>
        <w:p w:rsidR="006430FE" w:rsidRPr="00916A21" w:rsidRDefault="006430FE" w:rsidP="00916A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3E79">
            <w:rPr>
              <w:b w:val="0"/>
              <w:w w:val="103"/>
              <w:sz w:val="14"/>
            </w:rPr>
            <w:t>GE.15-15025</w:t>
          </w:r>
          <w:r>
            <w:rPr>
              <w:b w:val="0"/>
              <w:w w:val="103"/>
              <w:sz w:val="14"/>
            </w:rPr>
            <w:fldChar w:fldCharType="end"/>
          </w:r>
        </w:p>
      </w:tc>
      <w:tc>
        <w:tcPr>
          <w:tcW w:w="5127" w:type="dxa"/>
          <w:shd w:val="clear" w:color="auto" w:fill="auto"/>
        </w:tcPr>
        <w:p w:rsidR="006430FE" w:rsidRPr="00916A21" w:rsidRDefault="006430FE" w:rsidP="00916A21">
          <w:pPr>
            <w:pStyle w:val="Footer"/>
            <w:rPr>
              <w:w w:val="103"/>
            </w:rPr>
          </w:pPr>
          <w:r>
            <w:rPr>
              <w:w w:val="103"/>
            </w:rPr>
            <w:fldChar w:fldCharType="begin"/>
          </w:r>
          <w:r>
            <w:rPr>
              <w:w w:val="103"/>
            </w:rPr>
            <w:instrText xml:space="preserve"> PAGE  \* Arabic  \* MERGEFORMAT </w:instrText>
          </w:r>
          <w:r>
            <w:rPr>
              <w:w w:val="103"/>
            </w:rPr>
            <w:fldChar w:fldCharType="separate"/>
          </w:r>
          <w:r w:rsidR="00443E79">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3E79">
            <w:rPr>
              <w:noProof/>
              <w:w w:val="103"/>
            </w:rPr>
            <w:t>5</w:t>
          </w:r>
          <w:r>
            <w:rPr>
              <w:w w:val="103"/>
            </w:rPr>
            <w:fldChar w:fldCharType="end"/>
          </w:r>
        </w:p>
      </w:tc>
    </w:tr>
  </w:tbl>
  <w:p w:rsidR="006430FE" w:rsidRPr="00916A21" w:rsidRDefault="006430FE" w:rsidP="00916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430FE" w:rsidTr="00916A21">
      <w:trPr>
        <w:jc w:val="center"/>
      </w:trPr>
      <w:tc>
        <w:tcPr>
          <w:tcW w:w="5126" w:type="dxa"/>
          <w:shd w:val="clear" w:color="auto" w:fill="auto"/>
        </w:tcPr>
        <w:p w:rsidR="006430FE" w:rsidRPr="00916A21" w:rsidRDefault="006430FE" w:rsidP="00916A2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3E79">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3E79">
            <w:rPr>
              <w:noProof/>
              <w:w w:val="103"/>
            </w:rPr>
            <w:t>5</w:t>
          </w:r>
          <w:r>
            <w:rPr>
              <w:w w:val="103"/>
            </w:rPr>
            <w:fldChar w:fldCharType="end"/>
          </w:r>
        </w:p>
      </w:tc>
      <w:tc>
        <w:tcPr>
          <w:tcW w:w="5127" w:type="dxa"/>
          <w:shd w:val="clear" w:color="auto" w:fill="auto"/>
        </w:tcPr>
        <w:p w:rsidR="006430FE" w:rsidRPr="00916A21" w:rsidRDefault="006430FE" w:rsidP="00916A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3E79">
            <w:rPr>
              <w:b w:val="0"/>
              <w:w w:val="103"/>
              <w:sz w:val="14"/>
            </w:rPr>
            <w:t>GE.15-15025</w:t>
          </w:r>
          <w:r>
            <w:rPr>
              <w:b w:val="0"/>
              <w:w w:val="103"/>
              <w:sz w:val="14"/>
            </w:rPr>
            <w:fldChar w:fldCharType="end"/>
          </w:r>
        </w:p>
      </w:tc>
    </w:tr>
  </w:tbl>
  <w:p w:rsidR="006430FE" w:rsidRPr="00916A21" w:rsidRDefault="006430FE" w:rsidP="00916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FE" w:rsidRDefault="006430FE">
    <w:pPr>
      <w:pStyle w:val="Footer"/>
    </w:pPr>
    <w:r>
      <w:rPr>
        <w:noProof/>
        <w:lang w:val="en-GB" w:eastAsia="en-GB"/>
      </w:rPr>
      <w:drawing>
        <wp:anchor distT="0" distB="0" distL="114300" distR="114300" simplePos="0" relativeHeight="251658240" behindDoc="0" locked="0" layoutInCell="1" allowOverlap="1" wp14:anchorId="3C5712AA" wp14:editId="7373CFF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430FE" w:rsidTr="00916A21">
      <w:tc>
        <w:tcPr>
          <w:tcW w:w="3859" w:type="dxa"/>
        </w:tcPr>
        <w:p w:rsidR="006430FE" w:rsidRDefault="006430FE" w:rsidP="00916A2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43E79">
            <w:rPr>
              <w:b w:val="0"/>
              <w:sz w:val="20"/>
            </w:rPr>
            <w:t>GE.15-15025 (F)</w:t>
          </w:r>
          <w:r>
            <w:rPr>
              <w:b w:val="0"/>
              <w:sz w:val="20"/>
            </w:rPr>
            <w:fldChar w:fldCharType="end"/>
          </w:r>
          <w:r>
            <w:rPr>
              <w:b w:val="0"/>
              <w:sz w:val="20"/>
            </w:rPr>
            <w:t xml:space="preserve">    171115    1</w:t>
          </w:r>
          <w:r w:rsidR="00716400">
            <w:rPr>
              <w:b w:val="0"/>
              <w:sz w:val="20"/>
            </w:rPr>
            <w:t>9</w:t>
          </w:r>
          <w:r>
            <w:rPr>
              <w:b w:val="0"/>
              <w:sz w:val="20"/>
            </w:rPr>
            <w:t>1115</w:t>
          </w:r>
        </w:p>
        <w:p w:rsidR="006430FE" w:rsidRPr="00916A21" w:rsidRDefault="006430FE" w:rsidP="00916A2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43E79">
            <w:rPr>
              <w:rFonts w:ascii="Barcode 3 of 9 by request" w:hAnsi="Barcode 3 of 9 by request"/>
              <w:b w:val="0"/>
              <w:spacing w:val="0"/>
              <w:w w:val="100"/>
              <w:sz w:val="24"/>
            </w:rPr>
            <w:t>*1515025*</w:t>
          </w:r>
          <w:r>
            <w:rPr>
              <w:rFonts w:ascii="Barcode 3 of 9 by request" w:hAnsi="Barcode 3 of 9 by request"/>
              <w:b w:val="0"/>
              <w:spacing w:val="0"/>
              <w:w w:val="100"/>
              <w:sz w:val="24"/>
            </w:rPr>
            <w:fldChar w:fldCharType="end"/>
          </w:r>
        </w:p>
      </w:tc>
      <w:tc>
        <w:tcPr>
          <w:tcW w:w="5127" w:type="dxa"/>
        </w:tcPr>
        <w:p w:rsidR="006430FE" w:rsidRDefault="006430FE" w:rsidP="00916A21">
          <w:pPr>
            <w:pStyle w:val="Footer"/>
            <w:spacing w:line="240" w:lineRule="atLeast"/>
            <w:jc w:val="right"/>
            <w:rPr>
              <w:b w:val="0"/>
              <w:sz w:val="20"/>
            </w:rPr>
          </w:pPr>
          <w:r>
            <w:rPr>
              <w:b w:val="0"/>
              <w:noProof/>
              <w:sz w:val="20"/>
              <w:lang w:val="en-GB" w:eastAsia="en-GB"/>
            </w:rPr>
            <w:drawing>
              <wp:inline distT="0" distB="0" distL="0" distR="0" wp14:anchorId="3CFDDFCB" wp14:editId="727F36E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430FE" w:rsidRPr="00916A21" w:rsidRDefault="006430FE" w:rsidP="00916A2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FE" w:rsidRPr="00756CD7" w:rsidRDefault="006430FE" w:rsidP="00756CD7">
      <w:pPr>
        <w:pStyle w:val="Footer"/>
        <w:spacing w:after="80"/>
        <w:ind w:left="792"/>
        <w:rPr>
          <w:sz w:val="16"/>
        </w:rPr>
      </w:pPr>
      <w:r w:rsidRPr="00756CD7">
        <w:rPr>
          <w:sz w:val="16"/>
        </w:rPr>
        <w:t>__________________</w:t>
      </w:r>
    </w:p>
  </w:footnote>
  <w:footnote w:type="continuationSeparator" w:id="0">
    <w:p w:rsidR="006430FE" w:rsidRPr="00756CD7" w:rsidRDefault="006430FE" w:rsidP="00756CD7">
      <w:pPr>
        <w:pStyle w:val="Footer"/>
        <w:spacing w:after="80"/>
        <w:ind w:left="792"/>
        <w:rPr>
          <w:sz w:val="16"/>
        </w:rPr>
      </w:pPr>
      <w:r w:rsidRPr="00756CD7">
        <w:rPr>
          <w:sz w:val="16"/>
        </w:rPr>
        <w:t>__________________</w:t>
      </w:r>
    </w:p>
  </w:footnote>
  <w:footnote w:id="1">
    <w:p w:rsidR="006430FE" w:rsidRDefault="006430FE" w:rsidP="00756CD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4412A8">
        <w:t>Conformément au programme de travail du Sous-Comité pour 2015-2016, adopté par le Comité à sa septième session (voir ST/SG/AC.10/C.3/</w:t>
      </w:r>
      <w:r w:rsidR="00716400">
        <w:t>86</w:t>
      </w:r>
      <w:r w:rsidRPr="004412A8">
        <w:t xml:space="preserve">, par. </w:t>
      </w:r>
      <w:r w:rsidR="00716400">
        <w:t>86</w:t>
      </w:r>
      <w:r w:rsidRPr="004412A8">
        <w:t>, et ST/SG/AC.10/42, par.</w:t>
      </w:r>
      <w:r w:rsidR="00716400">
        <w:t> </w:t>
      </w:r>
      <w:r>
        <w:t>1</w:t>
      </w:r>
      <w:r w:rsidR="00716400">
        <w:t>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430FE" w:rsidTr="00916A21">
      <w:trPr>
        <w:trHeight w:hRule="exact" w:val="864"/>
        <w:jc w:val="center"/>
      </w:trPr>
      <w:tc>
        <w:tcPr>
          <w:tcW w:w="4882" w:type="dxa"/>
          <w:shd w:val="clear" w:color="auto" w:fill="auto"/>
          <w:vAlign w:val="bottom"/>
        </w:tcPr>
        <w:p w:rsidR="006430FE" w:rsidRPr="00916A21" w:rsidRDefault="006430FE" w:rsidP="00916A2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3E79">
            <w:rPr>
              <w:b/>
              <w:color w:val="000000"/>
            </w:rPr>
            <w:t>ST/SG/AC.10/C.3/2015/43</w:t>
          </w:r>
          <w:r>
            <w:rPr>
              <w:b/>
              <w:color w:val="000000"/>
            </w:rPr>
            <w:fldChar w:fldCharType="end"/>
          </w:r>
        </w:p>
      </w:tc>
      <w:tc>
        <w:tcPr>
          <w:tcW w:w="5127" w:type="dxa"/>
          <w:shd w:val="clear" w:color="auto" w:fill="auto"/>
          <w:vAlign w:val="bottom"/>
        </w:tcPr>
        <w:p w:rsidR="006430FE" w:rsidRDefault="006430FE" w:rsidP="00916A21">
          <w:pPr>
            <w:pStyle w:val="Header"/>
          </w:pPr>
        </w:p>
      </w:tc>
    </w:tr>
  </w:tbl>
  <w:p w:rsidR="006430FE" w:rsidRPr="00916A21" w:rsidRDefault="006430FE" w:rsidP="00916A2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430FE" w:rsidTr="00916A21">
      <w:trPr>
        <w:trHeight w:hRule="exact" w:val="864"/>
        <w:jc w:val="center"/>
      </w:trPr>
      <w:tc>
        <w:tcPr>
          <w:tcW w:w="4882" w:type="dxa"/>
          <w:shd w:val="clear" w:color="auto" w:fill="auto"/>
          <w:vAlign w:val="bottom"/>
        </w:tcPr>
        <w:p w:rsidR="006430FE" w:rsidRDefault="006430FE" w:rsidP="00916A21">
          <w:pPr>
            <w:pStyle w:val="Header"/>
          </w:pPr>
        </w:p>
      </w:tc>
      <w:tc>
        <w:tcPr>
          <w:tcW w:w="5127" w:type="dxa"/>
          <w:shd w:val="clear" w:color="auto" w:fill="auto"/>
          <w:vAlign w:val="bottom"/>
        </w:tcPr>
        <w:p w:rsidR="006430FE" w:rsidRPr="00916A21" w:rsidRDefault="006430FE" w:rsidP="00916A2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3E79">
            <w:rPr>
              <w:b/>
              <w:color w:val="000000"/>
            </w:rPr>
            <w:t>ST/SG/AC.10/C.3/2015/43</w:t>
          </w:r>
          <w:r>
            <w:rPr>
              <w:b/>
              <w:color w:val="000000"/>
            </w:rPr>
            <w:fldChar w:fldCharType="end"/>
          </w:r>
        </w:p>
      </w:tc>
    </w:tr>
  </w:tbl>
  <w:p w:rsidR="006430FE" w:rsidRPr="00916A21" w:rsidRDefault="006430FE" w:rsidP="00916A2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430FE" w:rsidTr="00916A21">
      <w:trPr>
        <w:trHeight w:hRule="exact" w:val="864"/>
      </w:trPr>
      <w:tc>
        <w:tcPr>
          <w:tcW w:w="1267" w:type="dxa"/>
          <w:tcBorders>
            <w:bottom w:val="single" w:sz="4" w:space="0" w:color="auto"/>
          </w:tcBorders>
          <w:shd w:val="clear" w:color="auto" w:fill="auto"/>
          <w:vAlign w:val="bottom"/>
        </w:tcPr>
        <w:p w:rsidR="006430FE" w:rsidRDefault="006430FE" w:rsidP="00916A21">
          <w:pPr>
            <w:pStyle w:val="Header"/>
            <w:spacing w:after="120"/>
          </w:pPr>
        </w:p>
      </w:tc>
      <w:tc>
        <w:tcPr>
          <w:tcW w:w="2059" w:type="dxa"/>
          <w:tcBorders>
            <w:bottom w:val="single" w:sz="4" w:space="0" w:color="auto"/>
          </w:tcBorders>
          <w:shd w:val="clear" w:color="auto" w:fill="auto"/>
          <w:vAlign w:val="bottom"/>
        </w:tcPr>
        <w:p w:rsidR="006430FE" w:rsidRPr="00916A21" w:rsidRDefault="006430FE" w:rsidP="00916A2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430FE" w:rsidRDefault="006430FE" w:rsidP="00916A21">
          <w:pPr>
            <w:pStyle w:val="Header"/>
            <w:spacing w:after="120"/>
          </w:pPr>
        </w:p>
      </w:tc>
      <w:tc>
        <w:tcPr>
          <w:tcW w:w="6653" w:type="dxa"/>
          <w:gridSpan w:val="4"/>
          <w:tcBorders>
            <w:bottom w:val="single" w:sz="4" w:space="0" w:color="auto"/>
          </w:tcBorders>
          <w:shd w:val="clear" w:color="auto" w:fill="auto"/>
          <w:vAlign w:val="bottom"/>
        </w:tcPr>
        <w:p w:rsidR="006430FE" w:rsidRPr="00916A21" w:rsidRDefault="006430FE" w:rsidP="00916A21">
          <w:pPr>
            <w:spacing w:after="80" w:line="240" w:lineRule="auto"/>
            <w:jc w:val="right"/>
            <w:rPr>
              <w:position w:val="-4"/>
            </w:rPr>
          </w:pPr>
          <w:r>
            <w:rPr>
              <w:position w:val="-4"/>
              <w:sz w:val="40"/>
            </w:rPr>
            <w:t>ST</w:t>
          </w:r>
          <w:r>
            <w:rPr>
              <w:position w:val="-4"/>
            </w:rPr>
            <w:t>/SG/AC.10/C.3/2015/43</w:t>
          </w:r>
        </w:p>
      </w:tc>
    </w:tr>
    <w:tr w:rsidR="006430FE" w:rsidRPr="00916A21" w:rsidTr="00916A21">
      <w:trPr>
        <w:gridAfter w:val="1"/>
        <w:wAfter w:w="18" w:type="dxa"/>
        <w:trHeight w:hRule="exact" w:val="2880"/>
      </w:trPr>
      <w:tc>
        <w:tcPr>
          <w:tcW w:w="1267" w:type="dxa"/>
          <w:tcBorders>
            <w:top w:val="single" w:sz="4" w:space="0" w:color="auto"/>
            <w:bottom w:val="single" w:sz="12" w:space="0" w:color="auto"/>
          </w:tcBorders>
          <w:shd w:val="clear" w:color="auto" w:fill="auto"/>
        </w:tcPr>
        <w:p w:rsidR="006430FE" w:rsidRPr="00916A21" w:rsidRDefault="006430FE" w:rsidP="00916A21">
          <w:pPr>
            <w:pStyle w:val="Header"/>
            <w:spacing w:before="120" w:line="240" w:lineRule="auto"/>
            <w:ind w:left="-72"/>
            <w:jc w:val="center"/>
          </w:pPr>
          <w:r>
            <w:t xml:space="preserve">  </w:t>
          </w:r>
          <w:r>
            <w:rPr>
              <w:noProof/>
              <w:lang w:val="en-GB" w:eastAsia="en-GB"/>
            </w:rPr>
            <w:drawing>
              <wp:inline distT="0" distB="0" distL="0" distR="0" wp14:anchorId="510B8901" wp14:editId="4293D4C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430FE" w:rsidRPr="00916A21" w:rsidRDefault="006430FE" w:rsidP="00916A21">
          <w:pPr>
            <w:pStyle w:val="XLarge"/>
            <w:spacing w:before="109"/>
          </w:pPr>
          <w:r>
            <w:t>Secrétariat</w:t>
          </w:r>
        </w:p>
      </w:tc>
      <w:tc>
        <w:tcPr>
          <w:tcW w:w="245" w:type="dxa"/>
          <w:tcBorders>
            <w:top w:val="single" w:sz="4" w:space="0" w:color="auto"/>
            <w:bottom w:val="single" w:sz="12" w:space="0" w:color="auto"/>
          </w:tcBorders>
          <w:shd w:val="clear" w:color="auto" w:fill="auto"/>
        </w:tcPr>
        <w:p w:rsidR="006430FE" w:rsidRPr="00916A21" w:rsidRDefault="006430FE" w:rsidP="00916A21">
          <w:pPr>
            <w:pStyle w:val="Header"/>
            <w:spacing w:before="109"/>
          </w:pPr>
        </w:p>
      </w:tc>
      <w:tc>
        <w:tcPr>
          <w:tcW w:w="3280" w:type="dxa"/>
          <w:tcBorders>
            <w:top w:val="single" w:sz="4" w:space="0" w:color="auto"/>
            <w:bottom w:val="single" w:sz="12" w:space="0" w:color="auto"/>
          </w:tcBorders>
          <w:shd w:val="clear" w:color="auto" w:fill="auto"/>
        </w:tcPr>
        <w:p w:rsidR="006430FE" w:rsidRDefault="006430FE" w:rsidP="00916A21">
          <w:pPr>
            <w:pStyle w:val="Distribution"/>
            <w:rPr>
              <w:color w:val="000000"/>
            </w:rPr>
          </w:pPr>
          <w:r>
            <w:rPr>
              <w:color w:val="000000"/>
            </w:rPr>
            <w:t xml:space="preserve">Distr. </w:t>
          </w:r>
          <w:proofErr w:type="spellStart"/>
          <w:r>
            <w:rPr>
              <w:color w:val="000000"/>
            </w:rPr>
            <w:t>générale</w:t>
          </w:r>
          <w:proofErr w:type="spellEnd"/>
        </w:p>
        <w:p w:rsidR="006430FE" w:rsidRDefault="006430FE" w:rsidP="00916A21">
          <w:pPr>
            <w:pStyle w:val="Publication"/>
            <w:rPr>
              <w:color w:val="000000"/>
            </w:rPr>
          </w:pPr>
          <w:r>
            <w:rPr>
              <w:color w:val="000000"/>
            </w:rPr>
            <w:t xml:space="preserve">4 </w:t>
          </w:r>
          <w:proofErr w:type="spellStart"/>
          <w:r>
            <w:rPr>
              <w:color w:val="000000"/>
            </w:rPr>
            <w:t>septembre</w:t>
          </w:r>
          <w:proofErr w:type="spellEnd"/>
          <w:r>
            <w:rPr>
              <w:color w:val="000000"/>
            </w:rPr>
            <w:t xml:space="preserve"> 2015</w:t>
          </w:r>
        </w:p>
        <w:p w:rsidR="006430FE" w:rsidRDefault="006430FE" w:rsidP="00916A21">
          <w:pPr>
            <w:rPr>
              <w:lang w:val="en-US"/>
            </w:rPr>
          </w:pPr>
          <w:proofErr w:type="spellStart"/>
          <w:r>
            <w:rPr>
              <w:lang w:val="en-US"/>
            </w:rPr>
            <w:t>Français</w:t>
          </w:r>
          <w:proofErr w:type="spellEnd"/>
        </w:p>
        <w:p w:rsidR="006430FE" w:rsidRPr="00916A21" w:rsidRDefault="006430FE" w:rsidP="00916A21">
          <w:pPr>
            <w:pStyle w:val="Original"/>
            <w:rPr>
              <w:color w:val="000000"/>
            </w:rPr>
          </w:pPr>
          <w:r>
            <w:rPr>
              <w:color w:val="000000"/>
            </w:rPr>
            <w:t xml:space="preserve">Original : </w:t>
          </w:r>
          <w:proofErr w:type="spellStart"/>
          <w:r>
            <w:rPr>
              <w:color w:val="000000"/>
            </w:rPr>
            <w:t>anglais</w:t>
          </w:r>
          <w:proofErr w:type="spellEnd"/>
        </w:p>
      </w:tc>
    </w:tr>
  </w:tbl>
  <w:p w:rsidR="006430FE" w:rsidRPr="00916A21" w:rsidRDefault="006430FE" w:rsidP="00916A2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C5436D1"/>
    <w:multiLevelType w:val="singleLevel"/>
    <w:tmpl w:val="A1A6D9E6"/>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8415A"/>
    <w:multiLevelType w:val="hybridMultilevel"/>
    <w:tmpl w:val="230AA5C0"/>
    <w:lvl w:ilvl="0" w:tplc="EDE031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43D1"/>
    <w:multiLevelType w:val="singleLevel"/>
    <w:tmpl w:val="A1A6D9E6"/>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025*"/>
    <w:docVar w:name="CreationDt" w:val="11/17/2015 3:41: PM"/>
    <w:docVar w:name="DocCategory" w:val="Doc"/>
    <w:docVar w:name="DocType" w:val="Final"/>
    <w:docVar w:name="DutyStation" w:val="Geneva"/>
    <w:docVar w:name="FooterJN" w:val="GE.15-15025"/>
    <w:docVar w:name="jobn" w:val="GE.15-15025 (F)"/>
    <w:docVar w:name="jobnDT" w:val="GE.15-15025 (F)   171115"/>
    <w:docVar w:name="jobnDTDT" w:val="GE.15-15025 (F)   171115   171115"/>
    <w:docVar w:name="JobNo" w:val="GE.1515025F"/>
    <w:docVar w:name="JobNo2" w:val="GE.1519998F"/>
    <w:docVar w:name="LocalDrive" w:val="0"/>
    <w:docVar w:name="OandT" w:val=" "/>
    <w:docVar w:name="PaperSize" w:val="A4"/>
    <w:docVar w:name="sss1" w:val="ST/SG/AC.10/C.3/2015/43"/>
    <w:docVar w:name="sss2" w:val="-"/>
    <w:docVar w:name="Symbol1" w:val="ST/SG/AC.10/C.3/2015/43"/>
    <w:docVar w:name="Symbol2" w:val="-"/>
  </w:docVars>
  <w:rsids>
    <w:rsidRoot w:val="00033B8C"/>
    <w:rsid w:val="000015B8"/>
    <w:rsid w:val="000046A5"/>
    <w:rsid w:val="000055FB"/>
    <w:rsid w:val="00010C97"/>
    <w:rsid w:val="00016483"/>
    <w:rsid w:val="00022173"/>
    <w:rsid w:val="0002226F"/>
    <w:rsid w:val="00022B4A"/>
    <w:rsid w:val="00023E37"/>
    <w:rsid w:val="000249FF"/>
    <w:rsid w:val="00025DE5"/>
    <w:rsid w:val="000274C2"/>
    <w:rsid w:val="00033B8C"/>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5DE7"/>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0F74D6"/>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8BA"/>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B25"/>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4A4"/>
    <w:rsid w:val="004309B5"/>
    <w:rsid w:val="0043103D"/>
    <w:rsid w:val="00432662"/>
    <w:rsid w:val="00433AB0"/>
    <w:rsid w:val="004342B2"/>
    <w:rsid w:val="00441593"/>
    <w:rsid w:val="00443A00"/>
    <w:rsid w:val="00443E79"/>
    <w:rsid w:val="00444609"/>
    <w:rsid w:val="004448E6"/>
    <w:rsid w:val="00450D24"/>
    <w:rsid w:val="00452DA5"/>
    <w:rsid w:val="00453DAB"/>
    <w:rsid w:val="0045423E"/>
    <w:rsid w:val="004548AC"/>
    <w:rsid w:val="00455176"/>
    <w:rsid w:val="00455E42"/>
    <w:rsid w:val="00457D04"/>
    <w:rsid w:val="00460112"/>
    <w:rsid w:val="0046127A"/>
    <w:rsid w:val="00461788"/>
    <w:rsid w:val="004627F7"/>
    <w:rsid w:val="00462FE3"/>
    <w:rsid w:val="004638A8"/>
    <w:rsid w:val="00464787"/>
    <w:rsid w:val="004669E9"/>
    <w:rsid w:val="00472794"/>
    <w:rsid w:val="00475F9F"/>
    <w:rsid w:val="00476698"/>
    <w:rsid w:val="00477592"/>
    <w:rsid w:val="004814BB"/>
    <w:rsid w:val="00481634"/>
    <w:rsid w:val="00485BF8"/>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233F"/>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657"/>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63D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30FE"/>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6400"/>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6CD7"/>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2026"/>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18F2"/>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21"/>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97BC6"/>
    <w:rsid w:val="009A10C4"/>
    <w:rsid w:val="009A142A"/>
    <w:rsid w:val="009A17F4"/>
    <w:rsid w:val="009A193C"/>
    <w:rsid w:val="009A2ED9"/>
    <w:rsid w:val="009A325B"/>
    <w:rsid w:val="009A3FE3"/>
    <w:rsid w:val="009A4787"/>
    <w:rsid w:val="009A7DEC"/>
    <w:rsid w:val="009B0AF7"/>
    <w:rsid w:val="009B0BFB"/>
    <w:rsid w:val="009B4398"/>
    <w:rsid w:val="009B4EEC"/>
    <w:rsid w:val="009C17E7"/>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0BC1"/>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22E9"/>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4E36"/>
    <w:rsid w:val="00B95816"/>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E27"/>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390"/>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16A21"/>
    <w:rPr>
      <w:sz w:val="16"/>
      <w:szCs w:val="16"/>
    </w:rPr>
  </w:style>
  <w:style w:type="paragraph" w:styleId="CommentText">
    <w:name w:val="annotation text"/>
    <w:basedOn w:val="Normal"/>
    <w:link w:val="CommentTextChar"/>
    <w:uiPriority w:val="99"/>
    <w:semiHidden/>
    <w:unhideWhenUsed/>
    <w:rsid w:val="00916A21"/>
    <w:pPr>
      <w:spacing w:line="240" w:lineRule="auto"/>
    </w:pPr>
    <w:rPr>
      <w:szCs w:val="20"/>
    </w:rPr>
  </w:style>
  <w:style w:type="character" w:customStyle="1" w:styleId="CommentTextChar">
    <w:name w:val="Comment Text Char"/>
    <w:basedOn w:val="DefaultParagraphFont"/>
    <w:link w:val="CommentText"/>
    <w:uiPriority w:val="99"/>
    <w:semiHidden/>
    <w:rsid w:val="00916A2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16A21"/>
    <w:rPr>
      <w:b/>
      <w:bCs/>
    </w:rPr>
  </w:style>
  <w:style w:type="character" w:customStyle="1" w:styleId="CommentSubjectChar">
    <w:name w:val="Comment Subject Char"/>
    <w:basedOn w:val="CommentTextChar"/>
    <w:link w:val="CommentSubject"/>
    <w:uiPriority w:val="99"/>
    <w:semiHidden/>
    <w:rsid w:val="00916A21"/>
    <w:rPr>
      <w:rFonts w:ascii="Times New Roman" w:hAnsi="Times New Roman"/>
      <w:b/>
      <w:bCs/>
      <w:spacing w:val="4"/>
      <w:w w:val="103"/>
      <w:kern w:val="14"/>
      <w:lang w:val="fr-CA"/>
    </w:rPr>
  </w:style>
  <w:style w:type="table" w:customStyle="1" w:styleId="Grilledutableau1">
    <w:name w:val="Grille du tableau1"/>
    <w:basedOn w:val="TableNormal"/>
    <w:next w:val="TableGrid"/>
    <w:rsid w:val="0046127A"/>
    <w:pPr>
      <w:suppressAutoHyphens/>
      <w:spacing w:line="240" w:lineRule="atLeast"/>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59"/>
    <w:rsid w:val="0046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16A21"/>
    <w:rPr>
      <w:sz w:val="16"/>
      <w:szCs w:val="16"/>
    </w:rPr>
  </w:style>
  <w:style w:type="paragraph" w:styleId="CommentText">
    <w:name w:val="annotation text"/>
    <w:basedOn w:val="Normal"/>
    <w:link w:val="CommentTextChar"/>
    <w:uiPriority w:val="99"/>
    <w:semiHidden/>
    <w:unhideWhenUsed/>
    <w:rsid w:val="00916A21"/>
    <w:pPr>
      <w:spacing w:line="240" w:lineRule="auto"/>
    </w:pPr>
    <w:rPr>
      <w:szCs w:val="20"/>
    </w:rPr>
  </w:style>
  <w:style w:type="character" w:customStyle="1" w:styleId="CommentTextChar">
    <w:name w:val="Comment Text Char"/>
    <w:basedOn w:val="DefaultParagraphFont"/>
    <w:link w:val="CommentText"/>
    <w:uiPriority w:val="99"/>
    <w:semiHidden/>
    <w:rsid w:val="00916A2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16A21"/>
    <w:rPr>
      <w:b/>
      <w:bCs/>
    </w:rPr>
  </w:style>
  <w:style w:type="character" w:customStyle="1" w:styleId="CommentSubjectChar">
    <w:name w:val="Comment Subject Char"/>
    <w:basedOn w:val="CommentTextChar"/>
    <w:link w:val="CommentSubject"/>
    <w:uiPriority w:val="99"/>
    <w:semiHidden/>
    <w:rsid w:val="00916A21"/>
    <w:rPr>
      <w:rFonts w:ascii="Times New Roman" w:hAnsi="Times New Roman"/>
      <w:b/>
      <w:bCs/>
      <w:spacing w:val="4"/>
      <w:w w:val="103"/>
      <w:kern w:val="14"/>
      <w:lang w:val="fr-CA"/>
    </w:rPr>
  </w:style>
  <w:style w:type="table" w:customStyle="1" w:styleId="Grilledutableau1">
    <w:name w:val="Grille du tableau1"/>
    <w:basedOn w:val="TableNormal"/>
    <w:next w:val="TableGrid"/>
    <w:rsid w:val="0046127A"/>
    <w:pPr>
      <w:suppressAutoHyphens/>
      <w:spacing w:line="240" w:lineRule="atLeast"/>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59"/>
    <w:rsid w:val="0046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3551-5EA4-43BE-A09C-00365C1A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Laurence Berthet</cp:lastModifiedBy>
  <cp:revision>3</cp:revision>
  <cp:lastPrinted>2015-11-18T09:32:00Z</cp:lastPrinted>
  <dcterms:created xsi:type="dcterms:W3CDTF">2015-11-18T09:32:00Z</dcterms:created>
  <dcterms:modified xsi:type="dcterms:W3CDTF">2015-11-18T09:32:00Z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1515025F</vt:lpwstr>
  </property>
  <property fmtid="{D5CDD505-2E9C-101B-9397-08002B2CF9AE}" pid="3" name="ODSRefJobNo">
    <vt:lpwstr>1519998F</vt:lpwstr>
  </property>
  <property fmtid="{D5CDD505-2E9C-101B-9397-08002B2CF9AE}" pid="4" name="Symbol1">
    <vt:lpwstr>ST/SG/AC.10/C.3/2015/43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novembre 2015</vt:lpwstr>
  </property>
  <property fmtid="{D5CDD505-2E9C-101B-9397-08002B2CF9AE}" pid="12" name="Original">
    <vt:lpwstr>anglais</vt:lpwstr>
  </property>
  <property fmtid="{D5CDD505-2E9C-101B-9397-08002B2CF9AE}" pid="13" name="Release Date">
    <vt:lpwstr>171115</vt:lpwstr>
  </property>
</Properties>
</file>