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48539B" w:rsidRPr="006500BA" w:rsidTr="00FE646C">
        <w:trPr>
          <w:trHeight w:val="851"/>
        </w:trPr>
        <w:tc>
          <w:tcPr>
            <w:tcW w:w="1259" w:type="dxa"/>
            <w:tcBorders>
              <w:top w:val="nil"/>
              <w:left w:val="nil"/>
              <w:bottom w:val="single" w:sz="4" w:space="0" w:color="auto"/>
              <w:right w:val="nil"/>
            </w:tcBorders>
          </w:tcPr>
          <w:p w:rsidR="0048539B" w:rsidRPr="006500BA" w:rsidRDefault="0048539B" w:rsidP="00FE646C">
            <w:pPr>
              <w:spacing w:after="80" w:line="340" w:lineRule="exact"/>
            </w:pPr>
            <w:bookmarkStart w:id="0" w:name="_GoBack"/>
            <w:bookmarkEnd w:id="0"/>
          </w:p>
        </w:tc>
        <w:tc>
          <w:tcPr>
            <w:tcW w:w="2236" w:type="dxa"/>
            <w:tcBorders>
              <w:top w:val="nil"/>
              <w:left w:val="nil"/>
              <w:bottom w:val="single" w:sz="4" w:space="0" w:color="auto"/>
              <w:right w:val="nil"/>
            </w:tcBorders>
            <w:vAlign w:val="bottom"/>
          </w:tcPr>
          <w:p w:rsidR="0048539B" w:rsidRPr="00FE646C" w:rsidRDefault="0048539B" w:rsidP="00FE646C">
            <w:pPr>
              <w:spacing w:after="80" w:line="340" w:lineRule="exact"/>
              <w:rPr>
                <w:sz w:val="28"/>
                <w:szCs w:val="28"/>
              </w:rPr>
            </w:pPr>
            <w:r w:rsidRPr="00FE646C">
              <w:rPr>
                <w:sz w:val="28"/>
                <w:szCs w:val="28"/>
              </w:rPr>
              <w:t>United Nations</w:t>
            </w:r>
          </w:p>
        </w:tc>
        <w:tc>
          <w:tcPr>
            <w:tcW w:w="6144" w:type="dxa"/>
            <w:gridSpan w:val="2"/>
            <w:tcBorders>
              <w:top w:val="nil"/>
              <w:left w:val="nil"/>
              <w:bottom w:val="single" w:sz="4" w:space="0" w:color="auto"/>
              <w:right w:val="nil"/>
            </w:tcBorders>
            <w:vAlign w:val="bottom"/>
          </w:tcPr>
          <w:p w:rsidR="0048539B" w:rsidRPr="006500BA" w:rsidRDefault="0048539B" w:rsidP="00B04F48">
            <w:pPr>
              <w:jc w:val="right"/>
            </w:pPr>
            <w:r w:rsidRPr="00FE646C">
              <w:rPr>
                <w:sz w:val="40"/>
              </w:rPr>
              <w:t>ST</w:t>
            </w:r>
            <w:r>
              <w:t>/SG/AC.10/C.3/201</w:t>
            </w:r>
            <w:r w:rsidR="00BF6291">
              <w:t>5</w:t>
            </w:r>
            <w:r>
              <w:t>/</w:t>
            </w:r>
            <w:r w:rsidR="00403EAE">
              <w:t>4</w:t>
            </w:r>
            <w:r w:rsidR="00B04F48">
              <w:t>3</w:t>
            </w:r>
          </w:p>
        </w:tc>
      </w:tr>
      <w:tr w:rsidR="0048539B" w:rsidRPr="006500BA" w:rsidTr="00FE646C">
        <w:trPr>
          <w:trHeight w:val="2835"/>
        </w:trPr>
        <w:tc>
          <w:tcPr>
            <w:tcW w:w="1259" w:type="dxa"/>
            <w:tcBorders>
              <w:top w:val="single" w:sz="4" w:space="0" w:color="auto"/>
              <w:left w:val="nil"/>
              <w:bottom w:val="single" w:sz="12" w:space="0" w:color="auto"/>
              <w:right w:val="nil"/>
            </w:tcBorders>
          </w:tcPr>
          <w:p w:rsidR="0048539B" w:rsidRPr="006500BA" w:rsidRDefault="00C27298" w:rsidP="00FE646C">
            <w:pPr>
              <w:spacing w:before="120"/>
              <w:jc w:val="center"/>
            </w:pPr>
            <w:r>
              <w:rPr>
                <w:noProof/>
                <w:lang w:eastAsia="en-GB"/>
              </w:rPr>
              <w:drawing>
                <wp:inline distT="0" distB="0" distL="0" distR="0">
                  <wp:extent cx="712470" cy="590550"/>
                  <wp:effectExtent l="0" t="0" r="0" b="0"/>
                  <wp:docPr id="5"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2470"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48539B" w:rsidRPr="00FE646C" w:rsidRDefault="0048539B" w:rsidP="00FE646C">
            <w:pPr>
              <w:spacing w:before="120" w:line="420" w:lineRule="exact"/>
              <w:rPr>
                <w:b/>
                <w:sz w:val="40"/>
                <w:szCs w:val="40"/>
              </w:rPr>
            </w:pPr>
            <w:r w:rsidRPr="00FE646C">
              <w:rPr>
                <w:b/>
                <w:sz w:val="40"/>
                <w:szCs w:val="40"/>
              </w:rPr>
              <w:t>Secretariat</w:t>
            </w:r>
          </w:p>
        </w:tc>
        <w:tc>
          <w:tcPr>
            <w:tcW w:w="2930" w:type="dxa"/>
            <w:tcBorders>
              <w:top w:val="single" w:sz="4" w:space="0" w:color="auto"/>
              <w:left w:val="nil"/>
              <w:bottom w:val="single" w:sz="12" w:space="0" w:color="auto"/>
              <w:right w:val="nil"/>
            </w:tcBorders>
          </w:tcPr>
          <w:p w:rsidR="0048539B" w:rsidRDefault="00E4094C" w:rsidP="00E4094C">
            <w:pPr>
              <w:spacing w:before="240" w:line="240" w:lineRule="exact"/>
            </w:pPr>
            <w:r>
              <w:t>Distr.: General</w:t>
            </w:r>
            <w:r w:rsidR="00934214">
              <w:br/>
            </w:r>
            <w:r w:rsidR="00AE0873">
              <w:t>4</w:t>
            </w:r>
            <w:r w:rsidR="00403EAE">
              <w:t xml:space="preserve"> September</w:t>
            </w:r>
            <w:r w:rsidR="00083A13">
              <w:t xml:space="preserve"> 201</w:t>
            </w:r>
            <w:r w:rsidR="00BF6291">
              <w:t>5</w:t>
            </w:r>
          </w:p>
          <w:p w:rsidR="0048539B" w:rsidRDefault="0048539B" w:rsidP="00FE646C">
            <w:pPr>
              <w:spacing w:line="240" w:lineRule="exact"/>
            </w:pPr>
          </w:p>
          <w:p w:rsidR="0048539B" w:rsidRPr="006500BA" w:rsidRDefault="0048539B" w:rsidP="00FE646C">
            <w:pPr>
              <w:spacing w:line="240" w:lineRule="exact"/>
            </w:pPr>
            <w:r>
              <w:t>Original: English</w:t>
            </w:r>
          </w:p>
        </w:tc>
      </w:tr>
    </w:tbl>
    <w:p w:rsidR="0048539B" w:rsidRPr="006500BA" w:rsidRDefault="0048539B" w:rsidP="0048539B">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rsidR="0048539B" w:rsidRPr="006500BA" w:rsidRDefault="0048539B" w:rsidP="0048539B">
      <w:pPr>
        <w:spacing w:before="100"/>
        <w:rPr>
          <w:rFonts w:ascii="Helv" w:hAnsi="Helv" w:cs="Helv"/>
          <w:b/>
          <w:color w:val="000000"/>
        </w:rPr>
      </w:pPr>
      <w:r w:rsidRPr="006500BA">
        <w:rPr>
          <w:b/>
        </w:rPr>
        <w:t xml:space="preserve">Sub-Committee of Experts on the </w:t>
      </w:r>
      <w:r>
        <w:rPr>
          <w:b/>
        </w:rPr>
        <w:t>Transport of Dangerous Goods</w:t>
      </w:r>
    </w:p>
    <w:p w:rsidR="0048539B" w:rsidRPr="006500BA" w:rsidRDefault="00F708A8" w:rsidP="0048539B">
      <w:pPr>
        <w:spacing w:before="100"/>
        <w:rPr>
          <w:b/>
        </w:rPr>
      </w:pPr>
      <w:r>
        <w:rPr>
          <w:b/>
        </w:rPr>
        <w:t>Fort</w:t>
      </w:r>
      <w:r w:rsidR="00083A13">
        <w:rPr>
          <w:b/>
        </w:rPr>
        <w:t>y-</w:t>
      </w:r>
      <w:r w:rsidR="00427EC1">
        <w:rPr>
          <w:b/>
        </w:rPr>
        <w:t>eight</w:t>
      </w:r>
      <w:r w:rsidR="00AA59B9">
        <w:rPr>
          <w:b/>
        </w:rPr>
        <w:t>h</w:t>
      </w:r>
      <w:r w:rsidR="0048539B">
        <w:rPr>
          <w:b/>
        </w:rPr>
        <w:t xml:space="preserve"> </w:t>
      </w:r>
      <w:proofErr w:type="gramStart"/>
      <w:r w:rsidR="0048539B" w:rsidRPr="006500BA">
        <w:rPr>
          <w:b/>
        </w:rPr>
        <w:t>session</w:t>
      </w:r>
      <w:proofErr w:type="gramEnd"/>
    </w:p>
    <w:p w:rsidR="0048539B" w:rsidRPr="006500BA" w:rsidRDefault="0048539B" w:rsidP="0048539B">
      <w:r w:rsidRPr="006500BA">
        <w:t xml:space="preserve">Geneva, </w:t>
      </w:r>
      <w:r w:rsidR="003A0867">
        <w:t>30 November</w:t>
      </w:r>
      <w:r w:rsidR="00F708A8">
        <w:t xml:space="preserve"> – </w:t>
      </w:r>
      <w:r w:rsidR="003A0867">
        <w:t>9 December</w:t>
      </w:r>
      <w:r w:rsidR="00AE3D03">
        <w:t xml:space="preserve"> 201</w:t>
      </w:r>
      <w:r w:rsidR="00BF6291">
        <w:t>5</w:t>
      </w:r>
    </w:p>
    <w:p w:rsidR="00C84FF4" w:rsidRDefault="00C84FF4" w:rsidP="00083A13">
      <w:pPr>
        <w:rPr>
          <w:b/>
          <w:lang w:val="en-US"/>
        </w:rPr>
      </w:pPr>
      <w:r w:rsidRPr="00372BDC">
        <w:t xml:space="preserve">Item </w:t>
      </w:r>
      <w:r w:rsidR="00615ADE">
        <w:t>2 (</w:t>
      </w:r>
      <w:r w:rsidR="00694FF3">
        <w:t>i</w:t>
      </w:r>
      <w:r w:rsidR="00615ADE">
        <w:t>)</w:t>
      </w:r>
      <w:r w:rsidRPr="00372BDC">
        <w:t xml:space="preserve"> of the provisional agenda</w:t>
      </w:r>
      <w:r w:rsidRPr="00CF6553">
        <w:rPr>
          <w:b/>
          <w:lang w:val="en-US"/>
        </w:rPr>
        <w:t xml:space="preserve"> </w:t>
      </w:r>
    </w:p>
    <w:p w:rsidR="00083A13" w:rsidRDefault="00615ADE" w:rsidP="00083A13">
      <w:pPr>
        <w:rPr>
          <w:b/>
        </w:rPr>
      </w:pPr>
      <w:r w:rsidRPr="00615ADE">
        <w:rPr>
          <w:b/>
        </w:rPr>
        <w:t>E</w:t>
      </w:r>
      <w:r w:rsidR="003A0867">
        <w:rPr>
          <w:b/>
        </w:rPr>
        <w:t xml:space="preserve">xplosives and related matters: </w:t>
      </w:r>
      <w:r w:rsidR="00403EAE" w:rsidRPr="00403EAE">
        <w:rPr>
          <w:b/>
        </w:rPr>
        <w:t>miscellaneous</w:t>
      </w:r>
    </w:p>
    <w:p w:rsidR="00B04F48" w:rsidRDefault="00615ADE" w:rsidP="00B04F48">
      <w:pPr>
        <w:pStyle w:val="HChG"/>
      </w:pPr>
      <w:r>
        <w:tab/>
      </w:r>
      <w:r w:rsidR="00B04F48">
        <w:tab/>
        <w:t>Analogy approvals based on test results obtained using the Manual of Tests and Criteria</w:t>
      </w:r>
    </w:p>
    <w:p w:rsidR="00B04F48" w:rsidRDefault="00B04F48" w:rsidP="00B04F48">
      <w:pPr>
        <w:pStyle w:val="H1G"/>
      </w:pPr>
      <w:r>
        <w:tab/>
      </w:r>
      <w:r>
        <w:tab/>
        <w:t>Transmitted by the Sporting Arms &amp; Ammunition Manufacturers’ Institute (SAAMI)</w:t>
      </w:r>
      <w:r>
        <w:rPr>
          <w:rStyle w:val="FootnoteReference"/>
          <w:b w:val="0"/>
        </w:rPr>
        <w:footnoteReference w:id="2"/>
      </w:r>
    </w:p>
    <w:p w:rsidR="00B04F48" w:rsidRPr="005E6EA9" w:rsidRDefault="00B04F48" w:rsidP="00B04F48">
      <w:pPr>
        <w:pStyle w:val="HChG"/>
      </w:pPr>
      <w:r>
        <w:tab/>
      </w:r>
      <w:r>
        <w:tab/>
        <w:t>Introduction</w:t>
      </w:r>
    </w:p>
    <w:p w:rsidR="00B04F48" w:rsidRDefault="00B04F48" w:rsidP="00B04F48">
      <w:pPr>
        <w:pStyle w:val="SingleTxtG"/>
      </w:pPr>
      <w:r>
        <w:t>1.</w:t>
      </w:r>
      <w:r>
        <w:tab/>
        <w:t xml:space="preserve">SAAMI introduced paper </w:t>
      </w:r>
      <w:r w:rsidRPr="002D5AD7">
        <w:t>ST/SG/AC.10/C.3/2015/13</w:t>
      </w:r>
      <w:r>
        <w:t xml:space="preserve"> on analogy classification at the last session. The </w:t>
      </w:r>
      <w:r w:rsidRPr="00D533A6">
        <w:t xml:space="preserve">Working Group </w:t>
      </w:r>
      <w:r w:rsidR="00AE0873">
        <w:t xml:space="preserve">on Explosives </w:t>
      </w:r>
      <w:r w:rsidRPr="00D533A6">
        <w:t xml:space="preserve">noted in their report </w:t>
      </w:r>
      <w:r>
        <w:t>informal document I</w:t>
      </w:r>
      <w:r w:rsidRPr="00D533A6">
        <w:t>NF.53</w:t>
      </w:r>
      <w:r>
        <w:t xml:space="preserve"> (47</w:t>
      </w:r>
      <w:r w:rsidRPr="00B04F48">
        <w:rPr>
          <w:vertAlign w:val="superscript"/>
        </w:rPr>
        <w:t>th</w:t>
      </w:r>
      <w:r>
        <w:t xml:space="preserve"> session)</w:t>
      </w:r>
      <w:r w:rsidRPr="00D533A6">
        <w:t>: “</w:t>
      </w:r>
      <w:r w:rsidRPr="00B04F48">
        <w:t>Classification</w:t>
      </w:r>
      <w:r w:rsidRPr="00D533A6">
        <w:t xml:space="preserve"> by analogy is commonly used by Competent Authorities to classify explosives without testing based upon comparison with similar products that have been tested according to the M</w:t>
      </w:r>
      <w:r w:rsidR="00AE0873">
        <w:t>anual of Tests and Criteria (MTC)</w:t>
      </w:r>
      <w:r w:rsidRPr="00D533A6">
        <w:t>. This practice is not pres</w:t>
      </w:r>
      <w:r w:rsidR="00AE0873">
        <w:t>ently acknowledged in the MTC. The Working G</w:t>
      </w:r>
      <w:r w:rsidRPr="00D533A6">
        <w:t>roup was supportive of the principle and encouraged SAAMI to consider its comments and to return at the 48th session with additional thoughts for consideration</w:t>
      </w:r>
      <w:r w:rsidRPr="005E6EA9">
        <w:t>.</w:t>
      </w:r>
      <w:r>
        <w:t>” The plenary discussion was s</w:t>
      </w:r>
      <w:r w:rsidR="00AE0873">
        <w:t>ummarized in the report of the s</w:t>
      </w:r>
      <w:r>
        <w:t xml:space="preserve">ecretariat, </w:t>
      </w:r>
      <w:r w:rsidRPr="006A705F">
        <w:t>ST/SG/AC.10/C.3/94</w:t>
      </w:r>
      <w:r>
        <w:t xml:space="preserve">, and SAAMI was encouraged to return with a proposal. </w:t>
      </w:r>
    </w:p>
    <w:p w:rsidR="00B04F48" w:rsidRDefault="00B04F48" w:rsidP="00B04F48">
      <w:pPr>
        <w:pStyle w:val="HChG"/>
      </w:pPr>
      <w:r>
        <w:tab/>
      </w:r>
      <w:r>
        <w:tab/>
        <w:t>Discussion</w:t>
      </w:r>
    </w:p>
    <w:p w:rsidR="00B04F48" w:rsidRPr="00B04F48" w:rsidRDefault="00B04F48" w:rsidP="00B04F48">
      <w:pPr>
        <w:pStyle w:val="SingleTxtG"/>
      </w:pPr>
      <w:r>
        <w:t>2.</w:t>
      </w:r>
      <w:r>
        <w:tab/>
      </w:r>
      <w:r w:rsidR="00AE0873">
        <w:t>SAAMI proposes an a</w:t>
      </w:r>
      <w:r w:rsidRPr="00B04F48">
        <w:t xml:space="preserve">ppendix on analogy classification in </w:t>
      </w:r>
      <w:r>
        <w:t>the United Nations Manual of Tests and</w:t>
      </w:r>
      <w:r w:rsidRPr="00B04F48">
        <w:t xml:space="preserve"> Criteria. The presentation of this guidance in an appendix will provide </w:t>
      </w:r>
      <w:r w:rsidRPr="00B04F48">
        <w:lastRenderedPageBreak/>
        <w:t>a practical solution for inclusion of this import</w:t>
      </w:r>
      <w:r w:rsidR="00AE0873">
        <w:t>ant classification method. The a</w:t>
      </w:r>
      <w:r w:rsidRPr="00B04F48">
        <w:t>ppendix includes the purpose, scope, parameters and an example.</w:t>
      </w:r>
    </w:p>
    <w:p w:rsidR="00B04F48" w:rsidRPr="00B04F48" w:rsidRDefault="00B04F48" w:rsidP="00B04F48">
      <w:pPr>
        <w:pStyle w:val="SingleTxtG"/>
      </w:pPr>
      <w:r>
        <w:t>3.</w:t>
      </w:r>
      <w:r>
        <w:tab/>
      </w:r>
      <w:r w:rsidRPr="00B04F48">
        <w:t>The purpose describes the rigorously controlled approach to explosives classification. Self-classification is generally not allowed, and classifications are issued by government in competent authority documents based on small scale and empirical large scale testing. Products, whether they are substances or mixtures, are tested for every variation, whether related to chemical or physical differences of the substance/mixture, packaging and/or article design.</w:t>
      </w:r>
    </w:p>
    <w:p w:rsidR="00B04F48" w:rsidRPr="00B04F48" w:rsidRDefault="00B04F48" w:rsidP="00B04F48">
      <w:pPr>
        <w:pStyle w:val="SingleTxtG"/>
      </w:pPr>
      <w:r>
        <w:t>4.</w:t>
      </w:r>
      <w:r>
        <w:tab/>
      </w:r>
      <w:r w:rsidRPr="00B04F48">
        <w:t xml:space="preserve">The capacity to test every variation does not exist for an infinite number of products. Changes which do not impact the classification should be allowed without retesting, subject to competent authority evaluation and documentation to validate and authorize acceptable variations based on existing test data. </w:t>
      </w:r>
    </w:p>
    <w:p w:rsidR="00B04F48" w:rsidRPr="00B04F48" w:rsidRDefault="00B04F48" w:rsidP="00B04F48">
      <w:pPr>
        <w:pStyle w:val="SingleTxtG"/>
      </w:pPr>
      <w:r>
        <w:t>5.</w:t>
      </w:r>
      <w:r>
        <w:tab/>
      </w:r>
      <w:r w:rsidRPr="00B04F48">
        <w:t xml:space="preserve">Other methods are often used in combination with analogy, so classification by analogy should not be overly prescriptive. The method of reciprocity, for example, does not require exhaustive data as long as key parameters are satisfactorily addressed. Therefore the appendix mentions limited data and </w:t>
      </w:r>
      <w:proofErr w:type="gramStart"/>
      <w:r w:rsidRPr="00B04F48">
        <w:t>that</w:t>
      </w:r>
      <w:proofErr w:type="gramEnd"/>
      <w:r w:rsidRPr="00B04F48">
        <w:t xml:space="preserve"> analogy parameters should not be considered absolute or all-inclusive, and applications should not be rejected on clerical grounds alone.</w:t>
      </w:r>
    </w:p>
    <w:p w:rsidR="00B04F48" w:rsidRPr="00B04F48" w:rsidRDefault="00B04F48" w:rsidP="00B04F48">
      <w:pPr>
        <w:pStyle w:val="SingleTxtG"/>
      </w:pPr>
      <w:r>
        <w:t>6.</w:t>
      </w:r>
      <w:r>
        <w:tab/>
      </w:r>
      <w:r w:rsidRPr="00B04F48">
        <w:t>The responsibility for preparation of the application rests with the applicant. SAAMI notes that the U</w:t>
      </w:r>
      <w:r w:rsidR="000210EC">
        <w:t>nited Kingdom</w:t>
      </w:r>
      <w:r w:rsidRPr="00B04F48">
        <w:t xml:space="preserve"> Health and Safety Executive also addresses this, and provides guidance on analogies and details for how to prepare a competent application</w:t>
      </w:r>
      <w:proofErr w:type="gramStart"/>
      <w:r w:rsidRPr="00B04F48">
        <w:t>:</w:t>
      </w:r>
      <w:proofErr w:type="gramEnd"/>
      <w:r w:rsidRPr="00B04F48">
        <w:br/>
        <w:t>http://www.hse.gov.uk/explosives/classification/analogy.htm</w:t>
      </w:r>
    </w:p>
    <w:p w:rsidR="00B04F48" w:rsidRPr="00B04F48" w:rsidRDefault="00B04F48" w:rsidP="00B04F48">
      <w:pPr>
        <w:pStyle w:val="SingleTxtG"/>
      </w:pPr>
      <w:r>
        <w:t>7.</w:t>
      </w:r>
      <w:r>
        <w:tab/>
      </w:r>
      <w:r w:rsidRPr="00B04F48">
        <w:t xml:space="preserve">As with all explosives classifications, final judgement rests with the competent authority as stated in the </w:t>
      </w:r>
      <w:r>
        <w:t xml:space="preserve">Manual of Tests and Criteria </w:t>
      </w:r>
      <w:r w:rsidRPr="00B04F48">
        <w:t xml:space="preserve">section 1.1.3 (numbering per the forthcoming 6th </w:t>
      </w:r>
      <w:proofErr w:type="gramStart"/>
      <w:r w:rsidRPr="00B04F48">
        <w:t>Revis</w:t>
      </w:r>
      <w:r w:rsidR="000210EC">
        <w:t>ed</w:t>
      </w:r>
      <w:proofErr w:type="gramEnd"/>
      <w:r w:rsidR="000210EC">
        <w:t xml:space="preserve"> edition</w:t>
      </w:r>
      <w:r w:rsidRPr="00B04F48">
        <w:t>).</w:t>
      </w:r>
    </w:p>
    <w:p w:rsidR="00B04F48" w:rsidRPr="00B04F48" w:rsidRDefault="00B04F48" w:rsidP="00B04F48">
      <w:pPr>
        <w:pStyle w:val="SingleTxtG"/>
      </w:pPr>
      <w:r>
        <w:t>8.</w:t>
      </w:r>
      <w:r>
        <w:tab/>
      </w:r>
      <w:r w:rsidRPr="00B04F48">
        <w:t>Guidance on parameters is separated for substances, articles and packaging. The depth of detail has been reduced by one degree from the last proposal based on feedback from experts.</w:t>
      </w:r>
    </w:p>
    <w:p w:rsidR="00B04F48" w:rsidRPr="00B04F48" w:rsidRDefault="00B04F48" w:rsidP="00B04F48">
      <w:pPr>
        <w:pStyle w:val="SingleTxtG"/>
      </w:pPr>
      <w:r>
        <w:t>9.</w:t>
      </w:r>
      <w:r>
        <w:tab/>
      </w:r>
      <w:r w:rsidRPr="00B04F48">
        <w:t xml:space="preserve">A sentence is proposed for addition to </w:t>
      </w:r>
      <w:r w:rsidR="000210EC">
        <w:t xml:space="preserve">the </w:t>
      </w:r>
      <w:r>
        <w:t xml:space="preserve">Manual of Tests and Criteria </w:t>
      </w:r>
      <w:r w:rsidRPr="00B04F48">
        <w:t xml:space="preserve">6th </w:t>
      </w:r>
      <w:r w:rsidR="000210EC">
        <w:t xml:space="preserve">Revised </w:t>
      </w:r>
      <w:r w:rsidRPr="00B04F48">
        <w:t>Edition in section 1.1.3 to reference the proposed appendix.</w:t>
      </w:r>
    </w:p>
    <w:p w:rsidR="00B04F48" w:rsidRDefault="00B04F48" w:rsidP="00B04F48">
      <w:pPr>
        <w:pStyle w:val="HChG"/>
      </w:pPr>
      <w:r>
        <w:tab/>
      </w:r>
      <w:r>
        <w:tab/>
        <w:t>Proposal</w:t>
      </w:r>
    </w:p>
    <w:p w:rsidR="00B04F48" w:rsidRDefault="00B04F48" w:rsidP="00B04F48">
      <w:pPr>
        <w:pStyle w:val="SingleTxtG"/>
      </w:pPr>
      <w:r>
        <w:t>10.</w:t>
      </w:r>
      <w:r>
        <w:tab/>
      </w:r>
      <w:r w:rsidRPr="00B04F48">
        <w:t>Insert</w:t>
      </w:r>
      <w:r>
        <w:t xml:space="preserve"> a reference in the Manual of Tests and Criteria to a new Appendix XX. </w:t>
      </w:r>
    </w:p>
    <w:p w:rsidR="00B04F48" w:rsidRPr="007569A8" w:rsidRDefault="00B04F48" w:rsidP="00B04F48">
      <w:pPr>
        <w:pStyle w:val="SingleTxtG"/>
        <w:ind w:left="1701"/>
      </w:pPr>
      <w:r w:rsidRPr="007569A8">
        <w:t>“1.1.3</w:t>
      </w:r>
      <w:r w:rsidRPr="007569A8">
        <w:tab/>
        <w:t>It should be noted that the Manual of Tests and Criteria is not a concise formulation of testing procedures that will unerringly lead to a proper classification of products. It therefore assumes competence on the part of the testing authority and leaves responsibility</w:t>
      </w:r>
      <w:r>
        <w:t xml:space="preserve"> for classification with them. </w:t>
      </w:r>
      <w:r w:rsidRPr="007569A8">
        <w:t xml:space="preserve">The competent authority has discretion to dispense with certain tests, to vary the details of tests, and to require additional tests when this is justified to obtain a reliable and realistic assessment of the hazard of a product. In some cases, a small scale screening procedure may be used to decide whether or not it is necessary to perform larger scale classification tests. Suitable examples of procedures are given in the introductions to some test series and in Appendix 6. </w:t>
      </w:r>
      <w:r w:rsidRPr="007569A8">
        <w:rPr>
          <w:u w:val="single"/>
        </w:rPr>
        <w:t>Guidance on classification by analogy to existing tested or classified products with limited or no additional testing is given in Appendix XX.</w:t>
      </w:r>
      <w:r w:rsidRPr="007569A8">
        <w:t xml:space="preserve"> Examples which may be listed within various test procedures are for illustrative purposes and are provided for guidance only.”</w:t>
      </w:r>
    </w:p>
    <w:p w:rsidR="00B04F48" w:rsidRDefault="00B04F48" w:rsidP="00B04F48">
      <w:pPr>
        <w:pStyle w:val="SingleTxtG"/>
      </w:pPr>
      <w:r>
        <w:t>11.</w:t>
      </w:r>
      <w:r>
        <w:tab/>
        <w:t xml:space="preserve">Insert a new appendix in the </w:t>
      </w:r>
      <w:r w:rsidR="000210EC">
        <w:t>Manual of Tests and Criteria to read</w:t>
      </w:r>
      <w:r>
        <w:t xml:space="preserve"> as follows:</w:t>
      </w:r>
    </w:p>
    <w:p w:rsidR="00B04F48" w:rsidRPr="00B04F48" w:rsidRDefault="00B04F48" w:rsidP="00B04F48">
      <w:pPr>
        <w:pStyle w:val="HChG"/>
      </w:pPr>
      <w:r>
        <w:lastRenderedPageBreak/>
        <w:t>Appendix XX</w:t>
      </w:r>
    </w:p>
    <w:p w:rsidR="00B04F48" w:rsidRDefault="00B04F48" w:rsidP="00B04F48">
      <w:pPr>
        <w:pStyle w:val="HChG"/>
      </w:pPr>
      <w:r>
        <w:tab/>
      </w:r>
      <w:r>
        <w:tab/>
      </w:r>
      <w:r w:rsidRPr="00277446">
        <w:t>C</w:t>
      </w:r>
      <w:r>
        <w:t>lassification by analogy of explosives</w:t>
      </w:r>
    </w:p>
    <w:p w:rsidR="00B04F48" w:rsidRDefault="00B04F48" w:rsidP="00B04F48">
      <w:pPr>
        <w:pStyle w:val="HChG"/>
      </w:pPr>
      <w:r>
        <w:tab/>
        <w:t>1.</w:t>
      </w:r>
      <w:r>
        <w:tab/>
        <w:t>Purpose</w:t>
      </w:r>
    </w:p>
    <w:p w:rsidR="00B04F48" w:rsidRDefault="00B04F48" w:rsidP="00B04F48">
      <w:pPr>
        <w:pStyle w:val="SingleTxtG"/>
      </w:pPr>
      <w:r>
        <w:t>1.1</w:t>
      </w:r>
      <w:r>
        <w:tab/>
      </w:r>
      <w:r w:rsidRPr="00EB40E2">
        <w:t>Unlike</w:t>
      </w:r>
      <w:r>
        <w:t xml:space="preserve"> the majority of chemicals which are self-classified by industry, explosives often require written approval from one or more competent authorities due to national or regional explosives laws. Similarly, self-</w:t>
      </w:r>
      <w:proofErr w:type="spellStart"/>
      <w:r>
        <w:t>reactives</w:t>
      </w:r>
      <w:proofErr w:type="spellEnd"/>
      <w:r>
        <w:t xml:space="preserve"> and organic peroxides may be included in these laws or other legislation, and this appendix may also apply to their classification. Products thus controlled are classified on the basis of small scale and empirical large scale testing according to the procedures of th</w:t>
      </w:r>
      <w:r w:rsidR="000210EC">
        <w:t>is</w:t>
      </w:r>
      <w:r>
        <w:t xml:space="preserve"> Manual of Tests and Criteria. Specific combinations of chemical and physical specifications, packaging and article designs are evaluated. This results in a level of data and control above that normally applied to other dangerous goods. Products thus controlled vary greatly in hazard, e.g. explosives range from Division 1.1 to Division 1.4 Compatibility Group S, and may present less danger than products which are self-classified; accordingly the use of judgment is required for competent authorities to simultaneously ensure safety and facilitate commerce.</w:t>
      </w:r>
    </w:p>
    <w:p w:rsidR="00B04F48" w:rsidRDefault="00B04F48" w:rsidP="00B04F48">
      <w:pPr>
        <w:pStyle w:val="SingleTxtG"/>
      </w:pPr>
      <w:r>
        <w:t>1.2</w:t>
      </w:r>
      <w:r>
        <w:tab/>
        <w:t xml:space="preserve">The capacity to test every variation does not exist for an infinite number of products. Changes which are deemed insignificant to the classification are allowable without additional testing, but are still subject to competent authority evaluation and documentation. Therefore, while many products are tested, others are approvable by alternative means, including but not limited to analogy, expertise, reciprocity, determination of negligible change or regulation defaults. </w:t>
      </w:r>
    </w:p>
    <w:p w:rsidR="00B04F48" w:rsidRPr="00D734F6" w:rsidRDefault="00B04F48" w:rsidP="00B04F48">
      <w:pPr>
        <w:pStyle w:val="SingleTxtG"/>
      </w:pPr>
      <w:r>
        <w:t>1.3</w:t>
      </w:r>
      <w:r>
        <w:tab/>
        <w:t>“Analogy” is the approval of products with limited or no additional testing by comparison to existing tested or classified products. The purpose of this appendix is to provide guidance in performing approvals by analogy. Analogies vary from simple to complex, based on the differences that may exist between the reference and candidate products. These differences can vary in significance, which may or may not be acceptable for purposes of comparison.</w:t>
      </w:r>
    </w:p>
    <w:p w:rsidR="00873B3B" w:rsidRDefault="00B04F48" w:rsidP="00B04F48">
      <w:pPr>
        <w:pStyle w:val="HChG"/>
      </w:pPr>
      <w:r>
        <w:tab/>
        <w:t>2.</w:t>
      </w:r>
      <w:r>
        <w:tab/>
      </w:r>
      <w:r w:rsidRPr="00D734F6">
        <w:t>Scope</w:t>
      </w:r>
    </w:p>
    <w:p w:rsidR="00B04F48" w:rsidRDefault="00B04F48" w:rsidP="00B04F48">
      <w:pPr>
        <w:pStyle w:val="SingleTxtG"/>
      </w:pPr>
      <w:r>
        <w:t>2.1</w:t>
      </w:r>
      <w:r>
        <w:tab/>
        <w:t>An analogy approval of a candidate is based on comparison to one or more reference products that provide a basis for classification with limited or no additional testing.</w:t>
      </w:r>
      <w:r w:rsidRPr="00C11E3D">
        <w:t xml:space="preserve"> </w:t>
      </w:r>
      <w:r>
        <w:t>A reference substance or article is one that has been classified according to th</w:t>
      </w:r>
      <w:r w:rsidR="000210EC">
        <w:t>is</w:t>
      </w:r>
      <w:r>
        <w:t xml:space="preserve"> Manual of Tests </w:t>
      </w:r>
      <w:r w:rsidR="000210EC">
        <w:t>and</w:t>
      </w:r>
      <w:r>
        <w:t xml:space="preserve"> Criteria.  </w:t>
      </w:r>
    </w:p>
    <w:p w:rsidR="00B04F48" w:rsidRDefault="00B04F48" w:rsidP="00B04F48">
      <w:pPr>
        <w:pStyle w:val="SingleTxtG"/>
      </w:pPr>
      <w:r>
        <w:t>2.2</w:t>
      </w:r>
      <w:r>
        <w:tab/>
        <w:t xml:space="preserve">The applicant must first determine which parameters are critical, and for these, whether the candidate(s) fall within the scope of the reference(s). </w:t>
      </w:r>
      <w:r w:rsidRPr="00207F0D">
        <w:t xml:space="preserve">The information supporting an application should allow a comparison of the </w:t>
      </w:r>
      <w:r>
        <w:t>reference</w:t>
      </w:r>
      <w:r w:rsidRPr="00207F0D">
        <w:t xml:space="preserve"> and </w:t>
      </w:r>
      <w:r>
        <w:t>candidate</w:t>
      </w:r>
      <w:r w:rsidRPr="00207F0D">
        <w:t xml:space="preserve"> item</w:t>
      </w:r>
      <w:r>
        <w:t>s</w:t>
      </w:r>
      <w:r w:rsidRPr="00207F0D">
        <w:t>, for example, by use of a table and technical explanation</w:t>
      </w:r>
      <w:r>
        <w:t xml:space="preserve"> as appropriate</w:t>
      </w:r>
      <w:r w:rsidRPr="00207F0D">
        <w:t xml:space="preserve">. </w:t>
      </w:r>
    </w:p>
    <w:p w:rsidR="00B04F48" w:rsidRPr="00D734F6" w:rsidRDefault="00B04F48" w:rsidP="00B04F48">
      <w:pPr>
        <w:pStyle w:val="SingleTxtG"/>
      </w:pPr>
      <w:r>
        <w:t>2.3</w:t>
      </w:r>
      <w:r>
        <w:tab/>
      </w:r>
      <w:r w:rsidRPr="00D734F6">
        <w:t xml:space="preserve">The analogy method may be used </w:t>
      </w:r>
      <w:r>
        <w:t xml:space="preserve">alone or </w:t>
      </w:r>
      <w:r w:rsidRPr="00D734F6">
        <w:t>in conjunction with other non-testing means</w:t>
      </w:r>
      <w:r>
        <w:t xml:space="preserve"> mentioned in paragraph 1.2 above</w:t>
      </w:r>
      <w:r w:rsidRPr="00D734F6">
        <w:t>, and limitations of the analogy method do not preclude the</w:t>
      </w:r>
      <w:r>
        <w:t xml:space="preserve"> use of other methods alone or in combination with analogies</w:t>
      </w:r>
      <w:r w:rsidRPr="00D734F6">
        <w:t xml:space="preserve">. </w:t>
      </w:r>
      <w:r>
        <w:t>The</w:t>
      </w:r>
      <w:r w:rsidRPr="00D734F6">
        <w:t xml:space="preserve"> expertise and discretion of the competent authority </w:t>
      </w:r>
      <w:r>
        <w:t>are</w:t>
      </w:r>
      <w:r w:rsidRPr="00D734F6">
        <w:t xml:space="preserve"> paramount, and take precedence</w:t>
      </w:r>
      <w:r>
        <w:t xml:space="preserve"> </w:t>
      </w:r>
      <w:r w:rsidRPr="00D734F6">
        <w:t xml:space="preserve">(see UNMTC </w:t>
      </w:r>
      <w:r>
        <w:t xml:space="preserve">section </w:t>
      </w:r>
      <w:r w:rsidRPr="00D734F6">
        <w:t>1.1.</w:t>
      </w:r>
      <w:r>
        <w:t>3</w:t>
      </w:r>
      <w:r w:rsidR="000210EC">
        <w:t xml:space="preserve"> of this Manual</w:t>
      </w:r>
      <w:r w:rsidRPr="00D734F6">
        <w:t>).</w:t>
      </w:r>
    </w:p>
    <w:p w:rsidR="00B04F48" w:rsidRDefault="00B04F48" w:rsidP="00B04F48">
      <w:pPr>
        <w:pStyle w:val="HChG"/>
      </w:pPr>
      <w:r>
        <w:lastRenderedPageBreak/>
        <w:tab/>
        <w:t>3.</w:t>
      </w:r>
      <w:r>
        <w:tab/>
        <w:t>Parameters</w:t>
      </w:r>
    </w:p>
    <w:p w:rsidR="007C0E2E" w:rsidRDefault="007C0E2E" w:rsidP="007C0E2E">
      <w:pPr>
        <w:pStyle w:val="SingleTxtG"/>
      </w:pPr>
      <w:r>
        <w:t>The following parameters of technical data may be relevant to classification by analogy and are presented for consideration; however, they should not be considered absolute or all-inclusive. Parameters are divided into substances, articles and packaging.</w:t>
      </w:r>
    </w:p>
    <w:p w:rsidR="00B04F48" w:rsidRDefault="007C0E2E" w:rsidP="00B04F48">
      <w:pPr>
        <w:pStyle w:val="SingleTxtG"/>
      </w:pPr>
      <w:r>
        <w:t>3.1</w:t>
      </w:r>
      <w:r>
        <w:tab/>
      </w:r>
      <w:r w:rsidR="00C21674">
        <w:t>Substance p</w:t>
      </w:r>
      <w:r w:rsidRPr="00D734F6">
        <w:t>arameters</w:t>
      </w:r>
    </w:p>
    <w:p w:rsidR="007C0E2E" w:rsidRDefault="007C0E2E" w:rsidP="007C0E2E">
      <w:pPr>
        <w:pStyle w:val="Bullet1G"/>
      </w:pPr>
      <w:r w:rsidRPr="00D734F6">
        <w:t>Ingredient</w:t>
      </w:r>
      <w:r>
        <w:t xml:space="preserve"> </w:t>
      </w:r>
      <w:r w:rsidR="00C21674">
        <w:t>p</w:t>
      </w:r>
      <w:r w:rsidRPr="00C7191F">
        <w:t>ercentages</w:t>
      </w:r>
    </w:p>
    <w:p w:rsidR="007C0E2E" w:rsidRDefault="00C21674" w:rsidP="007C0E2E">
      <w:pPr>
        <w:pStyle w:val="Bullet1G"/>
      </w:pPr>
      <w:r>
        <w:t>Chemical va</w:t>
      </w:r>
      <w:r w:rsidR="007C0E2E">
        <w:t>riations or Substitutions</w:t>
      </w:r>
    </w:p>
    <w:p w:rsidR="007C0E2E" w:rsidRPr="00C7191F" w:rsidRDefault="00C21674" w:rsidP="007C0E2E">
      <w:pPr>
        <w:pStyle w:val="Bullet1G"/>
      </w:pPr>
      <w:r>
        <w:t>Surface a</w:t>
      </w:r>
      <w:r w:rsidR="007C0E2E">
        <w:t>rea</w:t>
      </w:r>
    </w:p>
    <w:p w:rsidR="007C0E2E" w:rsidRDefault="00C21674" w:rsidP="007C0E2E">
      <w:pPr>
        <w:pStyle w:val="Bullet1G"/>
      </w:pPr>
      <w:r>
        <w:t>Particle size d</w:t>
      </w:r>
      <w:r w:rsidR="007C0E2E" w:rsidRPr="00B639DB">
        <w:t>istribution</w:t>
      </w:r>
    </w:p>
    <w:p w:rsidR="007C0E2E" w:rsidRDefault="007C0E2E" w:rsidP="007C0E2E">
      <w:pPr>
        <w:pStyle w:val="Bullet1G"/>
      </w:pPr>
      <w:r>
        <w:t>Density</w:t>
      </w:r>
      <w:r w:rsidRPr="00B639DB">
        <w:t xml:space="preserve"> </w:t>
      </w:r>
    </w:p>
    <w:p w:rsidR="00B04F48" w:rsidRPr="007C0E2E" w:rsidRDefault="007C0E2E" w:rsidP="007C0E2E">
      <w:pPr>
        <w:pStyle w:val="SingleTxtG"/>
      </w:pPr>
      <w:r>
        <w:t>3.2</w:t>
      </w:r>
      <w:r>
        <w:tab/>
      </w:r>
      <w:r w:rsidR="00C21674">
        <w:t>Article p</w:t>
      </w:r>
      <w:r w:rsidRPr="00D734F6">
        <w:t>arameters</w:t>
      </w:r>
    </w:p>
    <w:p w:rsidR="007C0E2E" w:rsidRDefault="00C21674" w:rsidP="007C0E2E">
      <w:pPr>
        <w:pStyle w:val="Bullet1G"/>
      </w:pPr>
      <w:r>
        <w:t>Substance(s) in the a</w:t>
      </w:r>
      <w:r w:rsidR="007C0E2E">
        <w:t>rticle (described above)</w:t>
      </w:r>
      <w:r w:rsidR="007C0E2E" w:rsidRPr="00885CDC">
        <w:t xml:space="preserve"> </w:t>
      </w:r>
    </w:p>
    <w:p w:rsidR="007C0E2E" w:rsidRDefault="007C0E2E" w:rsidP="007C0E2E">
      <w:pPr>
        <w:pStyle w:val="Bullet1G"/>
      </w:pPr>
      <w:r>
        <w:t>Maximum Net</w:t>
      </w:r>
      <w:r w:rsidR="00C21674">
        <w:t xml:space="preserve"> Explosive Weight (N.E.W.) per a</w:t>
      </w:r>
      <w:r>
        <w:t>rticle</w:t>
      </w:r>
    </w:p>
    <w:p w:rsidR="007C0E2E" w:rsidRDefault="00C21674" w:rsidP="007C0E2E">
      <w:pPr>
        <w:pStyle w:val="Bullet1G"/>
      </w:pPr>
      <w:r>
        <w:t>Article d</w:t>
      </w:r>
      <w:r w:rsidR="007C0E2E">
        <w:t>esign</w:t>
      </w:r>
    </w:p>
    <w:p w:rsidR="007C0E2E" w:rsidRDefault="007C0E2E" w:rsidP="007C0E2E">
      <w:pPr>
        <w:pStyle w:val="Bullet1G"/>
      </w:pPr>
      <w:r w:rsidRPr="00C7191F">
        <w:t>Protection</w:t>
      </w:r>
      <w:r>
        <w:t>(s)</w:t>
      </w:r>
      <w:r w:rsidRPr="00C7191F">
        <w:t xml:space="preserve"> from ignition</w:t>
      </w:r>
      <w:r>
        <w:t>/initiation</w:t>
      </w:r>
    </w:p>
    <w:p w:rsidR="007C0E2E" w:rsidRDefault="007C0E2E" w:rsidP="007C0E2E">
      <w:pPr>
        <w:pStyle w:val="Bullet1G"/>
      </w:pPr>
      <w:r>
        <w:t>Dimensions</w:t>
      </w:r>
    </w:p>
    <w:p w:rsidR="007C0E2E" w:rsidRDefault="00C21674" w:rsidP="007C0E2E">
      <w:pPr>
        <w:pStyle w:val="Bullet1G"/>
      </w:pPr>
      <w:r>
        <w:t>Materials of c</w:t>
      </w:r>
      <w:r w:rsidR="007C0E2E">
        <w:t>onstruction</w:t>
      </w:r>
    </w:p>
    <w:p w:rsidR="00B04F48" w:rsidRDefault="007C0E2E" w:rsidP="007C0E2E">
      <w:pPr>
        <w:pStyle w:val="SingleTxtG"/>
      </w:pPr>
      <w:r>
        <w:t>3.3</w:t>
      </w:r>
      <w:r>
        <w:tab/>
      </w:r>
      <w:r w:rsidR="00C21674">
        <w:t>Packaging p</w:t>
      </w:r>
      <w:r w:rsidRPr="00D734F6">
        <w:t>arameters</w:t>
      </w:r>
    </w:p>
    <w:p w:rsidR="007C0E2E" w:rsidRDefault="007C0E2E" w:rsidP="007C0E2E">
      <w:pPr>
        <w:pStyle w:val="Bullet1G"/>
      </w:pPr>
      <w:r>
        <w:t>Maximum Net Explosive Weight (N.E.W.) per inner packaging if applicable</w:t>
      </w:r>
    </w:p>
    <w:p w:rsidR="007C0E2E" w:rsidRDefault="007C0E2E" w:rsidP="007C0E2E">
      <w:pPr>
        <w:pStyle w:val="Bullet1G"/>
      </w:pPr>
      <w:r>
        <w:t>Maximum Net Explosive Weight (N.E.W.) per outer packaging?</w:t>
      </w:r>
    </w:p>
    <w:p w:rsidR="007C0E2E" w:rsidRPr="002B6B56" w:rsidRDefault="00C21674" w:rsidP="007C0E2E">
      <w:pPr>
        <w:pStyle w:val="Bullet1G"/>
      </w:pPr>
      <w:r>
        <w:t>Dimensions and v</w:t>
      </w:r>
      <w:r w:rsidR="007C0E2E">
        <w:t>olume</w:t>
      </w:r>
    </w:p>
    <w:p w:rsidR="007C0E2E" w:rsidRDefault="007C0E2E" w:rsidP="007C0E2E">
      <w:pPr>
        <w:pStyle w:val="Bullet1G"/>
      </w:pPr>
      <w:r>
        <w:t>Head space within packaging (substances)</w:t>
      </w:r>
    </w:p>
    <w:p w:rsidR="007C0E2E" w:rsidRDefault="00C21674" w:rsidP="007C0E2E">
      <w:pPr>
        <w:pStyle w:val="Bullet1G"/>
      </w:pPr>
      <w:r>
        <w:t>Material of c</w:t>
      </w:r>
      <w:r w:rsidR="007C0E2E">
        <w:t xml:space="preserve">onstruction - </w:t>
      </w:r>
      <w:r w:rsidR="007C0E2E" w:rsidRPr="007F0AEA">
        <w:t>confinement (pressure rise) / containment (shrapnel/debris)</w:t>
      </w:r>
    </w:p>
    <w:p w:rsidR="007C0E2E" w:rsidRDefault="007C0E2E" w:rsidP="007C0E2E">
      <w:pPr>
        <w:pStyle w:val="Bullet1G"/>
      </w:pPr>
      <w:r>
        <w:t>Design</w:t>
      </w:r>
    </w:p>
    <w:p w:rsidR="007C0E2E" w:rsidRPr="00C7191F" w:rsidRDefault="007C0E2E" w:rsidP="007C0E2E">
      <w:pPr>
        <w:pStyle w:val="Bullet1G"/>
      </w:pPr>
      <w:r w:rsidRPr="00C7191F">
        <w:t>Geometry</w:t>
      </w:r>
    </w:p>
    <w:p w:rsidR="007C0E2E" w:rsidRDefault="007C0E2E" w:rsidP="007C0E2E">
      <w:pPr>
        <w:pStyle w:val="Bullet1G"/>
      </w:pPr>
      <w:r>
        <w:t>Maximum number of articles per package (articles)</w:t>
      </w:r>
    </w:p>
    <w:p w:rsidR="007C0E2E" w:rsidRDefault="007C0E2E" w:rsidP="007C0E2E">
      <w:pPr>
        <w:pStyle w:val="Bullet1G"/>
      </w:pPr>
      <w:r>
        <w:t>Type of inner packaging</w:t>
      </w:r>
    </w:p>
    <w:p w:rsidR="007C0E2E" w:rsidRDefault="007C0E2E" w:rsidP="007C0E2E">
      <w:pPr>
        <w:pStyle w:val="Bullet1G"/>
      </w:pPr>
      <w:r>
        <w:t>Type of intermediate packaging (if required/present)</w:t>
      </w:r>
    </w:p>
    <w:p w:rsidR="007C0E2E" w:rsidRPr="00C7191F" w:rsidRDefault="007C0E2E" w:rsidP="007C0E2E">
      <w:pPr>
        <w:pStyle w:val="Bullet1G"/>
      </w:pPr>
      <w:r w:rsidRPr="00C7191F">
        <w:t>Spacing/dimensions (articles)</w:t>
      </w:r>
    </w:p>
    <w:p w:rsidR="007C0E2E" w:rsidRPr="00C7191F" w:rsidRDefault="007C0E2E" w:rsidP="007C0E2E">
      <w:pPr>
        <w:pStyle w:val="Bullet1G"/>
      </w:pPr>
      <w:r w:rsidRPr="00C7191F">
        <w:t>Protection from ignition</w:t>
      </w:r>
      <w:r>
        <w:t>/initiation</w:t>
      </w:r>
    </w:p>
    <w:p w:rsidR="007C0E2E" w:rsidRPr="00C7191F" w:rsidRDefault="007C0E2E" w:rsidP="007C0E2E">
      <w:pPr>
        <w:pStyle w:val="Bullet1G"/>
      </w:pPr>
      <w:r w:rsidRPr="00C7191F">
        <w:t>Limitation of reaction severity</w:t>
      </w:r>
    </w:p>
    <w:p w:rsidR="00F06AE7" w:rsidRDefault="007C0E2E" w:rsidP="007C0E2E">
      <w:pPr>
        <w:pStyle w:val="HChG"/>
      </w:pPr>
      <w:r>
        <w:tab/>
      </w:r>
    </w:p>
    <w:p w:rsidR="00F06AE7" w:rsidRDefault="00F06AE7">
      <w:pPr>
        <w:suppressAutoHyphens w:val="0"/>
        <w:spacing w:line="240" w:lineRule="auto"/>
        <w:rPr>
          <w:b/>
          <w:sz w:val="28"/>
        </w:rPr>
      </w:pPr>
      <w:r>
        <w:br w:type="page"/>
      </w:r>
    </w:p>
    <w:p w:rsidR="007C0E2E" w:rsidRPr="00623160" w:rsidRDefault="00F06AE7" w:rsidP="007C0E2E">
      <w:pPr>
        <w:pStyle w:val="HChG"/>
      </w:pPr>
      <w:r>
        <w:lastRenderedPageBreak/>
        <w:tab/>
      </w:r>
      <w:r w:rsidR="00C21674">
        <w:t>4.</w:t>
      </w:r>
      <w:r w:rsidR="00C21674">
        <w:tab/>
        <w:t>Article e</w:t>
      </w:r>
      <w:r w:rsidR="007C0E2E">
        <w:t>xample</w:t>
      </w:r>
    </w:p>
    <w:p w:rsidR="007C0E2E" w:rsidRDefault="007C0E2E" w:rsidP="007C0E2E">
      <w:pPr>
        <w:pStyle w:val="SingleTxtG"/>
      </w:pPr>
      <w:r>
        <w:t xml:space="preserve">The table below compares properties to determine whether parameters are analogous in a simple analogy.    </w:t>
      </w:r>
    </w:p>
    <w:tbl>
      <w:tblPr>
        <w:tblStyle w:val="TableGrid"/>
        <w:tblW w:w="7370" w:type="dxa"/>
        <w:tblInd w:w="1134" w:type="dxa"/>
        <w:tblBorders>
          <w:left w:val="none" w:sz="0" w:space="0" w:color="auto"/>
          <w:bottom w:val="single" w:sz="12" w:space="0" w:color="auto"/>
          <w:right w:val="none" w:sz="0" w:space="0" w:color="auto"/>
        </w:tblBorders>
        <w:tblLayout w:type="fixed"/>
        <w:tblLook w:val="04A0" w:firstRow="1" w:lastRow="0" w:firstColumn="1" w:lastColumn="0" w:noHBand="0" w:noVBand="1"/>
      </w:tblPr>
      <w:tblGrid>
        <w:gridCol w:w="2415"/>
        <w:gridCol w:w="2561"/>
        <w:gridCol w:w="2394"/>
      </w:tblGrid>
      <w:tr w:rsidR="00A320C7" w:rsidRPr="00247F42" w:rsidTr="00677071">
        <w:trPr>
          <w:tblHeader/>
        </w:trPr>
        <w:tc>
          <w:tcPr>
            <w:tcW w:w="2835" w:type="dxa"/>
            <w:shd w:val="clear" w:color="auto" w:fill="auto"/>
            <w:vAlign w:val="bottom"/>
          </w:tcPr>
          <w:p w:rsidR="00A320C7" w:rsidRPr="00247F42" w:rsidRDefault="00A320C7" w:rsidP="00247F42">
            <w:pPr>
              <w:pStyle w:val="SingleTxtG"/>
              <w:suppressAutoHyphens w:val="0"/>
              <w:spacing w:before="80" w:after="80" w:line="200" w:lineRule="exact"/>
              <w:ind w:left="0" w:right="113"/>
              <w:jc w:val="left"/>
              <w:rPr>
                <w:i/>
                <w:sz w:val="16"/>
                <w:szCs w:val="18"/>
              </w:rPr>
            </w:pPr>
            <w:r w:rsidRPr="00247F42">
              <w:rPr>
                <w:i/>
                <w:sz w:val="16"/>
                <w:szCs w:val="18"/>
              </w:rPr>
              <w:t>Technical data</w:t>
            </w:r>
          </w:p>
        </w:tc>
        <w:tc>
          <w:tcPr>
            <w:tcW w:w="3006" w:type="dxa"/>
            <w:shd w:val="clear" w:color="auto" w:fill="auto"/>
            <w:vAlign w:val="bottom"/>
          </w:tcPr>
          <w:p w:rsidR="00A320C7" w:rsidRPr="00247F42" w:rsidRDefault="00A320C7" w:rsidP="00247F42">
            <w:pPr>
              <w:pStyle w:val="SingleTxtG"/>
              <w:suppressAutoHyphens w:val="0"/>
              <w:spacing w:before="80" w:after="80" w:line="200" w:lineRule="exact"/>
              <w:ind w:left="0" w:right="113"/>
              <w:jc w:val="right"/>
              <w:rPr>
                <w:i/>
                <w:sz w:val="16"/>
                <w:szCs w:val="18"/>
              </w:rPr>
            </w:pPr>
            <w:r w:rsidRPr="00247F42">
              <w:rPr>
                <w:i/>
                <w:sz w:val="16"/>
                <w:szCs w:val="18"/>
              </w:rPr>
              <w:t>Candidate article</w:t>
            </w:r>
          </w:p>
        </w:tc>
        <w:tc>
          <w:tcPr>
            <w:tcW w:w="2810" w:type="dxa"/>
            <w:shd w:val="clear" w:color="auto" w:fill="auto"/>
            <w:vAlign w:val="bottom"/>
          </w:tcPr>
          <w:p w:rsidR="00A320C7" w:rsidRPr="00247F42" w:rsidRDefault="00A320C7" w:rsidP="00247F42">
            <w:pPr>
              <w:pStyle w:val="SingleTxtG"/>
              <w:suppressAutoHyphens w:val="0"/>
              <w:spacing w:before="80" w:after="80" w:line="200" w:lineRule="exact"/>
              <w:ind w:left="0" w:right="113"/>
              <w:jc w:val="right"/>
              <w:rPr>
                <w:i/>
                <w:sz w:val="16"/>
                <w:szCs w:val="18"/>
              </w:rPr>
            </w:pPr>
            <w:r w:rsidRPr="00247F42">
              <w:rPr>
                <w:i/>
                <w:sz w:val="16"/>
                <w:szCs w:val="18"/>
              </w:rPr>
              <w:t>Reference article</w:t>
            </w:r>
          </w:p>
        </w:tc>
      </w:tr>
      <w:tr w:rsidR="00A320C7" w:rsidRPr="00247F42" w:rsidTr="00677071">
        <w:tc>
          <w:tcPr>
            <w:tcW w:w="2835" w:type="dxa"/>
            <w:shd w:val="clear" w:color="auto" w:fill="auto"/>
          </w:tcPr>
          <w:p w:rsidR="00A320C7" w:rsidRPr="00247F42" w:rsidRDefault="00A320C7" w:rsidP="00247F42">
            <w:pPr>
              <w:pStyle w:val="SingleTxtG"/>
              <w:suppressAutoHyphens w:val="0"/>
              <w:spacing w:before="40" w:after="40" w:line="220" w:lineRule="exact"/>
              <w:ind w:left="0" w:right="113"/>
              <w:jc w:val="left"/>
              <w:rPr>
                <w:sz w:val="18"/>
                <w:szCs w:val="18"/>
              </w:rPr>
            </w:pPr>
          </w:p>
        </w:tc>
        <w:tc>
          <w:tcPr>
            <w:tcW w:w="3006" w:type="dxa"/>
            <w:shd w:val="clear" w:color="auto" w:fill="auto"/>
            <w:vAlign w:val="bottom"/>
          </w:tcPr>
          <w:p w:rsidR="00A320C7" w:rsidRPr="00247F42" w:rsidRDefault="00A320C7" w:rsidP="00247F42">
            <w:pPr>
              <w:pStyle w:val="SingleTxtG"/>
              <w:suppressAutoHyphens w:val="0"/>
              <w:spacing w:before="40" w:after="40" w:line="220" w:lineRule="exact"/>
              <w:ind w:left="0" w:right="113"/>
              <w:jc w:val="right"/>
              <w:rPr>
                <w:sz w:val="18"/>
                <w:szCs w:val="18"/>
              </w:rPr>
            </w:pPr>
            <w:r w:rsidRPr="00247F42">
              <w:rPr>
                <w:sz w:val="18"/>
                <w:szCs w:val="18"/>
              </w:rPr>
              <w:t>XXX</w:t>
            </w:r>
          </w:p>
        </w:tc>
        <w:tc>
          <w:tcPr>
            <w:tcW w:w="2810" w:type="dxa"/>
            <w:shd w:val="clear" w:color="auto" w:fill="auto"/>
            <w:vAlign w:val="bottom"/>
          </w:tcPr>
          <w:p w:rsidR="00A320C7" w:rsidRPr="00247F42" w:rsidRDefault="00A320C7" w:rsidP="00247F42">
            <w:pPr>
              <w:pStyle w:val="SingleTxtG"/>
              <w:suppressAutoHyphens w:val="0"/>
              <w:spacing w:before="40" w:after="40" w:line="220" w:lineRule="exact"/>
              <w:ind w:left="0" w:right="113"/>
              <w:jc w:val="right"/>
              <w:rPr>
                <w:sz w:val="18"/>
                <w:szCs w:val="18"/>
              </w:rPr>
            </w:pPr>
            <w:r w:rsidRPr="00247F42">
              <w:rPr>
                <w:sz w:val="18"/>
                <w:szCs w:val="18"/>
              </w:rPr>
              <w:t>YYY</w:t>
            </w:r>
          </w:p>
        </w:tc>
      </w:tr>
      <w:tr w:rsidR="00A320C7" w:rsidRPr="00247F42" w:rsidTr="00677071">
        <w:tc>
          <w:tcPr>
            <w:tcW w:w="2835" w:type="dxa"/>
            <w:shd w:val="clear" w:color="auto" w:fill="auto"/>
          </w:tcPr>
          <w:p w:rsidR="00A320C7" w:rsidRPr="00247F42" w:rsidRDefault="00A320C7" w:rsidP="00247F42">
            <w:pPr>
              <w:pStyle w:val="SingleTxtG"/>
              <w:suppressAutoHyphens w:val="0"/>
              <w:spacing w:before="40" w:after="40" w:line="220" w:lineRule="exact"/>
              <w:ind w:left="0" w:right="113"/>
              <w:jc w:val="left"/>
              <w:rPr>
                <w:sz w:val="18"/>
                <w:szCs w:val="18"/>
              </w:rPr>
            </w:pPr>
            <w:r w:rsidRPr="00247F42">
              <w:rPr>
                <w:sz w:val="18"/>
                <w:szCs w:val="18"/>
              </w:rPr>
              <w:t>Original classification</w:t>
            </w:r>
          </w:p>
        </w:tc>
        <w:tc>
          <w:tcPr>
            <w:tcW w:w="3006" w:type="dxa"/>
            <w:shd w:val="clear" w:color="auto" w:fill="auto"/>
            <w:vAlign w:val="bottom"/>
          </w:tcPr>
          <w:p w:rsidR="00A320C7" w:rsidRPr="00247F42" w:rsidRDefault="00A320C7" w:rsidP="00247F42">
            <w:pPr>
              <w:pStyle w:val="SingleTxtG"/>
              <w:suppressAutoHyphens w:val="0"/>
              <w:spacing w:before="40" w:after="40" w:line="220" w:lineRule="exact"/>
              <w:ind w:left="0" w:right="113"/>
              <w:jc w:val="right"/>
              <w:rPr>
                <w:sz w:val="18"/>
                <w:szCs w:val="18"/>
              </w:rPr>
            </w:pPr>
            <w:r w:rsidRPr="00247F42">
              <w:rPr>
                <w:sz w:val="18"/>
                <w:szCs w:val="18"/>
              </w:rPr>
              <w:t>TBD</w:t>
            </w:r>
          </w:p>
        </w:tc>
        <w:tc>
          <w:tcPr>
            <w:tcW w:w="2810" w:type="dxa"/>
            <w:shd w:val="clear" w:color="auto" w:fill="auto"/>
            <w:vAlign w:val="bottom"/>
          </w:tcPr>
          <w:p w:rsidR="00A320C7" w:rsidRPr="00247F42" w:rsidRDefault="00A320C7" w:rsidP="00247F42">
            <w:pPr>
              <w:pStyle w:val="SingleTxtG"/>
              <w:suppressAutoHyphens w:val="0"/>
              <w:spacing w:before="40" w:after="40" w:line="220" w:lineRule="exact"/>
              <w:ind w:left="0" w:right="113"/>
              <w:jc w:val="right"/>
              <w:rPr>
                <w:sz w:val="18"/>
                <w:szCs w:val="18"/>
              </w:rPr>
            </w:pPr>
            <w:r w:rsidRPr="00247F42">
              <w:rPr>
                <w:sz w:val="18"/>
                <w:szCs w:val="18"/>
              </w:rPr>
              <w:t>UN0277, 1.3C</w:t>
            </w:r>
          </w:p>
        </w:tc>
      </w:tr>
      <w:tr w:rsidR="00A320C7" w:rsidRPr="00247F42" w:rsidTr="00677071">
        <w:tc>
          <w:tcPr>
            <w:tcW w:w="2835" w:type="dxa"/>
            <w:shd w:val="clear" w:color="auto" w:fill="auto"/>
          </w:tcPr>
          <w:p w:rsidR="00A320C7" w:rsidRPr="00247F42" w:rsidRDefault="00A320C7" w:rsidP="00247F42">
            <w:pPr>
              <w:pStyle w:val="SingleTxtG"/>
              <w:suppressAutoHyphens w:val="0"/>
              <w:spacing w:before="40" w:after="40" w:line="220" w:lineRule="exact"/>
              <w:ind w:left="0" w:right="113"/>
              <w:jc w:val="left"/>
              <w:rPr>
                <w:sz w:val="18"/>
                <w:szCs w:val="18"/>
              </w:rPr>
            </w:pPr>
            <w:r w:rsidRPr="00247F42">
              <w:rPr>
                <w:sz w:val="18"/>
                <w:szCs w:val="18"/>
              </w:rPr>
              <w:t>Basis of classification</w:t>
            </w:r>
          </w:p>
        </w:tc>
        <w:tc>
          <w:tcPr>
            <w:tcW w:w="3006" w:type="dxa"/>
            <w:shd w:val="clear" w:color="auto" w:fill="auto"/>
            <w:vAlign w:val="bottom"/>
          </w:tcPr>
          <w:p w:rsidR="00A320C7" w:rsidRPr="00247F42" w:rsidRDefault="00247F42" w:rsidP="00247F42">
            <w:pPr>
              <w:pStyle w:val="SingleTxtG"/>
              <w:suppressAutoHyphens w:val="0"/>
              <w:spacing w:before="40" w:after="40" w:line="220" w:lineRule="exact"/>
              <w:ind w:left="0" w:right="113"/>
              <w:jc w:val="right"/>
              <w:rPr>
                <w:sz w:val="18"/>
                <w:szCs w:val="18"/>
              </w:rPr>
            </w:pPr>
            <w:r w:rsidRPr="00247F42">
              <w:rPr>
                <w:sz w:val="18"/>
                <w:szCs w:val="18"/>
              </w:rPr>
              <w:t>Analogy</w:t>
            </w:r>
          </w:p>
        </w:tc>
        <w:tc>
          <w:tcPr>
            <w:tcW w:w="2810" w:type="dxa"/>
            <w:shd w:val="clear" w:color="auto" w:fill="auto"/>
            <w:vAlign w:val="bottom"/>
          </w:tcPr>
          <w:p w:rsidR="00A320C7" w:rsidRPr="00247F42" w:rsidRDefault="00247F42" w:rsidP="00247F42">
            <w:pPr>
              <w:pStyle w:val="SingleTxtG"/>
              <w:suppressAutoHyphens w:val="0"/>
              <w:spacing w:before="40" w:after="40" w:line="220" w:lineRule="exact"/>
              <w:ind w:left="0" w:right="113"/>
              <w:jc w:val="right"/>
              <w:rPr>
                <w:sz w:val="18"/>
                <w:szCs w:val="18"/>
              </w:rPr>
            </w:pPr>
            <w:r w:rsidRPr="00247F42">
              <w:rPr>
                <w:sz w:val="18"/>
                <w:szCs w:val="18"/>
              </w:rPr>
              <w:t>UN Series 3 tests</w:t>
            </w:r>
            <w:r w:rsidRPr="00247F42">
              <w:rPr>
                <w:sz w:val="18"/>
                <w:szCs w:val="18"/>
              </w:rPr>
              <w:br/>
              <w:t>UN Series 6 tests</w:t>
            </w:r>
          </w:p>
        </w:tc>
      </w:tr>
      <w:tr w:rsidR="00A320C7" w:rsidRPr="00247F42" w:rsidTr="00677071">
        <w:tc>
          <w:tcPr>
            <w:tcW w:w="2835" w:type="dxa"/>
            <w:shd w:val="clear" w:color="auto" w:fill="auto"/>
          </w:tcPr>
          <w:p w:rsidR="00A320C7" w:rsidRPr="00247F42" w:rsidRDefault="00247F42" w:rsidP="00247F42">
            <w:pPr>
              <w:pStyle w:val="SingleTxtG"/>
              <w:suppressAutoHyphens w:val="0"/>
              <w:spacing w:before="40" w:after="40" w:line="220" w:lineRule="exact"/>
              <w:ind w:left="0" w:right="113"/>
              <w:jc w:val="left"/>
              <w:rPr>
                <w:sz w:val="18"/>
                <w:szCs w:val="18"/>
              </w:rPr>
            </w:pPr>
            <w:r w:rsidRPr="00247F42">
              <w:rPr>
                <w:sz w:val="18"/>
                <w:szCs w:val="18"/>
              </w:rPr>
              <w:t>Description</w:t>
            </w:r>
          </w:p>
        </w:tc>
        <w:tc>
          <w:tcPr>
            <w:tcW w:w="3006" w:type="dxa"/>
            <w:shd w:val="clear" w:color="auto" w:fill="auto"/>
            <w:vAlign w:val="bottom"/>
          </w:tcPr>
          <w:p w:rsidR="00A320C7" w:rsidRPr="00247F42" w:rsidRDefault="00247F42" w:rsidP="00247F42">
            <w:pPr>
              <w:pStyle w:val="SingleTxtG"/>
              <w:suppressAutoHyphens w:val="0"/>
              <w:spacing w:before="40" w:after="40" w:line="220" w:lineRule="exact"/>
              <w:ind w:left="0" w:right="113"/>
              <w:jc w:val="right"/>
              <w:rPr>
                <w:sz w:val="18"/>
                <w:szCs w:val="18"/>
              </w:rPr>
            </w:pPr>
            <w:r>
              <w:rPr>
                <w:sz w:val="18"/>
                <w:szCs w:val="18"/>
              </w:rPr>
              <w:t>See draw</w:t>
            </w:r>
            <w:r w:rsidRPr="00247F42">
              <w:rPr>
                <w:sz w:val="18"/>
                <w:szCs w:val="18"/>
              </w:rPr>
              <w:t>ing xxx supplied</w:t>
            </w:r>
          </w:p>
        </w:tc>
        <w:tc>
          <w:tcPr>
            <w:tcW w:w="2810" w:type="dxa"/>
            <w:shd w:val="clear" w:color="auto" w:fill="auto"/>
            <w:vAlign w:val="bottom"/>
          </w:tcPr>
          <w:p w:rsidR="00A320C7" w:rsidRPr="00247F42" w:rsidRDefault="00247F42" w:rsidP="00247F42">
            <w:pPr>
              <w:pStyle w:val="SingleTxtG"/>
              <w:suppressAutoHyphens w:val="0"/>
              <w:spacing w:before="40" w:after="40" w:line="220" w:lineRule="exact"/>
              <w:ind w:left="0" w:right="113"/>
              <w:jc w:val="right"/>
              <w:rPr>
                <w:sz w:val="18"/>
                <w:szCs w:val="18"/>
              </w:rPr>
            </w:pPr>
            <w:r>
              <w:rPr>
                <w:sz w:val="18"/>
                <w:szCs w:val="18"/>
              </w:rPr>
              <w:t>See draw</w:t>
            </w:r>
            <w:r w:rsidRPr="00247F42">
              <w:rPr>
                <w:sz w:val="18"/>
                <w:szCs w:val="18"/>
              </w:rPr>
              <w:t xml:space="preserve">ing </w:t>
            </w:r>
            <w:proofErr w:type="spellStart"/>
            <w:r w:rsidRPr="00247F42">
              <w:rPr>
                <w:sz w:val="18"/>
                <w:szCs w:val="18"/>
              </w:rPr>
              <w:t>yyy</w:t>
            </w:r>
            <w:proofErr w:type="spellEnd"/>
            <w:r w:rsidRPr="00247F42">
              <w:rPr>
                <w:sz w:val="18"/>
                <w:szCs w:val="18"/>
              </w:rPr>
              <w:t xml:space="preserve"> supplied</w:t>
            </w:r>
          </w:p>
        </w:tc>
      </w:tr>
      <w:tr w:rsidR="00A320C7" w:rsidRPr="00247F42" w:rsidTr="00677071">
        <w:tc>
          <w:tcPr>
            <w:tcW w:w="2835" w:type="dxa"/>
            <w:shd w:val="clear" w:color="auto" w:fill="auto"/>
          </w:tcPr>
          <w:p w:rsidR="00A320C7" w:rsidRPr="00247F42" w:rsidRDefault="00247F42" w:rsidP="00247F42">
            <w:pPr>
              <w:pStyle w:val="SingleTxtG"/>
              <w:suppressAutoHyphens w:val="0"/>
              <w:spacing w:before="40" w:after="40" w:line="220" w:lineRule="exact"/>
              <w:ind w:left="0" w:right="113"/>
              <w:jc w:val="left"/>
              <w:rPr>
                <w:sz w:val="18"/>
                <w:szCs w:val="18"/>
              </w:rPr>
            </w:pPr>
            <w:r w:rsidRPr="00247F42">
              <w:rPr>
                <w:sz w:val="18"/>
                <w:szCs w:val="18"/>
              </w:rPr>
              <w:t>Material of construction</w:t>
            </w:r>
          </w:p>
        </w:tc>
        <w:tc>
          <w:tcPr>
            <w:tcW w:w="3006" w:type="dxa"/>
            <w:shd w:val="clear" w:color="auto" w:fill="auto"/>
            <w:vAlign w:val="bottom"/>
          </w:tcPr>
          <w:p w:rsidR="00A320C7" w:rsidRPr="00247F42" w:rsidRDefault="00247F42" w:rsidP="00247F42">
            <w:pPr>
              <w:pStyle w:val="SingleTxtG"/>
              <w:suppressAutoHyphens w:val="0"/>
              <w:spacing w:before="40" w:after="40" w:line="220" w:lineRule="exact"/>
              <w:ind w:left="0" w:right="113"/>
              <w:jc w:val="right"/>
              <w:rPr>
                <w:sz w:val="18"/>
                <w:szCs w:val="18"/>
              </w:rPr>
            </w:pPr>
            <w:r w:rsidRPr="00247F42">
              <w:rPr>
                <w:sz w:val="18"/>
                <w:szCs w:val="18"/>
              </w:rPr>
              <w:t>Steel</w:t>
            </w:r>
          </w:p>
        </w:tc>
        <w:tc>
          <w:tcPr>
            <w:tcW w:w="2810" w:type="dxa"/>
            <w:shd w:val="clear" w:color="auto" w:fill="auto"/>
            <w:vAlign w:val="bottom"/>
          </w:tcPr>
          <w:p w:rsidR="00A320C7" w:rsidRPr="00247F42" w:rsidRDefault="00247F42" w:rsidP="00247F42">
            <w:pPr>
              <w:pStyle w:val="SingleTxtG"/>
              <w:suppressAutoHyphens w:val="0"/>
              <w:spacing w:before="40" w:after="40" w:line="220" w:lineRule="exact"/>
              <w:ind w:left="0" w:right="113"/>
              <w:jc w:val="right"/>
              <w:rPr>
                <w:sz w:val="18"/>
                <w:szCs w:val="18"/>
              </w:rPr>
            </w:pPr>
            <w:r w:rsidRPr="00247F42">
              <w:rPr>
                <w:sz w:val="18"/>
                <w:szCs w:val="18"/>
              </w:rPr>
              <w:t>Steel</w:t>
            </w:r>
          </w:p>
        </w:tc>
      </w:tr>
      <w:tr w:rsidR="00A320C7" w:rsidRPr="00247F42" w:rsidTr="00677071">
        <w:tc>
          <w:tcPr>
            <w:tcW w:w="2835" w:type="dxa"/>
            <w:shd w:val="clear" w:color="auto" w:fill="auto"/>
          </w:tcPr>
          <w:p w:rsidR="00A320C7" w:rsidRPr="00247F42" w:rsidRDefault="00247F42" w:rsidP="00247F42">
            <w:pPr>
              <w:pStyle w:val="SingleTxtG"/>
              <w:suppressAutoHyphens w:val="0"/>
              <w:spacing w:before="40" w:after="40" w:line="220" w:lineRule="exact"/>
              <w:ind w:left="0" w:right="113"/>
              <w:jc w:val="left"/>
              <w:rPr>
                <w:sz w:val="18"/>
                <w:szCs w:val="18"/>
              </w:rPr>
            </w:pPr>
            <w:r w:rsidRPr="00247F42">
              <w:rPr>
                <w:sz w:val="18"/>
                <w:szCs w:val="18"/>
              </w:rPr>
              <w:t>Fabrication</w:t>
            </w:r>
          </w:p>
        </w:tc>
        <w:tc>
          <w:tcPr>
            <w:tcW w:w="3006" w:type="dxa"/>
            <w:shd w:val="clear" w:color="auto" w:fill="auto"/>
            <w:vAlign w:val="bottom"/>
          </w:tcPr>
          <w:p w:rsidR="00A320C7" w:rsidRPr="00247F42" w:rsidRDefault="00247F42" w:rsidP="00247F42">
            <w:pPr>
              <w:pStyle w:val="SingleTxtG"/>
              <w:suppressAutoHyphens w:val="0"/>
              <w:spacing w:before="40" w:after="40" w:line="220" w:lineRule="exact"/>
              <w:ind w:left="0" w:right="113"/>
              <w:jc w:val="right"/>
              <w:rPr>
                <w:sz w:val="18"/>
                <w:szCs w:val="18"/>
              </w:rPr>
            </w:pPr>
            <w:r w:rsidRPr="00247F42">
              <w:rPr>
                <w:sz w:val="18"/>
                <w:szCs w:val="18"/>
              </w:rPr>
              <w:t>Welded</w:t>
            </w:r>
          </w:p>
        </w:tc>
        <w:tc>
          <w:tcPr>
            <w:tcW w:w="2810" w:type="dxa"/>
            <w:shd w:val="clear" w:color="auto" w:fill="auto"/>
            <w:vAlign w:val="bottom"/>
          </w:tcPr>
          <w:p w:rsidR="00A320C7" w:rsidRPr="00247F42" w:rsidRDefault="00247F42" w:rsidP="00247F42">
            <w:pPr>
              <w:pStyle w:val="SingleTxtG"/>
              <w:suppressAutoHyphens w:val="0"/>
              <w:spacing w:before="40" w:after="40" w:line="220" w:lineRule="exact"/>
              <w:ind w:left="0" w:right="113"/>
              <w:jc w:val="right"/>
              <w:rPr>
                <w:sz w:val="18"/>
                <w:szCs w:val="18"/>
              </w:rPr>
            </w:pPr>
            <w:r w:rsidRPr="00247F42">
              <w:rPr>
                <w:sz w:val="18"/>
                <w:szCs w:val="18"/>
              </w:rPr>
              <w:t>Welded</w:t>
            </w:r>
          </w:p>
        </w:tc>
      </w:tr>
      <w:tr w:rsidR="00247F42" w:rsidRPr="00247F42" w:rsidTr="00677071">
        <w:tc>
          <w:tcPr>
            <w:tcW w:w="2835" w:type="dxa"/>
            <w:shd w:val="clear" w:color="auto" w:fill="auto"/>
          </w:tcPr>
          <w:p w:rsidR="00247F42" w:rsidRPr="00247F42" w:rsidRDefault="00247F42" w:rsidP="00247F42">
            <w:pPr>
              <w:pStyle w:val="SingleTxtG"/>
              <w:suppressAutoHyphens w:val="0"/>
              <w:spacing w:before="40" w:after="40" w:line="220" w:lineRule="exact"/>
              <w:ind w:left="0" w:right="113"/>
              <w:jc w:val="left"/>
              <w:rPr>
                <w:sz w:val="18"/>
                <w:szCs w:val="18"/>
              </w:rPr>
            </w:pPr>
            <w:r w:rsidRPr="00247F42">
              <w:rPr>
                <w:sz w:val="18"/>
                <w:szCs w:val="18"/>
              </w:rPr>
              <w:t>NEW per article</w:t>
            </w:r>
          </w:p>
        </w:tc>
        <w:tc>
          <w:tcPr>
            <w:tcW w:w="3006" w:type="dxa"/>
            <w:shd w:val="clear" w:color="auto" w:fill="auto"/>
            <w:vAlign w:val="bottom"/>
          </w:tcPr>
          <w:p w:rsidR="00247F42" w:rsidRPr="00247F42" w:rsidRDefault="00247F42" w:rsidP="00247F42">
            <w:pPr>
              <w:pStyle w:val="SingleTxtG"/>
              <w:suppressAutoHyphens w:val="0"/>
              <w:spacing w:before="40" w:after="40" w:line="220" w:lineRule="exact"/>
              <w:ind w:left="0" w:right="113"/>
              <w:jc w:val="right"/>
              <w:rPr>
                <w:sz w:val="18"/>
                <w:szCs w:val="18"/>
              </w:rPr>
            </w:pPr>
            <w:r w:rsidRPr="00247F42">
              <w:rPr>
                <w:sz w:val="18"/>
                <w:szCs w:val="18"/>
              </w:rPr>
              <w:t>10 g</w:t>
            </w:r>
          </w:p>
        </w:tc>
        <w:tc>
          <w:tcPr>
            <w:tcW w:w="2810" w:type="dxa"/>
            <w:shd w:val="clear" w:color="auto" w:fill="auto"/>
            <w:vAlign w:val="bottom"/>
          </w:tcPr>
          <w:p w:rsidR="00247F42" w:rsidRPr="00247F42" w:rsidRDefault="00247F42" w:rsidP="00247F42">
            <w:pPr>
              <w:pStyle w:val="SingleTxtG"/>
              <w:suppressAutoHyphens w:val="0"/>
              <w:spacing w:before="40" w:after="40" w:line="220" w:lineRule="exact"/>
              <w:ind w:left="0" w:right="113"/>
              <w:jc w:val="right"/>
              <w:rPr>
                <w:sz w:val="18"/>
                <w:szCs w:val="18"/>
              </w:rPr>
            </w:pPr>
            <w:r w:rsidRPr="00247F42">
              <w:rPr>
                <w:sz w:val="18"/>
                <w:szCs w:val="18"/>
              </w:rPr>
              <w:t>15 g</w:t>
            </w:r>
          </w:p>
        </w:tc>
      </w:tr>
      <w:tr w:rsidR="00247F42" w:rsidRPr="00247F42" w:rsidTr="00677071">
        <w:tc>
          <w:tcPr>
            <w:tcW w:w="2835" w:type="dxa"/>
            <w:shd w:val="clear" w:color="auto" w:fill="auto"/>
          </w:tcPr>
          <w:p w:rsidR="00247F42" w:rsidRPr="00247F42" w:rsidRDefault="00247F42" w:rsidP="00247F42">
            <w:pPr>
              <w:pStyle w:val="SingleTxtG"/>
              <w:suppressAutoHyphens w:val="0"/>
              <w:spacing w:before="40" w:after="40" w:line="220" w:lineRule="exact"/>
              <w:ind w:left="0" w:right="113"/>
              <w:jc w:val="left"/>
              <w:rPr>
                <w:sz w:val="18"/>
                <w:szCs w:val="18"/>
              </w:rPr>
            </w:pPr>
            <w:r w:rsidRPr="00247F42">
              <w:rPr>
                <w:sz w:val="18"/>
                <w:szCs w:val="18"/>
              </w:rPr>
              <w:t>Explosive</w:t>
            </w:r>
          </w:p>
        </w:tc>
        <w:tc>
          <w:tcPr>
            <w:tcW w:w="3006" w:type="dxa"/>
            <w:shd w:val="clear" w:color="auto" w:fill="auto"/>
            <w:vAlign w:val="bottom"/>
          </w:tcPr>
          <w:p w:rsidR="00247F42" w:rsidRPr="00247F42" w:rsidRDefault="00247F42" w:rsidP="00247F42">
            <w:pPr>
              <w:pStyle w:val="SingleTxtG"/>
              <w:suppressAutoHyphens w:val="0"/>
              <w:spacing w:before="40" w:after="40" w:line="220" w:lineRule="exact"/>
              <w:ind w:left="0" w:right="113"/>
              <w:jc w:val="right"/>
              <w:rPr>
                <w:sz w:val="18"/>
                <w:szCs w:val="18"/>
              </w:rPr>
            </w:pPr>
            <w:r w:rsidRPr="00247F42">
              <w:rPr>
                <w:sz w:val="18"/>
                <w:szCs w:val="18"/>
              </w:rPr>
              <w:t>HNS-II</w:t>
            </w:r>
          </w:p>
        </w:tc>
        <w:tc>
          <w:tcPr>
            <w:tcW w:w="2810" w:type="dxa"/>
            <w:shd w:val="clear" w:color="auto" w:fill="auto"/>
            <w:vAlign w:val="bottom"/>
          </w:tcPr>
          <w:p w:rsidR="00247F42" w:rsidRPr="00247F42" w:rsidRDefault="00247F42" w:rsidP="00247F42">
            <w:pPr>
              <w:pStyle w:val="SingleTxtG"/>
              <w:suppressAutoHyphens w:val="0"/>
              <w:spacing w:before="40" w:after="40" w:line="220" w:lineRule="exact"/>
              <w:ind w:left="0" w:right="113"/>
              <w:jc w:val="right"/>
              <w:rPr>
                <w:sz w:val="18"/>
                <w:szCs w:val="18"/>
              </w:rPr>
            </w:pPr>
            <w:r w:rsidRPr="00247F42">
              <w:rPr>
                <w:sz w:val="18"/>
                <w:szCs w:val="18"/>
              </w:rPr>
              <w:t>HNS-II</w:t>
            </w:r>
          </w:p>
        </w:tc>
      </w:tr>
      <w:tr w:rsidR="00247F42" w:rsidRPr="00247F42" w:rsidTr="00677071">
        <w:tc>
          <w:tcPr>
            <w:tcW w:w="2835" w:type="dxa"/>
            <w:shd w:val="clear" w:color="auto" w:fill="auto"/>
          </w:tcPr>
          <w:p w:rsidR="00247F42" w:rsidRPr="00247F42" w:rsidRDefault="00247F42" w:rsidP="00247F42">
            <w:pPr>
              <w:pStyle w:val="SingleTxtG"/>
              <w:suppressAutoHyphens w:val="0"/>
              <w:spacing w:before="40" w:after="40" w:line="220" w:lineRule="exact"/>
              <w:ind w:left="0" w:right="113"/>
              <w:jc w:val="left"/>
              <w:rPr>
                <w:sz w:val="18"/>
                <w:szCs w:val="18"/>
              </w:rPr>
            </w:pPr>
            <w:r w:rsidRPr="00247F42">
              <w:rPr>
                <w:sz w:val="18"/>
                <w:szCs w:val="18"/>
              </w:rPr>
              <w:t>Packing method – Inner</w:t>
            </w:r>
          </w:p>
        </w:tc>
        <w:tc>
          <w:tcPr>
            <w:tcW w:w="3006" w:type="dxa"/>
            <w:shd w:val="clear" w:color="auto" w:fill="auto"/>
            <w:vAlign w:val="bottom"/>
          </w:tcPr>
          <w:p w:rsidR="00247F42" w:rsidRPr="00247F42" w:rsidRDefault="00247F42" w:rsidP="00247F42">
            <w:pPr>
              <w:pStyle w:val="SingleTxtG"/>
              <w:suppressAutoHyphens w:val="0"/>
              <w:spacing w:before="40" w:after="40" w:line="220" w:lineRule="exact"/>
              <w:ind w:left="0" w:right="113"/>
              <w:jc w:val="right"/>
              <w:rPr>
                <w:sz w:val="18"/>
                <w:szCs w:val="18"/>
              </w:rPr>
            </w:pPr>
            <w:r w:rsidRPr="00247F42">
              <w:rPr>
                <w:sz w:val="18"/>
                <w:szCs w:val="18"/>
              </w:rPr>
              <w:t>Receptacle, fibreboard, 6 units per inner box</w:t>
            </w:r>
          </w:p>
        </w:tc>
        <w:tc>
          <w:tcPr>
            <w:tcW w:w="2810" w:type="dxa"/>
            <w:shd w:val="clear" w:color="auto" w:fill="auto"/>
            <w:vAlign w:val="bottom"/>
          </w:tcPr>
          <w:p w:rsidR="00247F42" w:rsidRPr="00247F42" w:rsidRDefault="00247F42" w:rsidP="00247F42">
            <w:pPr>
              <w:pStyle w:val="SingleTxtG"/>
              <w:suppressAutoHyphens w:val="0"/>
              <w:spacing w:before="40" w:after="40" w:line="220" w:lineRule="exact"/>
              <w:ind w:left="0" w:right="113"/>
              <w:jc w:val="right"/>
              <w:rPr>
                <w:sz w:val="18"/>
                <w:szCs w:val="18"/>
              </w:rPr>
            </w:pPr>
            <w:r w:rsidRPr="00247F42">
              <w:rPr>
                <w:sz w:val="18"/>
                <w:szCs w:val="18"/>
              </w:rPr>
              <w:t>Receptacle, fibreboard, 6 units per inner box</w:t>
            </w:r>
          </w:p>
        </w:tc>
      </w:tr>
      <w:tr w:rsidR="00247F42" w:rsidRPr="00247F42" w:rsidTr="00677071">
        <w:tc>
          <w:tcPr>
            <w:tcW w:w="2835" w:type="dxa"/>
            <w:shd w:val="clear" w:color="auto" w:fill="auto"/>
          </w:tcPr>
          <w:p w:rsidR="00247F42" w:rsidRPr="00247F42" w:rsidRDefault="00247F42" w:rsidP="00247F42">
            <w:pPr>
              <w:pStyle w:val="SingleTxtG"/>
              <w:suppressAutoHyphens w:val="0"/>
              <w:spacing w:before="40" w:after="40" w:line="220" w:lineRule="exact"/>
              <w:ind w:left="0" w:right="113"/>
              <w:jc w:val="left"/>
              <w:rPr>
                <w:sz w:val="18"/>
                <w:szCs w:val="18"/>
              </w:rPr>
            </w:pPr>
            <w:r w:rsidRPr="00247F42">
              <w:rPr>
                <w:sz w:val="18"/>
                <w:szCs w:val="18"/>
              </w:rPr>
              <w:t>Packing method – Intermediate</w:t>
            </w:r>
          </w:p>
        </w:tc>
        <w:tc>
          <w:tcPr>
            <w:tcW w:w="3006" w:type="dxa"/>
            <w:shd w:val="clear" w:color="auto" w:fill="auto"/>
          </w:tcPr>
          <w:p w:rsidR="00247F42" w:rsidRPr="00247F42" w:rsidRDefault="00247F42" w:rsidP="00443C1D">
            <w:pPr>
              <w:pStyle w:val="SingleTxtG"/>
              <w:suppressAutoHyphens w:val="0"/>
              <w:spacing w:before="40" w:after="40" w:line="220" w:lineRule="exact"/>
              <w:ind w:left="0" w:right="113"/>
              <w:jc w:val="right"/>
              <w:rPr>
                <w:sz w:val="18"/>
                <w:szCs w:val="18"/>
              </w:rPr>
            </w:pPr>
            <w:r w:rsidRPr="00247F42">
              <w:rPr>
                <w:sz w:val="18"/>
                <w:szCs w:val="18"/>
              </w:rPr>
              <w:t>None</w:t>
            </w:r>
          </w:p>
        </w:tc>
        <w:tc>
          <w:tcPr>
            <w:tcW w:w="2810" w:type="dxa"/>
            <w:shd w:val="clear" w:color="auto" w:fill="auto"/>
            <w:vAlign w:val="bottom"/>
          </w:tcPr>
          <w:p w:rsidR="00247F42" w:rsidRPr="00247F42" w:rsidRDefault="00443C1D" w:rsidP="00247F42">
            <w:pPr>
              <w:pStyle w:val="SingleTxtG"/>
              <w:suppressAutoHyphens w:val="0"/>
              <w:spacing w:before="40" w:after="40" w:line="220" w:lineRule="exact"/>
              <w:ind w:left="0" w:right="113"/>
              <w:jc w:val="right"/>
              <w:rPr>
                <w:sz w:val="18"/>
                <w:szCs w:val="18"/>
              </w:rPr>
            </w:pPr>
            <w:r>
              <w:rPr>
                <w:sz w:val="18"/>
                <w:szCs w:val="18"/>
              </w:rPr>
              <w:t>None</w:t>
            </w:r>
          </w:p>
        </w:tc>
      </w:tr>
      <w:tr w:rsidR="00247F42" w:rsidRPr="00247F42" w:rsidTr="00677071">
        <w:tc>
          <w:tcPr>
            <w:tcW w:w="2835" w:type="dxa"/>
            <w:shd w:val="clear" w:color="auto" w:fill="auto"/>
          </w:tcPr>
          <w:p w:rsidR="00247F42" w:rsidRPr="00247F42" w:rsidRDefault="00247F42" w:rsidP="00247F42">
            <w:pPr>
              <w:pStyle w:val="SingleTxtG"/>
              <w:suppressAutoHyphens w:val="0"/>
              <w:spacing w:before="40" w:after="40" w:line="220" w:lineRule="exact"/>
              <w:ind w:left="0" w:right="113"/>
              <w:jc w:val="left"/>
              <w:rPr>
                <w:sz w:val="18"/>
                <w:szCs w:val="18"/>
              </w:rPr>
            </w:pPr>
            <w:r w:rsidRPr="00247F42">
              <w:rPr>
                <w:sz w:val="18"/>
                <w:szCs w:val="18"/>
              </w:rPr>
              <w:t>Packing method – Outer</w:t>
            </w:r>
          </w:p>
        </w:tc>
        <w:tc>
          <w:tcPr>
            <w:tcW w:w="3006" w:type="dxa"/>
            <w:shd w:val="clear" w:color="auto" w:fill="auto"/>
            <w:vAlign w:val="bottom"/>
          </w:tcPr>
          <w:p w:rsidR="00247F42" w:rsidRPr="00247F42" w:rsidRDefault="00247F42" w:rsidP="00247F42">
            <w:pPr>
              <w:pStyle w:val="SingleTxtG"/>
              <w:suppressAutoHyphens w:val="0"/>
              <w:spacing w:before="40" w:after="40" w:line="220" w:lineRule="exact"/>
              <w:ind w:left="0" w:right="113"/>
              <w:jc w:val="right"/>
              <w:rPr>
                <w:sz w:val="18"/>
                <w:szCs w:val="18"/>
              </w:rPr>
            </w:pPr>
            <w:r w:rsidRPr="00247F42">
              <w:rPr>
                <w:sz w:val="18"/>
                <w:szCs w:val="18"/>
              </w:rPr>
              <w:t xml:space="preserve">Box, fibreboard (4G), 8 inner </w:t>
            </w:r>
            <w:proofErr w:type="spellStart"/>
            <w:r w:rsidRPr="00247F42">
              <w:rPr>
                <w:sz w:val="18"/>
                <w:szCs w:val="18"/>
              </w:rPr>
              <w:t>packagings</w:t>
            </w:r>
            <w:proofErr w:type="spellEnd"/>
            <w:r w:rsidRPr="00247F42">
              <w:rPr>
                <w:sz w:val="18"/>
                <w:szCs w:val="18"/>
              </w:rPr>
              <w:t xml:space="preserve"> per inner box</w:t>
            </w:r>
          </w:p>
        </w:tc>
        <w:tc>
          <w:tcPr>
            <w:tcW w:w="2810" w:type="dxa"/>
            <w:shd w:val="clear" w:color="auto" w:fill="auto"/>
            <w:vAlign w:val="bottom"/>
          </w:tcPr>
          <w:p w:rsidR="00247F42" w:rsidRPr="00247F42" w:rsidRDefault="00443C1D" w:rsidP="00247F42">
            <w:pPr>
              <w:pStyle w:val="SingleTxtG"/>
              <w:suppressAutoHyphens w:val="0"/>
              <w:spacing w:before="40" w:after="40" w:line="220" w:lineRule="exact"/>
              <w:ind w:left="0" w:right="113"/>
              <w:jc w:val="right"/>
              <w:rPr>
                <w:sz w:val="18"/>
                <w:szCs w:val="18"/>
              </w:rPr>
            </w:pPr>
            <w:r w:rsidRPr="00247F42">
              <w:rPr>
                <w:sz w:val="18"/>
                <w:szCs w:val="18"/>
              </w:rPr>
              <w:t xml:space="preserve">Box, fibreboard (4G), 8 inner </w:t>
            </w:r>
            <w:proofErr w:type="spellStart"/>
            <w:r w:rsidRPr="00247F42">
              <w:rPr>
                <w:sz w:val="18"/>
                <w:szCs w:val="18"/>
              </w:rPr>
              <w:t>packagings</w:t>
            </w:r>
            <w:proofErr w:type="spellEnd"/>
            <w:r w:rsidRPr="00247F42">
              <w:rPr>
                <w:sz w:val="18"/>
                <w:szCs w:val="18"/>
              </w:rPr>
              <w:t xml:space="preserve"> per inner box</w:t>
            </w:r>
          </w:p>
        </w:tc>
      </w:tr>
      <w:tr w:rsidR="00247F42" w:rsidRPr="00247F42" w:rsidTr="00677071">
        <w:tc>
          <w:tcPr>
            <w:tcW w:w="2835" w:type="dxa"/>
            <w:shd w:val="clear" w:color="auto" w:fill="auto"/>
          </w:tcPr>
          <w:p w:rsidR="00247F42" w:rsidRPr="00247F42" w:rsidRDefault="00247F42" w:rsidP="00247F42">
            <w:pPr>
              <w:pStyle w:val="SingleTxtG"/>
              <w:suppressAutoHyphens w:val="0"/>
              <w:spacing w:before="40" w:after="40" w:line="220" w:lineRule="exact"/>
              <w:ind w:left="0" w:right="113"/>
              <w:jc w:val="left"/>
              <w:rPr>
                <w:sz w:val="18"/>
                <w:szCs w:val="18"/>
              </w:rPr>
            </w:pPr>
            <w:r w:rsidRPr="00247F42">
              <w:rPr>
                <w:sz w:val="18"/>
                <w:szCs w:val="18"/>
              </w:rPr>
              <w:t>Packing instruction</w:t>
            </w:r>
          </w:p>
        </w:tc>
        <w:tc>
          <w:tcPr>
            <w:tcW w:w="3006" w:type="dxa"/>
            <w:shd w:val="clear" w:color="auto" w:fill="auto"/>
            <w:vAlign w:val="bottom"/>
          </w:tcPr>
          <w:p w:rsidR="00247F42" w:rsidRPr="00247F42" w:rsidRDefault="00247F42" w:rsidP="00247F42">
            <w:pPr>
              <w:pStyle w:val="SingleTxtG"/>
              <w:suppressAutoHyphens w:val="0"/>
              <w:spacing w:before="40" w:after="40" w:line="220" w:lineRule="exact"/>
              <w:ind w:left="0" w:right="113"/>
              <w:jc w:val="right"/>
              <w:rPr>
                <w:sz w:val="18"/>
                <w:szCs w:val="18"/>
              </w:rPr>
            </w:pPr>
            <w:r w:rsidRPr="00247F42">
              <w:rPr>
                <w:sz w:val="18"/>
                <w:szCs w:val="18"/>
              </w:rPr>
              <w:t>PI 134</w:t>
            </w:r>
          </w:p>
        </w:tc>
        <w:tc>
          <w:tcPr>
            <w:tcW w:w="2810" w:type="dxa"/>
            <w:shd w:val="clear" w:color="auto" w:fill="auto"/>
            <w:vAlign w:val="bottom"/>
          </w:tcPr>
          <w:p w:rsidR="00247F42" w:rsidRPr="00247F42" w:rsidRDefault="00443C1D" w:rsidP="00247F42">
            <w:pPr>
              <w:pStyle w:val="SingleTxtG"/>
              <w:suppressAutoHyphens w:val="0"/>
              <w:spacing w:before="40" w:after="40" w:line="220" w:lineRule="exact"/>
              <w:ind w:left="0" w:right="113"/>
              <w:jc w:val="right"/>
              <w:rPr>
                <w:sz w:val="18"/>
                <w:szCs w:val="18"/>
              </w:rPr>
            </w:pPr>
            <w:r>
              <w:rPr>
                <w:sz w:val="18"/>
                <w:szCs w:val="18"/>
              </w:rPr>
              <w:t>PI 134</w:t>
            </w:r>
          </w:p>
        </w:tc>
      </w:tr>
      <w:tr w:rsidR="00247F42" w:rsidRPr="00247F42" w:rsidTr="00677071">
        <w:tc>
          <w:tcPr>
            <w:tcW w:w="2835" w:type="dxa"/>
            <w:shd w:val="clear" w:color="auto" w:fill="auto"/>
          </w:tcPr>
          <w:p w:rsidR="00247F42" w:rsidRPr="00247F42" w:rsidRDefault="00247F42" w:rsidP="00247F42">
            <w:pPr>
              <w:pStyle w:val="SingleTxtG"/>
              <w:suppressAutoHyphens w:val="0"/>
              <w:spacing w:before="40" w:after="40" w:line="220" w:lineRule="exact"/>
              <w:ind w:left="0" w:right="113"/>
              <w:jc w:val="left"/>
              <w:rPr>
                <w:sz w:val="18"/>
                <w:szCs w:val="18"/>
              </w:rPr>
            </w:pPr>
            <w:r w:rsidRPr="00247F42">
              <w:rPr>
                <w:sz w:val="18"/>
                <w:szCs w:val="18"/>
              </w:rPr>
              <w:t>NEW per box</w:t>
            </w:r>
          </w:p>
        </w:tc>
        <w:tc>
          <w:tcPr>
            <w:tcW w:w="3006" w:type="dxa"/>
            <w:shd w:val="clear" w:color="auto" w:fill="auto"/>
            <w:vAlign w:val="bottom"/>
          </w:tcPr>
          <w:p w:rsidR="00247F42" w:rsidRPr="00247F42" w:rsidRDefault="00247F42" w:rsidP="00247F42">
            <w:pPr>
              <w:pStyle w:val="SingleTxtG"/>
              <w:suppressAutoHyphens w:val="0"/>
              <w:spacing w:before="40" w:after="40" w:line="220" w:lineRule="exact"/>
              <w:ind w:left="0" w:right="113"/>
              <w:jc w:val="right"/>
              <w:rPr>
                <w:sz w:val="18"/>
                <w:szCs w:val="18"/>
              </w:rPr>
            </w:pPr>
            <w:r w:rsidRPr="00247F42">
              <w:rPr>
                <w:sz w:val="18"/>
                <w:szCs w:val="18"/>
              </w:rPr>
              <w:t>480 g</w:t>
            </w:r>
          </w:p>
        </w:tc>
        <w:tc>
          <w:tcPr>
            <w:tcW w:w="2810" w:type="dxa"/>
            <w:shd w:val="clear" w:color="auto" w:fill="auto"/>
            <w:vAlign w:val="bottom"/>
          </w:tcPr>
          <w:p w:rsidR="00247F42" w:rsidRPr="00247F42" w:rsidRDefault="00443C1D" w:rsidP="00247F42">
            <w:pPr>
              <w:pStyle w:val="SingleTxtG"/>
              <w:suppressAutoHyphens w:val="0"/>
              <w:spacing w:before="40" w:after="40" w:line="220" w:lineRule="exact"/>
              <w:ind w:left="0" w:right="113"/>
              <w:jc w:val="right"/>
              <w:rPr>
                <w:sz w:val="18"/>
                <w:szCs w:val="18"/>
              </w:rPr>
            </w:pPr>
            <w:r w:rsidRPr="00247F42">
              <w:rPr>
                <w:sz w:val="18"/>
                <w:szCs w:val="18"/>
              </w:rPr>
              <w:t>720 g</w:t>
            </w:r>
          </w:p>
        </w:tc>
      </w:tr>
    </w:tbl>
    <w:p w:rsidR="00B04F48" w:rsidRPr="00F06AE7" w:rsidRDefault="00F06AE7" w:rsidP="00F06AE7">
      <w:pPr>
        <w:spacing w:before="240"/>
        <w:ind w:left="1134" w:right="1134"/>
        <w:jc w:val="center"/>
        <w:rPr>
          <w:u w:val="single"/>
        </w:rPr>
      </w:pPr>
      <w:r>
        <w:rPr>
          <w:u w:val="single"/>
        </w:rPr>
        <w:tab/>
      </w:r>
      <w:r>
        <w:rPr>
          <w:u w:val="single"/>
        </w:rPr>
        <w:tab/>
      </w:r>
      <w:r>
        <w:rPr>
          <w:u w:val="single"/>
        </w:rPr>
        <w:tab/>
      </w:r>
    </w:p>
    <w:sectPr w:rsidR="00B04F48" w:rsidRPr="00F06AE7" w:rsidSect="00E05E6F">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9AF" w:rsidRDefault="00EF49AF"/>
  </w:endnote>
  <w:endnote w:type="continuationSeparator" w:id="0">
    <w:p w:rsidR="00EF49AF" w:rsidRDefault="00EF49AF"/>
  </w:endnote>
  <w:endnote w:type="continuationNotice" w:id="1">
    <w:p w:rsidR="00EF49AF" w:rsidRDefault="00EF49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roid Sans">
    <w:altName w:val="Times New Roman"/>
    <w:charset w:val="01"/>
    <w:family w:val="auto"/>
    <w:pitch w:val="variable"/>
  </w:font>
  <w:font w:name="FreeSans">
    <w:altName w:val="Times New Roman"/>
    <w:charset w:val="01"/>
    <w:family w:val="auto"/>
    <w:pitch w:val="variable"/>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594" w:rsidRPr="0099001C" w:rsidRDefault="00C27298" w:rsidP="0099001C">
    <w:pPr>
      <w:pStyle w:val="Footer"/>
      <w:tabs>
        <w:tab w:val="right" w:pos="9638"/>
      </w:tabs>
      <w:rPr>
        <w:sz w:val="18"/>
      </w:rPr>
    </w:pPr>
    <w:r>
      <w:rPr>
        <w:noProof/>
        <w:sz w:val="18"/>
        <w:lang w:eastAsia="en-GB"/>
      </w:rPr>
      <mc:AlternateContent>
        <mc:Choice Requires="wps">
          <w:drawing>
            <wp:anchor distT="0" distB="0" distL="114300" distR="114300" simplePos="0" relativeHeight="251658240" behindDoc="0" locked="1" layoutInCell="1" allowOverlap="1">
              <wp:simplePos x="0" y="0"/>
              <wp:positionH relativeFrom="column">
                <wp:posOffset>8509000</wp:posOffset>
              </wp:positionH>
              <wp:positionV relativeFrom="paragraph">
                <wp:posOffset>-5629275</wp:posOffset>
              </wp:positionV>
              <wp:extent cx="381000" cy="1257300"/>
              <wp:effectExtent l="3175"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0594" w:rsidRPr="00512AD1" w:rsidRDefault="00BF0594" w:rsidP="00D44EAE">
                          <w:pPr>
                            <w:pStyle w:val="Header"/>
                            <w:pBdr>
                              <w:bottom w:val="single" w:sz="4" w:space="31" w:color="auto"/>
                            </w:pBdr>
                            <w:rPr>
                              <w:lang w:val="fr-CH"/>
                            </w:rPr>
                          </w:pPr>
                          <w:r>
                            <w:rPr>
                              <w:lang w:val="fr-CH"/>
                            </w:rPr>
                            <w:t>UN/SCETDG/37/INF.7</w:t>
                          </w:r>
                        </w:p>
                        <w:p w:rsidR="00BF0594" w:rsidRDefault="00BF0594" w:rsidP="00D44EAE"/>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670pt;margin-top:-443.25pt;width:30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" stroked="f">
              <v:textbox style="layout-flow:vertical">
                <w:txbxContent>
                  <w:p w:rsidR="00BF0594" w:rsidRPr="00512AD1" w:rsidRDefault="00BF0594" w:rsidP="00D44EAE">
                    <w:pPr>
                      <w:pStyle w:val="Header"/>
                      <w:pBdr>
                        <w:bottom w:val="single" w:sz="4" w:space="31" w:color="auto"/>
                      </w:pBdr>
                      <w:rPr>
                        <w:lang w:val="fr-CH"/>
                      </w:rPr>
                    </w:pPr>
                    <w:r>
                      <w:rPr>
                        <w:lang w:val="fr-CH"/>
                      </w:rPr>
                      <w:t>UN/SCETDG/37/INF.7</w:t>
                    </w:r>
                  </w:p>
                  <w:p w:rsidR="00BF0594" w:rsidRDefault="00BF0594" w:rsidP="00D44EAE"/>
                </w:txbxContent>
              </v:textbox>
              <w10:anchorlock/>
            </v:shape>
          </w:pict>
        </mc:Fallback>
      </mc:AlternateContent>
    </w:r>
    <w:r w:rsidR="00BF0594">
      <w:rPr>
        <w:rStyle w:val="PageNumber"/>
      </w:rPr>
      <w:fldChar w:fldCharType="begin"/>
    </w:r>
    <w:r w:rsidR="00BF0594">
      <w:rPr>
        <w:rStyle w:val="PageNumber"/>
      </w:rPr>
      <w:instrText xml:space="preserve"> PAGE </w:instrText>
    </w:r>
    <w:r w:rsidR="00BF0594">
      <w:rPr>
        <w:rStyle w:val="PageNumber"/>
      </w:rPr>
      <w:fldChar w:fldCharType="separate"/>
    </w:r>
    <w:r w:rsidR="00821CC5">
      <w:rPr>
        <w:rStyle w:val="PageNumber"/>
        <w:noProof/>
      </w:rPr>
      <w:t>4</w:t>
    </w:r>
    <w:r w:rsidR="00BF0594">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594" w:rsidRPr="0099001C" w:rsidRDefault="00BF0594" w:rsidP="001E4813">
    <w:pPr>
      <w:pStyle w:val="Footer"/>
      <w:tabs>
        <w:tab w:val="right" w:pos="12600"/>
      </w:tabs>
      <w:jc w:val="right"/>
      <w:rPr>
        <w:b/>
        <w:sz w:val="18"/>
      </w:rPr>
    </w:pPr>
    <w:r>
      <w:rPr>
        <w:rStyle w:val="PageNumber"/>
      </w:rPr>
      <w:fldChar w:fldCharType="begin"/>
    </w:r>
    <w:r>
      <w:rPr>
        <w:rStyle w:val="PageNumber"/>
      </w:rPr>
      <w:instrText xml:space="preserve"> PAGE </w:instrText>
    </w:r>
    <w:r>
      <w:rPr>
        <w:rStyle w:val="PageNumber"/>
      </w:rPr>
      <w:fldChar w:fldCharType="separate"/>
    </w:r>
    <w:r w:rsidR="00821CC5">
      <w:rPr>
        <w:rStyle w:val="PageNumber"/>
        <w:noProof/>
      </w:rPr>
      <w:t>5</w:t>
    </w:r>
    <w:r>
      <w:rPr>
        <w:rStyle w:val="PageNumber"/>
      </w:rPr>
      <w:fldChar w:fldCharType="end"/>
    </w:r>
    <w:r w:rsidR="00C27298">
      <w:rPr>
        <w:noProof/>
        <w:lang w:eastAsia="en-GB"/>
      </w:rPr>
      <mc:AlternateContent>
        <mc:Choice Requires="wps">
          <w:drawing>
            <wp:anchor distT="0" distB="0" distL="114300" distR="114300" simplePos="0" relativeHeight="251657216" behindDoc="0" locked="1" layoutInCell="1" allowOverlap="1">
              <wp:simplePos x="0" y="0"/>
              <wp:positionH relativeFrom="column">
                <wp:posOffset>8509000</wp:posOffset>
              </wp:positionH>
              <wp:positionV relativeFrom="paragraph">
                <wp:posOffset>-1171575</wp:posOffset>
              </wp:positionV>
              <wp:extent cx="381000" cy="1257300"/>
              <wp:effectExtent l="3175"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0594" w:rsidRPr="00512AD1" w:rsidRDefault="00BF0594" w:rsidP="00D44EAE">
                          <w:pPr>
                            <w:pStyle w:val="Header"/>
                            <w:pBdr>
                              <w:bottom w:val="single" w:sz="4" w:space="31" w:color="auto"/>
                            </w:pBdr>
                            <w:rPr>
                              <w:lang w:val="fr-CH"/>
                            </w:rPr>
                          </w:pPr>
                          <w:r>
                            <w:rPr>
                              <w:lang w:val="fr-CH"/>
                            </w:rPr>
                            <w:t>UN/SCETDG/37/INF.7</w:t>
                          </w:r>
                        </w:p>
                        <w:p w:rsidR="00BF0594" w:rsidRDefault="00BF0594" w:rsidP="00D44EAE"/>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left:0;text-align:left;margin-left:670pt;margin-top:-92.25pt;width:3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" stroked="f">
              <v:textbox style="layout-flow:vertical">
                <w:txbxContent>
                  <w:p w:rsidR="00BF0594" w:rsidRPr="00512AD1" w:rsidRDefault="00BF0594" w:rsidP="00D44EAE">
                    <w:pPr>
                      <w:pStyle w:val="Header"/>
                      <w:pBdr>
                        <w:bottom w:val="single" w:sz="4" w:space="31" w:color="auto"/>
                      </w:pBdr>
                      <w:rPr>
                        <w:lang w:val="fr-CH"/>
                      </w:rPr>
                    </w:pPr>
                    <w:r>
                      <w:rPr>
                        <w:lang w:val="fr-CH"/>
                      </w:rPr>
                      <w:t>UN/SCETDG/37/INF.7</w:t>
                    </w:r>
                  </w:p>
                  <w:p w:rsidR="00BF0594" w:rsidRDefault="00BF0594" w:rsidP="00D44EAE"/>
                </w:txbxContent>
              </v:textbox>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594" w:rsidRPr="0099001C" w:rsidRDefault="00C27298">
    <w:r>
      <w:rPr>
        <w:noProof/>
        <w:lang w:eastAsia="en-GB"/>
      </w:rPr>
      <w:drawing>
        <wp:anchor distT="0" distB="0" distL="114300" distR="114300" simplePos="0" relativeHeight="251659264" behindDoc="0" locked="1" layoutInCell="1" allowOverlap="1">
          <wp:simplePos x="0" y="0"/>
          <wp:positionH relativeFrom="column">
            <wp:posOffset>5274945</wp:posOffset>
          </wp:positionH>
          <wp:positionV relativeFrom="paragraph">
            <wp:posOffset>-85725</wp:posOffset>
          </wp:positionV>
          <wp:extent cx="930275" cy="230505"/>
          <wp:effectExtent l="0" t="0" r="3175" b="0"/>
          <wp:wrapNone/>
          <wp:docPr id="12" name="Picture 1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192" behindDoc="0" locked="1" layoutInCell="1" allowOverlap="1">
              <wp:simplePos x="0" y="0"/>
              <wp:positionH relativeFrom="column">
                <wp:posOffset>8636000</wp:posOffset>
              </wp:positionH>
              <wp:positionV relativeFrom="paragraph">
                <wp:posOffset>-5836920</wp:posOffset>
              </wp:positionV>
              <wp:extent cx="396875" cy="1421765"/>
              <wp:effectExtent l="0" t="1905"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1421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0594" w:rsidRPr="001811F3" w:rsidRDefault="00C27298">
                          <w:pPr>
                            <w:rPr>
                              <w:b/>
                              <w:sz w:val="18"/>
                              <w:lang w:val="fr-CH"/>
                            </w:rPr>
                          </w:pPr>
                          <w:r>
                            <w:rPr>
                              <w:b/>
                              <w:noProof/>
                              <w:sz w:val="18"/>
                              <w:lang w:eastAsia="en-GB"/>
                            </w:rPr>
                            <w:drawing>
                              <wp:inline distT="0" distB="0" distL="0" distR="0">
                                <wp:extent cx="403860" cy="1329690"/>
                                <wp:effectExtent l="0" t="0" r="0" b="381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3860" cy="1329690"/>
                                        </a:xfrm>
                                        <a:prstGeom prst="rect">
                                          <a:avLst/>
                                        </a:prstGeom>
                                        <a:noFill/>
                                        <a:ln>
                                          <a:noFill/>
                                        </a:ln>
                                      </pic:spPr>
                                    </pic:pic>
                                  </a:graphicData>
                                </a:graphic>
                              </wp:inline>
                            </w:drawing>
                          </w:r>
                        </w:p>
                      </w:txbxContent>
                    </wps:txbx>
                    <wps:bodyPr rot="0" vert="vert"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680pt;margin-top:-459.6pt;width:31.25pt;height:111.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" stroked="f">
              <v:textbox style="layout-flow:vertical">
                <w:txbxContent>
                  <w:p w:rsidR="00BF0594" w:rsidRPr="001811F3" w:rsidRDefault="00C27298">
                    <w:pPr>
                      <w:rPr>
                        <w:b/>
                        <w:sz w:val="18"/>
                        <w:lang w:val="fr-CH"/>
                      </w:rPr>
                    </w:pPr>
                    <w:r>
                      <w:rPr>
                        <w:b/>
                        <w:noProof/>
                        <w:sz w:val="18"/>
                        <w:lang w:eastAsia="en-GB"/>
                      </w:rPr>
                      <w:drawing>
                        <wp:inline distT="0" distB="0" distL="0" distR="0">
                          <wp:extent cx="403860" cy="1329690"/>
                          <wp:effectExtent l="0" t="0" r="0" b="381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3860" cy="1329690"/>
                                  </a:xfrm>
                                  <a:prstGeom prst="rect">
                                    <a:avLst/>
                                  </a:prstGeom>
                                  <a:noFill/>
                                  <a:ln>
                                    <a:noFill/>
                                  </a:ln>
                                </pic:spPr>
                              </pic:pic>
                            </a:graphicData>
                          </a:graphic>
                        </wp:inline>
                      </w:drawing>
                    </w:r>
                  </w:p>
                </w:txbxContent>
              </v:textbox>
              <w10:anchorlock/>
            </v:shape>
          </w:pict>
        </mc:Fallback>
      </mc:AlternateContent>
    </w:r>
    <w:r w:rsidR="00500AC6">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9AF" w:rsidRPr="000B175B" w:rsidRDefault="00EF49AF" w:rsidP="000B175B">
      <w:pPr>
        <w:tabs>
          <w:tab w:val="right" w:pos="2155"/>
        </w:tabs>
        <w:spacing w:after="80"/>
        <w:ind w:left="680"/>
        <w:rPr>
          <w:u w:val="single"/>
        </w:rPr>
      </w:pPr>
      <w:r>
        <w:rPr>
          <w:u w:val="single"/>
        </w:rPr>
        <w:tab/>
      </w:r>
    </w:p>
  </w:footnote>
  <w:footnote w:type="continuationSeparator" w:id="0">
    <w:p w:rsidR="00EF49AF" w:rsidRPr="00FC68B7" w:rsidRDefault="00EF49AF" w:rsidP="00FC68B7">
      <w:pPr>
        <w:tabs>
          <w:tab w:val="left" w:pos="2155"/>
        </w:tabs>
        <w:spacing w:after="80"/>
        <w:ind w:left="680"/>
        <w:rPr>
          <w:u w:val="single"/>
        </w:rPr>
      </w:pPr>
      <w:r>
        <w:rPr>
          <w:u w:val="single"/>
        </w:rPr>
        <w:tab/>
      </w:r>
    </w:p>
  </w:footnote>
  <w:footnote w:type="continuationNotice" w:id="1">
    <w:p w:rsidR="00EF49AF" w:rsidRDefault="00EF49AF"/>
  </w:footnote>
  <w:footnote w:id="2">
    <w:p w:rsidR="00B04F48" w:rsidRDefault="00B04F48" w:rsidP="00B04F48">
      <w:pPr>
        <w:pStyle w:val="Default"/>
        <w:ind w:left="1134" w:right="1134"/>
        <w:rPr>
          <w:sz w:val="16"/>
          <w:szCs w:val="16"/>
        </w:rPr>
      </w:pPr>
      <w:r>
        <w:rPr>
          <w:rStyle w:val="FootnoteReference"/>
          <w:sz w:val="16"/>
          <w:szCs w:val="16"/>
        </w:rPr>
        <w:footnoteRef/>
      </w:r>
      <w:r>
        <w:rPr>
          <w:sz w:val="16"/>
          <w:szCs w:val="16"/>
        </w:rPr>
        <w:tab/>
      </w:r>
      <w:r w:rsidRPr="00B21600">
        <w:rPr>
          <w:sz w:val="18"/>
          <w:szCs w:val="18"/>
        </w:rPr>
        <w:t xml:space="preserve">In accordance with the </w:t>
      </w:r>
      <w:proofErr w:type="spellStart"/>
      <w:r w:rsidRPr="00B21600">
        <w:rPr>
          <w:sz w:val="18"/>
          <w:szCs w:val="18"/>
        </w:rPr>
        <w:t>programme</w:t>
      </w:r>
      <w:proofErr w:type="spellEnd"/>
      <w:r w:rsidRPr="00B21600">
        <w:rPr>
          <w:sz w:val="18"/>
          <w:szCs w:val="18"/>
        </w:rPr>
        <w:t xml:space="preserve"> of work of the Sub-Committee for 2015-2016 approved by the Committee at its seventh session (refer to ST/SG/AC.10/C.3/86, para. 86 and ST/SG/AC.10/42, para. 14).</w:t>
      </w:r>
      <w:r>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594" w:rsidRPr="00FB3D8C" w:rsidRDefault="00C77A18" w:rsidP="00FB3D8C">
    <w:pPr>
      <w:pStyle w:val="Header"/>
    </w:pPr>
    <w:r>
      <w:t>ST/SG/AC.10/C.3/2015</w:t>
    </w:r>
    <w:r w:rsidR="00BF0594">
      <w:t>/</w:t>
    </w:r>
    <w:r w:rsidR="007C0E2E">
      <w:t>43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594" w:rsidRPr="001E4813" w:rsidRDefault="00FE4A23" w:rsidP="001E4813">
    <w:pPr>
      <w:pStyle w:val="Header"/>
      <w:jc w:val="right"/>
      <w:rPr>
        <w:lang w:val="fr-CH"/>
      </w:rPr>
    </w:pPr>
    <w:r>
      <w:rPr>
        <w:lang w:val="fr-CH"/>
      </w:rPr>
      <w:t>ST/SG/AC.10/C.3/2015/</w:t>
    </w:r>
    <w:r w:rsidR="007C0E2E">
      <w:rPr>
        <w:lang w:val="fr-CH"/>
      </w:rPr>
      <w:t>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pt;height:18pt" o:bullet="t">
        <v:imagedata r:id="rId1" o:title=""/>
      </v:shape>
    </w:pict>
  </w:numPicBullet>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lang w:val="en-GB"/>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n-GB"/>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n-GB"/>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211106"/>
    <w:multiLevelType w:val="multilevel"/>
    <w:tmpl w:val="72849632"/>
    <w:lvl w:ilvl="0">
      <w:start w:val="4"/>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9"/>
      <w:numFmt w:val="decimal"/>
      <w:lvlText w:val="%1.%2.%3.%4"/>
      <w:lvlJc w:val="left"/>
      <w:pPr>
        <w:tabs>
          <w:tab w:val="num" w:pos="1140"/>
        </w:tabs>
        <w:ind w:left="1140" w:hanging="1140"/>
      </w:pPr>
      <w:rPr>
        <w:rFonts w:hint="default"/>
      </w:rPr>
    </w:lvl>
    <w:lvl w:ilvl="4">
      <w:start w:val="2"/>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14B4E9C"/>
    <w:multiLevelType w:val="hybridMultilevel"/>
    <w:tmpl w:val="FFCA71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DB2151"/>
    <w:multiLevelType w:val="hybridMultilevel"/>
    <w:tmpl w:val="FB348880"/>
    <w:lvl w:ilvl="0" w:tplc="2D28DE34">
      <w:start w:val="8"/>
      <w:numFmt w:val="bullet"/>
      <w:lvlText w:val="-"/>
      <w:lvlJc w:val="left"/>
      <w:pPr>
        <w:ind w:left="2064" w:hanging="360"/>
      </w:pPr>
      <w:rPr>
        <w:rFonts w:ascii="Times New Roman" w:eastAsia="Times New Roman" w:hAnsi="Times New Roman" w:cs="Times New Roman" w:hint="default"/>
      </w:rPr>
    </w:lvl>
    <w:lvl w:ilvl="1" w:tplc="10090003" w:tentative="1">
      <w:start w:val="1"/>
      <w:numFmt w:val="bullet"/>
      <w:lvlText w:val="o"/>
      <w:lvlJc w:val="left"/>
      <w:pPr>
        <w:ind w:left="2784" w:hanging="360"/>
      </w:pPr>
      <w:rPr>
        <w:rFonts w:ascii="Courier New" w:hAnsi="Courier New" w:cs="Courier New" w:hint="default"/>
      </w:rPr>
    </w:lvl>
    <w:lvl w:ilvl="2" w:tplc="10090005" w:tentative="1">
      <w:start w:val="1"/>
      <w:numFmt w:val="bullet"/>
      <w:lvlText w:val=""/>
      <w:lvlJc w:val="left"/>
      <w:pPr>
        <w:ind w:left="3504" w:hanging="360"/>
      </w:pPr>
      <w:rPr>
        <w:rFonts w:ascii="Wingdings" w:hAnsi="Wingdings" w:hint="default"/>
      </w:rPr>
    </w:lvl>
    <w:lvl w:ilvl="3" w:tplc="10090001" w:tentative="1">
      <w:start w:val="1"/>
      <w:numFmt w:val="bullet"/>
      <w:lvlText w:val=""/>
      <w:lvlJc w:val="left"/>
      <w:pPr>
        <w:ind w:left="4224" w:hanging="360"/>
      </w:pPr>
      <w:rPr>
        <w:rFonts w:ascii="Symbol" w:hAnsi="Symbol" w:hint="default"/>
      </w:rPr>
    </w:lvl>
    <w:lvl w:ilvl="4" w:tplc="10090003" w:tentative="1">
      <w:start w:val="1"/>
      <w:numFmt w:val="bullet"/>
      <w:lvlText w:val="o"/>
      <w:lvlJc w:val="left"/>
      <w:pPr>
        <w:ind w:left="4944" w:hanging="360"/>
      </w:pPr>
      <w:rPr>
        <w:rFonts w:ascii="Courier New" w:hAnsi="Courier New" w:cs="Courier New" w:hint="default"/>
      </w:rPr>
    </w:lvl>
    <w:lvl w:ilvl="5" w:tplc="10090005" w:tentative="1">
      <w:start w:val="1"/>
      <w:numFmt w:val="bullet"/>
      <w:lvlText w:val=""/>
      <w:lvlJc w:val="left"/>
      <w:pPr>
        <w:ind w:left="5664" w:hanging="360"/>
      </w:pPr>
      <w:rPr>
        <w:rFonts w:ascii="Wingdings" w:hAnsi="Wingdings" w:hint="default"/>
      </w:rPr>
    </w:lvl>
    <w:lvl w:ilvl="6" w:tplc="10090001" w:tentative="1">
      <w:start w:val="1"/>
      <w:numFmt w:val="bullet"/>
      <w:lvlText w:val=""/>
      <w:lvlJc w:val="left"/>
      <w:pPr>
        <w:ind w:left="6384" w:hanging="360"/>
      </w:pPr>
      <w:rPr>
        <w:rFonts w:ascii="Symbol" w:hAnsi="Symbol" w:hint="default"/>
      </w:rPr>
    </w:lvl>
    <w:lvl w:ilvl="7" w:tplc="10090003" w:tentative="1">
      <w:start w:val="1"/>
      <w:numFmt w:val="bullet"/>
      <w:lvlText w:val="o"/>
      <w:lvlJc w:val="left"/>
      <w:pPr>
        <w:ind w:left="7104" w:hanging="360"/>
      </w:pPr>
      <w:rPr>
        <w:rFonts w:ascii="Courier New" w:hAnsi="Courier New" w:cs="Courier New" w:hint="default"/>
      </w:rPr>
    </w:lvl>
    <w:lvl w:ilvl="8" w:tplc="10090005" w:tentative="1">
      <w:start w:val="1"/>
      <w:numFmt w:val="bullet"/>
      <w:lvlText w:val=""/>
      <w:lvlJc w:val="left"/>
      <w:pPr>
        <w:ind w:left="7824" w:hanging="360"/>
      </w:pPr>
      <w:rPr>
        <w:rFonts w:ascii="Wingdings" w:hAnsi="Wingdings" w:hint="default"/>
      </w:rPr>
    </w:lvl>
  </w:abstractNum>
  <w:abstractNum w:abstractNumId="4">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5E95B97"/>
    <w:multiLevelType w:val="multilevel"/>
    <w:tmpl w:val="FB628A22"/>
    <w:lvl w:ilvl="0">
      <w:start w:val="4"/>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2"/>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25"/>
        </w:tabs>
        <w:ind w:left="1425" w:hanging="1425"/>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0CFC5F72"/>
    <w:multiLevelType w:val="hybridMultilevel"/>
    <w:tmpl w:val="99FCD014"/>
    <w:lvl w:ilvl="0" w:tplc="61FA1426">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7">
    <w:nsid w:val="14F81C80"/>
    <w:multiLevelType w:val="hybridMultilevel"/>
    <w:tmpl w:val="F2006C08"/>
    <w:lvl w:ilvl="0" w:tplc="FD869844">
      <w:start w:val="5"/>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00D59DD"/>
    <w:multiLevelType w:val="hybridMultilevel"/>
    <w:tmpl w:val="D44CF84C"/>
    <w:lvl w:ilvl="0" w:tplc="61AC707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nsid w:val="20AC192F"/>
    <w:multiLevelType w:val="hybridMultilevel"/>
    <w:tmpl w:val="741E22A6"/>
    <w:lvl w:ilvl="0" w:tplc="7946167C">
      <w:start w:val="1"/>
      <w:numFmt w:val="decimal"/>
      <w:lvlText w:val="%1."/>
      <w:lvlJc w:val="left"/>
      <w:pPr>
        <w:tabs>
          <w:tab w:val="num" w:pos="360"/>
        </w:tabs>
        <w:ind w:left="432" w:hanging="432"/>
      </w:pPr>
      <w:rPr>
        <w:rFonts w:cs="Times New Roman" w:hint="default"/>
      </w:rPr>
    </w:lvl>
    <w:lvl w:ilvl="1" w:tplc="F12816A8">
      <w:start w:val="3"/>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22666D7B"/>
    <w:multiLevelType w:val="hybridMultilevel"/>
    <w:tmpl w:val="B19EA34C"/>
    <w:lvl w:ilvl="0" w:tplc="39388C44">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nsid w:val="23367EE9"/>
    <w:multiLevelType w:val="hybridMultilevel"/>
    <w:tmpl w:val="A5204186"/>
    <w:lvl w:ilvl="0" w:tplc="640CB984">
      <w:start w:val="1"/>
      <w:numFmt w:val="lowerLetter"/>
      <w:lvlText w:val="(%1)"/>
      <w:lvlJc w:val="left"/>
      <w:pPr>
        <w:ind w:left="2628" w:hanging="360"/>
      </w:pPr>
      <w:rPr>
        <w:rFonts w:hint="default"/>
      </w:rPr>
    </w:lvl>
    <w:lvl w:ilvl="1" w:tplc="10090019" w:tentative="1">
      <w:start w:val="1"/>
      <w:numFmt w:val="lowerLetter"/>
      <w:lvlText w:val="%2."/>
      <w:lvlJc w:val="left"/>
      <w:pPr>
        <w:ind w:left="3348" w:hanging="360"/>
      </w:pPr>
    </w:lvl>
    <w:lvl w:ilvl="2" w:tplc="1009001B" w:tentative="1">
      <w:start w:val="1"/>
      <w:numFmt w:val="lowerRoman"/>
      <w:lvlText w:val="%3."/>
      <w:lvlJc w:val="right"/>
      <w:pPr>
        <w:ind w:left="4068" w:hanging="180"/>
      </w:pPr>
    </w:lvl>
    <w:lvl w:ilvl="3" w:tplc="1009000F" w:tentative="1">
      <w:start w:val="1"/>
      <w:numFmt w:val="decimal"/>
      <w:lvlText w:val="%4."/>
      <w:lvlJc w:val="left"/>
      <w:pPr>
        <w:ind w:left="4788" w:hanging="360"/>
      </w:pPr>
    </w:lvl>
    <w:lvl w:ilvl="4" w:tplc="10090019" w:tentative="1">
      <w:start w:val="1"/>
      <w:numFmt w:val="lowerLetter"/>
      <w:lvlText w:val="%5."/>
      <w:lvlJc w:val="left"/>
      <w:pPr>
        <w:ind w:left="5508" w:hanging="360"/>
      </w:pPr>
    </w:lvl>
    <w:lvl w:ilvl="5" w:tplc="1009001B" w:tentative="1">
      <w:start w:val="1"/>
      <w:numFmt w:val="lowerRoman"/>
      <w:lvlText w:val="%6."/>
      <w:lvlJc w:val="right"/>
      <w:pPr>
        <w:ind w:left="6228" w:hanging="180"/>
      </w:pPr>
    </w:lvl>
    <w:lvl w:ilvl="6" w:tplc="1009000F" w:tentative="1">
      <w:start w:val="1"/>
      <w:numFmt w:val="decimal"/>
      <w:lvlText w:val="%7."/>
      <w:lvlJc w:val="left"/>
      <w:pPr>
        <w:ind w:left="6948" w:hanging="360"/>
      </w:pPr>
    </w:lvl>
    <w:lvl w:ilvl="7" w:tplc="10090019" w:tentative="1">
      <w:start w:val="1"/>
      <w:numFmt w:val="lowerLetter"/>
      <w:lvlText w:val="%8."/>
      <w:lvlJc w:val="left"/>
      <w:pPr>
        <w:ind w:left="7668" w:hanging="360"/>
      </w:pPr>
    </w:lvl>
    <w:lvl w:ilvl="8" w:tplc="1009001B" w:tentative="1">
      <w:start w:val="1"/>
      <w:numFmt w:val="lowerRoman"/>
      <w:lvlText w:val="%9."/>
      <w:lvlJc w:val="right"/>
      <w:pPr>
        <w:ind w:left="8388" w:hanging="180"/>
      </w:pPr>
    </w:lvl>
  </w:abstractNum>
  <w:abstractNum w:abstractNumId="12">
    <w:nsid w:val="28940118"/>
    <w:multiLevelType w:val="hybridMultilevel"/>
    <w:tmpl w:val="9A24E8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C556B86"/>
    <w:multiLevelType w:val="hybridMultilevel"/>
    <w:tmpl w:val="A7481782"/>
    <w:lvl w:ilvl="0" w:tplc="06D228D4">
      <w:start w:val="1"/>
      <w:numFmt w:val="lowerLetter"/>
      <w:lvlText w:val="(%1)"/>
      <w:lvlJc w:val="left"/>
      <w:pPr>
        <w:tabs>
          <w:tab w:val="num" w:pos="2271"/>
        </w:tabs>
        <w:ind w:left="2271" w:hanging="570"/>
      </w:pPr>
      <w:rPr>
        <w:rFonts w:hint="default"/>
      </w:rPr>
    </w:lvl>
    <w:lvl w:ilvl="1" w:tplc="04090019" w:tentative="1">
      <w:start w:val="1"/>
      <w:numFmt w:val="lowerLetter"/>
      <w:lvlText w:val="%2."/>
      <w:lvlJc w:val="left"/>
      <w:pPr>
        <w:tabs>
          <w:tab w:val="num" w:pos="2781"/>
        </w:tabs>
        <w:ind w:left="2781" w:hanging="360"/>
      </w:pPr>
    </w:lvl>
    <w:lvl w:ilvl="2" w:tplc="0409001B" w:tentative="1">
      <w:start w:val="1"/>
      <w:numFmt w:val="lowerRoman"/>
      <w:lvlText w:val="%3."/>
      <w:lvlJc w:val="right"/>
      <w:pPr>
        <w:tabs>
          <w:tab w:val="num" w:pos="3501"/>
        </w:tabs>
        <w:ind w:left="3501" w:hanging="180"/>
      </w:pPr>
    </w:lvl>
    <w:lvl w:ilvl="3" w:tplc="0409000F" w:tentative="1">
      <w:start w:val="1"/>
      <w:numFmt w:val="decimal"/>
      <w:lvlText w:val="%4."/>
      <w:lvlJc w:val="left"/>
      <w:pPr>
        <w:tabs>
          <w:tab w:val="num" w:pos="4221"/>
        </w:tabs>
        <w:ind w:left="4221" w:hanging="360"/>
      </w:pPr>
    </w:lvl>
    <w:lvl w:ilvl="4" w:tplc="04090019" w:tentative="1">
      <w:start w:val="1"/>
      <w:numFmt w:val="lowerLetter"/>
      <w:lvlText w:val="%5."/>
      <w:lvlJc w:val="left"/>
      <w:pPr>
        <w:tabs>
          <w:tab w:val="num" w:pos="4941"/>
        </w:tabs>
        <w:ind w:left="4941" w:hanging="360"/>
      </w:pPr>
    </w:lvl>
    <w:lvl w:ilvl="5" w:tplc="0409001B" w:tentative="1">
      <w:start w:val="1"/>
      <w:numFmt w:val="lowerRoman"/>
      <w:lvlText w:val="%6."/>
      <w:lvlJc w:val="right"/>
      <w:pPr>
        <w:tabs>
          <w:tab w:val="num" w:pos="5661"/>
        </w:tabs>
        <w:ind w:left="5661" w:hanging="180"/>
      </w:pPr>
    </w:lvl>
    <w:lvl w:ilvl="6" w:tplc="0409000F" w:tentative="1">
      <w:start w:val="1"/>
      <w:numFmt w:val="decimal"/>
      <w:lvlText w:val="%7."/>
      <w:lvlJc w:val="left"/>
      <w:pPr>
        <w:tabs>
          <w:tab w:val="num" w:pos="6381"/>
        </w:tabs>
        <w:ind w:left="6381" w:hanging="360"/>
      </w:pPr>
    </w:lvl>
    <w:lvl w:ilvl="7" w:tplc="04090019" w:tentative="1">
      <w:start w:val="1"/>
      <w:numFmt w:val="lowerLetter"/>
      <w:lvlText w:val="%8."/>
      <w:lvlJc w:val="left"/>
      <w:pPr>
        <w:tabs>
          <w:tab w:val="num" w:pos="7101"/>
        </w:tabs>
        <w:ind w:left="7101" w:hanging="360"/>
      </w:pPr>
    </w:lvl>
    <w:lvl w:ilvl="8" w:tplc="0409001B" w:tentative="1">
      <w:start w:val="1"/>
      <w:numFmt w:val="lowerRoman"/>
      <w:lvlText w:val="%9."/>
      <w:lvlJc w:val="right"/>
      <w:pPr>
        <w:tabs>
          <w:tab w:val="num" w:pos="7821"/>
        </w:tabs>
        <w:ind w:left="7821" w:hanging="180"/>
      </w:pPr>
    </w:lvl>
  </w:abstractNum>
  <w:abstractNum w:abstractNumId="14">
    <w:nsid w:val="2D28202B"/>
    <w:multiLevelType w:val="hybridMultilevel"/>
    <w:tmpl w:val="A71EB6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ECA257B"/>
    <w:multiLevelType w:val="hybridMultilevel"/>
    <w:tmpl w:val="3E90A262"/>
    <w:lvl w:ilvl="0" w:tplc="AC84F1B4">
      <w:start w:val="110"/>
      <w:numFmt w:val="decimal"/>
      <w:lvlText w:val="%1"/>
      <w:lvlJc w:val="left"/>
      <w:pPr>
        <w:tabs>
          <w:tab w:val="num" w:pos="2985"/>
        </w:tabs>
        <w:ind w:left="2985" w:hanging="1665"/>
      </w:pPr>
      <w:rPr>
        <w:rFonts w:hint="default"/>
      </w:rPr>
    </w:lvl>
    <w:lvl w:ilvl="1" w:tplc="04190019" w:tentative="1">
      <w:start w:val="1"/>
      <w:numFmt w:val="lowerLetter"/>
      <w:lvlText w:val="%2."/>
      <w:lvlJc w:val="left"/>
      <w:pPr>
        <w:tabs>
          <w:tab w:val="num" w:pos="2400"/>
        </w:tabs>
        <w:ind w:left="2400" w:hanging="360"/>
      </w:p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16">
    <w:nsid w:val="35913412"/>
    <w:multiLevelType w:val="hybridMultilevel"/>
    <w:tmpl w:val="97F043D8"/>
    <w:lvl w:ilvl="0" w:tplc="32DA1E40">
      <w:start w:val="1"/>
      <w:numFmt w:val="decimal"/>
      <w:lvlText w:val="%1."/>
      <w:lvlJc w:val="left"/>
      <w:pPr>
        <w:ind w:left="1494" w:hanging="360"/>
      </w:pPr>
      <w:rPr>
        <w:rFonts w:ascii="Times New Roman" w:eastAsia="Times New Roman"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37A91095"/>
    <w:multiLevelType w:val="hybridMultilevel"/>
    <w:tmpl w:val="8356F9A0"/>
    <w:lvl w:ilvl="0" w:tplc="2B6ACB68">
      <w:start w:val="1"/>
      <w:numFmt w:val="decimal"/>
      <w:lvlText w:val="%1."/>
      <w:lvlJc w:val="left"/>
      <w:pPr>
        <w:tabs>
          <w:tab w:val="num" w:pos="1864"/>
        </w:tabs>
        <w:ind w:left="1864" w:hanging="1155"/>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F7C1CBB"/>
    <w:multiLevelType w:val="hybridMultilevel"/>
    <w:tmpl w:val="762AA33A"/>
    <w:lvl w:ilvl="0" w:tplc="045203AE">
      <w:start w:val="1"/>
      <w:numFmt w:val="decimal"/>
      <w:lvlText w:val="%1."/>
      <w:lvlJc w:val="left"/>
      <w:pPr>
        <w:ind w:left="1494" w:hanging="360"/>
      </w:pPr>
      <w:rPr>
        <w:rFonts w:hint="default"/>
      </w:rPr>
    </w:lvl>
    <w:lvl w:ilvl="1" w:tplc="040C0019">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9">
    <w:nsid w:val="53AA7794"/>
    <w:multiLevelType w:val="hybridMultilevel"/>
    <w:tmpl w:val="91D4FB2A"/>
    <w:lvl w:ilvl="0" w:tplc="FFFFFFFF">
      <w:start w:val="3"/>
      <w:numFmt w:val="lowerRoman"/>
      <w:lvlText w:val="(%1)"/>
      <w:lvlJc w:val="left"/>
      <w:pPr>
        <w:tabs>
          <w:tab w:val="num" w:pos="1905"/>
        </w:tabs>
        <w:ind w:left="1905" w:hanging="720"/>
      </w:pPr>
      <w:rPr>
        <w:rFonts w:hint="default"/>
      </w:rPr>
    </w:lvl>
    <w:lvl w:ilvl="1" w:tplc="FFFFFFFF" w:tentative="1">
      <w:start w:val="1"/>
      <w:numFmt w:val="lowerLetter"/>
      <w:lvlText w:val="%2."/>
      <w:lvlJc w:val="left"/>
      <w:pPr>
        <w:tabs>
          <w:tab w:val="num" w:pos="2265"/>
        </w:tabs>
        <w:ind w:left="2265" w:hanging="360"/>
      </w:pPr>
    </w:lvl>
    <w:lvl w:ilvl="2" w:tplc="FFFFFFFF" w:tentative="1">
      <w:start w:val="1"/>
      <w:numFmt w:val="lowerRoman"/>
      <w:lvlText w:val="%3."/>
      <w:lvlJc w:val="right"/>
      <w:pPr>
        <w:tabs>
          <w:tab w:val="num" w:pos="2985"/>
        </w:tabs>
        <w:ind w:left="2985" w:hanging="180"/>
      </w:pPr>
    </w:lvl>
    <w:lvl w:ilvl="3" w:tplc="FFFFFFFF" w:tentative="1">
      <w:start w:val="1"/>
      <w:numFmt w:val="decimal"/>
      <w:lvlText w:val="%4."/>
      <w:lvlJc w:val="left"/>
      <w:pPr>
        <w:tabs>
          <w:tab w:val="num" w:pos="3705"/>
        </w:tabs>
        <w:ind w:left="3705" w:hanging="360"/>
      </w:pPr>
    </w:lvl>
    <w:lvl w:ilvl="4" w:tplc="FFFFFFFF" w:tentative="1">
      <w:start w:val="1"/>
      <w:numFmt w:val="lowerLetter"/>
      <w:lvlText w:val="%5."/>
      <w:lvlJc w:val="left"/>
      <w:pPr>
        <w:tabs>
          <w:tab w:val="num" w:pos="4425"/>
        </w:tabs>
        <w:ind w:left="4425" w:hanging="360"/>
      </w:pPr>
    </w:lvl>
    <w:lvl w:ilvl="5" w:tplc="FFFFFFFF" w:tentative="1">
      <w:start w:val="1"/>
      <w:numFmt w:val="lowerRoman"/>
      <w:lvlText w:val="%6."/>
      <w:lvlJc w:val="right"/>
      <w:pPr>
        <w:tabs>
          <w:tab w:val="num" w:pos="5145"/>
        </w:tabs>
        <w:ind w:left="5145" w:hanging="180"/>
      </w:pPr>
    </w:lvl>
    <w:lvl w:ilvl="6" w:tplc="FFFFFFFF" w:tentative="1">
      <w:start w:val="1"/>
      <w:numFmt w:val="decimal"/>
      <w:lvlText w:val="%7."/>
      <w:lvlJc w:val="left"/>
      <w:pPr>
        <w:tabs>
          <w:tab w:val="num" w:pos="5865"/>
        </w:tabs>
        <w:ind w:left="5865" w:hanging="360"/>
      </w:pPr>
    </w:lvl>
    <w:lvl w:ilvl="7" w:tplc="FFFFFFFF" w:tentative="1">
      <w:start w:val="1"/>
      <w:numFmt w:val="lowerLetter"/>
      <w:lvlText w:val="%8."/>
      <w:lvlJc w:val="left"/>
      <w:pPr>
        <w:tabs>
          <w:tab w:val="num" w:pos="6585"/>
        </w:tabs>
        <w:ind w:left="6585" w:hanging="360"/>
      </w:pPr>
    </w:lvl>
    <w:lvl w:ilvl="8" w:tplc="FFFFFFFF" w:tentative="1">
      <w:start w:val="1"/>
      <w:numFmt w:val="lowerRoman"/>
      <w:lvlText w:val="%9."/>
      <w:lvlJc w:val="right"/>
      <w:pPr>
        <w:tabs>
          <w:tab w:val="num" w:pos="7305"/>
        </w:tabs>
        <w:ind w:left="7305" w:hanging="180"/>
      </w:pPr>
    </w:lvl>
  </w:abstractNum>
  <w:abstractNum w:abstractNumId="20">
    <w:nsid w:val="5CCE2091"/>
    <w:multiLevelType w:val="hybridMultilevel"/>
    <w:tmpl w:val="0142B066"/>
    <w:lvl w:ilvl="0" w:tplc="BCD02BAE">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1">
    <w:nsid w:val="5F2E3E16"/>
    <w:multiLevelType w:val="hybridMultilevel"/>
    <w:tmpl w:val="2568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5C3CEF"/>
    <w:multiLevelType w:val="multilevel"/>
    <w:tmpl w:val="64AC95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FE1645C"/>
    <w:multiLevelType w:val="hybridMultilevel"/>
    <w:tmpl w:val="408825C2"/>
    <w:lvl w:ilvl="0" w:tplc="0A92C090">
      <w:start w:val="1"/>
      <w:numFmt w:val="decimal"/>
      <w:lvlText w:val="%1-"/>
      <w:lvlJc w:val="left"/>
      <w:pPr>
        <w:tabs>
          <w:tab w:val="num" w:pos="2839"/>
        </w:tabs>
        <w:ind w:left="2839" w:hanging="360"/>
      </w:pPr>
      <w:rPr>
        <w:rFonts w:ascii="Times New Roman" w:eastAsia="Times New Roman" w:hAnsi="Times New Roman" w:cs="Times New Roman"/>
      </w:rPr>
    </w:lvl>
    <w:lvl w:ilvl="1" w:tplc="04190019" w:tentative="1">
      <w:start w:val="1"/>
      <w:numFmt w:val="lowerLetter"/>
      <w:lvlText w:val="%2."/>
      <w:lvlJc w:val="left"/>
      <w:pPr>
        <w:tabs>
          <w:tab w:val="num" w:pos="3559"/>
        </w:tabs>
        <w:ind w:left="3559" w:hanging="360"/>
      </w:pPr>
    </w:lvl>
    <w:lvl w:ilvl="2" w:tplc="0419001B" w:tentative="1">
      <w:start w:val="1"/>
      <w:numFmt w:val="lowerRoman"/>
      <w:lvlText w:val="%3."/>
      <w:lvlJc w:val="right"/>
      <w:pPr>
        <w:tabs>
          <w:tab w:val="num" w:pos="4279"/>
        </w:tabs>
        <w:ind w:left="4279" w:hanging="180"/>
      </w:pPr>
    </w:lvl>
    <w:lvl w:ilvl="3" w:tplc="0419000F" w:tentative="1">
      <w:start w:val="1"/>
      <w:numFmt w:val="decimal"/>
      <w:lvlText w:val="%4."/>
      <w:lvlJc w:val="left"/>
      <w:pPr>
        <w:tabs>
          <w:tab w:val="num" w:pos="4999"/>
        </w:tabs>
        <w:ind w:left="4999" w:hanging="360"/>
      </w:pPr>
    </w:lvl>
    <w:lvl w:ilvl="4" w:tplc="04190019" w:tentative="1">
      <w:start w:val="1"/>
      <w:numFmt w:val="lowerLetter"/>
      <w:lvlText w:val="%5."/>
      <w:lvlJc w:val="left"/>
      <w:pPr>
        <w:tabs>
          <w:tab w:val="num" w:pos="5719"/>
        </w:tabs>
        <w:ind w:left="5719" w:hanging="360"/>
      </w:pPr>
    </w:lvl>
    <w:lvl w:ilvl="5" w:tplc="0419001B" w:tentative="1">
      <w:start w:val="1"/>
      <w:numFmt w:val="lowerRoman"/>
      <w:lvlText w:val="%6."/>
      <w:lvlJc w:val="right"/>
      <w:pPr>
        <w:tabs>
          <w:tab w:val="num" w:pos="6439"/>
        </w:tabs>
        <w:ind w:left="6439" w:hanging="180"/>
      </w:pPr>
    </w:lvl>
    <w:lvl w:ilvl="6" w:tplc="0419000F" w:tentative="1">
      <w:start w:val="1"/>
      <w:numFmt w:val="decimal"/>
      <w:lvlText w:val="%7."/>
      <w:lvlJc w:val="left"/>
      <w:pPr>
        <w:tabs>
          <w:tab w:val="num" w:pos="7159"/>
        </w:tabs>
        <w:ind w:left="7159" w:hanging="360"/>
      </w:pPr>
    </w:lvl>
    <w:lvl w:ilvl="7" w:tplc="04190019" w:tentative="1">
      <w:start w:val="1"/>
      <w:numFmt w:val="lowerLetter"/>
      <w:lvlText w:val="%8."/>
      <w:lvlJc w:val="left"/>
      <w:pPr>
        <w:tabs>
          <w:tab w:val="num" w:pos="7879"/>
        </w:tabs>
        <w:ind w:left="7879" w:hanging="360"/>
      </w:pPr>
    </w:lvl>
    <w:lvl w:ilvl="8" w:tplc="0419001B" w:tentative="1">
      <w:start w:val="1"/>
      <w:numFmt w:val="lowerRoman"/>
      <w:lvlText w:val="%9."/>
      <w:lvlJc w:val="right"/>
      <w:pPr>
        <w:tabs>
          <w:tab w:val="num" w:pos="8599"/>
        </w:tabs>
        <w:ind w:left="8599" w:hanging="180"/>
      </w:pPr>
    </w:lvl>
  </w:abstractNum>
  <w:abstractNum w:abstractNumId="25">
    <w:nsid w:val="71E81394"/>
    <w:multiLevelType w:val="hybridMultilevel"/>
    <w:tmpl w:val="8AE6215A"/>
    <w:lvl w:ilvl="0" w:tplc="F07EDA76">
      <w:start w:val="1"/>
      <w:numFmt w:val="bullet"/>
      <w:lvlText w:val=""/>
      <w:lvlJc w:val="left"/>
      <w:pPr>
        <w:tabs>
          <w:tab w:val="num" w:pos="952"/>
        </w:tabs>
        <w:ind w:left="952"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26">
    <w:nsid w:val="7377697B"/>
    <w:multiLevelType w:val="hybridMultilevel"/>
    <w:tmpl w:val="2EE681CA"/>
    <w:lvl w:ilvl="0" w:tplc="E26A9B16">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
  </w:num>
  <w:num w:numId="2">
    <w:abstractNumId w:val="23"/>
  </w:num>
  <w:num w:numId="3">
    <w:abstractNumId w:val="1"/>
  </w:num>
  <w:num w:numId="4">
    <w:abstractNumId w:val="25"/>
  </w:num>
  <w:num w:numId="5">
    <w:abstractNumId w:val="19"/>
  </w:num>
  <w:num w:numId="6">
    <w:abstractNumId w:val="5"/>
  </w:num>
  <w:num w:numId="7">
    <w:abstractNumId w:val="9"/>
  </w:num>
  <w:num w:numId="8">
    <w:abstractNumId w:val="17"/>
  </w:num>
  <w:num w:numId="9">
    <w:abstractNumId w:val="24"/>
  </w:num>
  <w:num w:numId="10">
    <w:abstractNumId w:val="15"/>
  </w:num>
  <w:num w:numId="11">
    <w:abstractNumId w:val="2"/>
  </w:num>
  <w:num w:numId="12">
    <w:abstractNumId w:val="13"/>
  </w:num>
  <w:num w:numId="13">
    <w:abstractNumId w:val="26"/>
  </w:num>
  <w:num w:numId="14">
    <w:abstractNumId w:val="20"/>
  </w:num>
  <w:num w:numId="15">
    <w:abstractNumId w:val="21"/>
  </w:num>
  <w:num w:numId="16">
    <w:abstractNumId w:val="12"/>
  </w:num>
  <w:num w:numId="17">
    <w:abstractNumId w:val="7"/>
  </w:num>
  <w:num w:numId="18">
    <w:abstractNumId w:val="8"/>
  </w:num>
  <w:num w:numId="19">
    <w:abstractNumId w:val="16"/>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0"/>
  </w:num>
  <w:num w:numId="24">
    <w:abstractNumId w:val="11"/>
  </w:num>
  <w:num w:numId="25">
    <w:abstractNumId w:val="3"/>
  </w:num>
  <w:num w:numId="26">
    <w:abstractNumId w:val="18"/>
  </w:num>
  <w:num w:numId="27">
    <w:abstractNumId w:val="2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activeWritingStyle w:appName="MSWord" w:lang="en-CA" w:vendorID="64" w:dllVersion="131078" w:nlCheck="1" w:checkStyle="1"/>
  <w:activeWritingStyle w:appName="MSWord" w:lang="fr-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03332"/>
    <w:rsid w:val="00012BEE"/>
    <w:rsid w:val="000171FC"/>
    <w:rsid w:val="000210EC"/>
    <w:rsid w:val="00025C10"/>
    <w:rsid w:val="000261F6"/>
    <w:rsid w:val="00034899"/>
    <w:rsid w:val="000413DA"/>
    <w:rsid w:val="000426AF"/>
    <w:rsid w:val="00044CD7"/>
    <w:rsid w:val="00050F6B"/>
    <w:rsid w:val="0005340B"/>
    <w:rsid w:val="00057262"/>
    <w:rsid w:val="00057EF1"/>
    <w:rsid w:val="00060C82"/>
    <w:rsid w:val="00067341"/>
    <w:rsid w:val="00072C8C"/>
    <w:rsid w:val="0007325A"/>
    <w:rsid w:val="00080F0A"/>
    <w:rsid w:val="00083A13"/>
    <w:rsid w:val="00085784"/>
    <w:rsid w:val="000918C2"/>
    <w:rsid w:val="000931C0"/>
    <w:rsid w:val="00094053"/>
    <w:rsid w:val="000B0DCA"/>
    <w:rsid w:val="000B175B"/>
    <w:rsid w:val="000B3A0F"/>
    <w:rsid w:val="000C64FF"/>
    <w:rsid w:val="000C69A6"/>
    <w:rsid w:val="000D13B5"/>
    <w:rsid w:val="000E0415"/>
    <w:rsid w:val="000E2262"/>
    <w:rsid w:val="000E2F43"/>
    <w:rsid w:val="000E2FEC"/>
    <w:rsid w:val="00105FDD"/>
    <w:rsid w:val="0011529F"/>
    <w:rsid w:val="001156AA"/>
    <w:rsid w:val="001220B8"/>
    <w:rsid w:val="001262C0"/>
    <w:rsid w:val="00126EA1"/>
    <w:rsid w:val="001336B2"/>
    <w:rsid w:val="00133C7A"/>
    <w:rsid w:val="00133ED6"/>
    <w:rsid w:val="00137553"/>
    <w:rsid w:val="001418E8"/>
    <w:rsid w:val="00145FFD"/>
    <w:rsid w:val="001506C9"/>
    <w:rsid w:val="001604C0"/>
    <w:rsid w:val="00161DED"/>
    <w:rsid w:val="00162157"/>
    <w:rsid w:val="00162703"/>
    <w:rsid w:val="00172A5D"/>
    <w:rsid w:val="00173C41"/>
    <w:rsid w:val="00173E97"/>
    <w:rsid w:val="001811F3"/>
    <w:rsid w:val="001832E3"/>
    <w:rsid w:val="00186037"/>
    <w:rsid w:val="001B4B04"/>
    <w:rsid w:val="001B7882"/>
    <w:rsid w:val="001C0A2D"/>
    <w:rsid w:val="001C2917"/>
    <w:rsid w:val="001C6663"/>
    <w:rsid w:val="001C719B"/>
    <w:rsid w:val="001C7895"/>
    <w:rsid w:val="001D26DF"/>
    <w:rsid w:val="001D3183"/>
    <w:rsid w:val="001E0EC3"/>
    <w:rsid w:val="001E2993"/>
    <w:rsid w:val="001E2A42"/>
    <w:rsid w:val="001E428B"/>
    <w:rsid w:val="001E4813"/>
    <w:rsid w:val="00202F2F"/>
    <w:rsid w:val="0020313C"/>
    <w:rsid w:val="00211E0B"/>
    <w:rsid w:val="0021245D"/>
    <w:rsid w:val="00232E70"/>
    <w:rsid w:val="002405A7"/>
    <w:rsid w:val="00240C33"/>
    <w:rsid w:val="00241101"/>
    <w:rsid w:val="00246F3E"/>
    <w:rsid w:val="00247F42"/>
    <w:rsid w:val="00254938"/>
    <w:rsid w:val="00260DAB"/>
    <w:rsid w:val="00261C17"/>
    <w:rsid w:val="00267F1A"/>
    <w:rsid w:val="00270492"/>
    <w:rsid w:val="002775FB"/>
    <w:rsid w:val="00280C9A"/>
    <w:rsid w:val="00281563"/>
    <w:rsid w:val="00282F16"/>
    <w:rsid w:val="00291560"/>
    <w:rsid w:val="0029653B"/>
    <w:rsid w:val="0029712C"/>
    <w:rsid w:val="002B4232"/>
    <w:rsid w:val="002D5E30"/>
    <w:rsid w:val="002D78BB"/>
    <w:rsid w:val="002E03D9"/>
    <w:rsid w:val="002E42C4"/>
    <w:rsid w:val="002E45A0"/>
    <w:rsid w:val="002E4DC6"/>
    <w:rsid w:val="002E6B09"/>
    <w:rsid w:val="002F6E0F"/>
    <w:rsid w:val="003025AB"/>
    <w:rsid w:val="00302CC0"/>
    <w:rsid w:val="00303038"/>
    <w:rsid w:val="003107FA"/>
    <w:rsid w:val="00311C15"/>
    <w:rsid w:val="00317109"/>
    <w:rsid w:val="003229D8"/>
    <w:rsid w:val="0033069A"/>
    <w:rsid w:val="00330D86"/>
    <w:rsid w:val="00334089"/>
    <w:rsid w:val="0033745A"/>
    <w:rsid w:val="00341EB4"/>
    <w:rsid w:val="00355FB8"/>
    <w:rsid w:val="0036347F"/>
    <w:rsid w:val="00365502"/>
    <w:rsid w:val="00373FC5"/>
    <w:rsid w:val="003742FC"/>
    <w:rsid w:val="00391104"/>
    <w:rsid w:val="0039277A"/>
    <w:rsid w:val="003972E0"/>
    <w:rsid w:val="0039798C"/>
    <w:rsid w:val="00397DE2"/>
    <w:rsid w:val="003A0867"/>
    <w:rsid w:val="003A2B2B"/>
    <w:rsid w:val="003A7F0D"/>
    <w:rsid w:val="003B0241"/>
    <w:rsid w:val="003B16CF"/>
    <w:rsid w:val="003C2CC4"/>
    <w:rsid w:val="003C3936"/>
    <w:rsid w:val="003D4B23"/>
    <w:rsid w:val="003D5BA1"/>
    <w:rsid w:val="003E7507"/>
    <w:rsid w:val="003F1ED3"/>
    <w:rsid w:val="003F32D9"/>
    <w:rsid w:val="003F6500"/>
    <w:rsid w:val="00403098"/>
    <w:rsid w:val="00403EAE"/>
    <w:rsid w:val="004143A7"/>
    <w:rsid w:val="00424A40"/>
    <w:rsid w:val="00427EC1"/>
    <w:rsid w:val="004325CB"/>
    <w:rsid w:val="00435726"/>
    <w:rsid w:val="00435EE3"/>
    <w:rsid w:val="00436DEF"/>
    <w:rsid w:val="00442BB5"/>
    <w:rsid w:val="00443C1D"/>
    <w:rsid w:val="00446DE4"/>
    <w:rsid w:val="00447ACD"/>
    <w:rsid w:val="004501A7"/>
    <w:rsid w:val="004532E1"/>
    <w:rsid w:val="00456600"/>
    <w:rsid w:val="00465AC8"/>
    <w:rsid w:val="004735DE"/>
    <w:rsid w:val="0047798C"/>
    <w:rsid w:val="0048539B"/>
    <w:rsid w:val="0048605D"/>
    <w:rsid w:val="0049238A"/>
    <w:rsid w:val="004936EA"/>
    <w:rsid w:val="004949D0"/>
    <w:rsid w:val="004A0699"/>
    <w:rsid w:val="004A0F33"/>
    <w:rsid w:val="004A41CA"/>
    <w:rsid w:val="004A7FFD"/>
    <w:rsid w:val="004B1385"/>
    <w:rsid w:val="004B40B2"/>
    <w:rsid w:val="004C3136"/>
    <w:rsid w:val="004E0E90"/>
    <w:rsid w:val="004F4928"/>
    <w:rsid w:val="004F721F"/>
    <w:rsid w:val="004F7E77"/>
    <w:rsid w:val="00500AC6"/>
    <w:rsid w:val="00503228"/>
    <w:rsid w:val="00505384"/>
    <w:rsid w:val="00512AD1"/>
    <w:rsid w:val="00514641"/>
    <w:rsid w:val="005311FB"/>
    <w:rsid w:val="0053290B"/>
    <w:rsid w:val="005414C0"/>
    <w:rsid w:val="005420F2"/>
    <w:rsid w:val="00543E64"/>
    <w:rsid w:val="00557BBE"/>
    <w:rsid w:val="005602BC"/>
    <w:rsid w:val="00564A8C"/>
    <w:rsid w:val="0056584E"/>
    <w:rsid w:val="00567492"/>
    <w:rsid w:val="00582EEE"/>
    <w:rsid w:val="00587909"/>
    <w:rsid w:val="00592B8C"/>
    <w:rsid w:val="00596017"/>
    <w:rsid w:val="0059637C"/>
    <w:rsid w:val="005964D7"/>
    <w:rsid w:val="00596940"/>
    <w:rsid w:val="005A6006"/>
    <w:rsid w:val="005B12DD"/>
    <w:rsid w:val="005B3DB3"/>
    <w:rsid w:val="005B675E"/>
    <w:rsid w:val="005B793F"/>
    <w:rsid w:val="005D01BA"/>
    <w:rsid w:val="005D0566"/>
    <w:rsid w:val="005D69A1"/>
    <w:rsid w:val="005D74E8"/>
    <w:rsid w:val="005E3584"/>
    <w:rsid w:val="005F1684"/>
    <w:rsid w:val="005F491C"/>
    <w:rsid w:val="005F57B5"/>
    <w:rsid w:val="00603986"/>
    <w:rsid w:val="00610339"/>
    <w:rsid w:val="00611FB1"/>
    <w:rsid w:val="00611FC4"/>
    <w:rsid w:val="00612127"/>
    <w:rsid w:val="00612594"/>
    <w:rsid w:val="00613135"/>
    <w:rsid w:val="00613225"/>
    <w:rsid w:val="0061540F"/>
    <w:rsid w:val="00615ADE"/>
    <w:rsid w:val="00615BEE"/>
    <w:rsid w:val="006176FB"/>
    <w:rsid w:val="0062323E"/>
    <w:rsid w:val="00624CB0"/>
    <w:rsid w:val="00627ED0"/>
    <w:rsid w:val="00633F2A"/>
    <w:rsid w:val="0063576C"/>
    <w:rsid w:val="006362E9"/>
    <w:rsid w:val="00637C1A"/>
    <w:rsid w:val="00640B26"/>
    <w:rsid w:val="0064418D"/>
    <w:rsid w:val="006522E7"/>
    <w:rsid w:val="00652520"/>
    <w:rsid w:val="00660E37"/>
    <w:rsid w:val="00665396"/>
    <w:rsid w:val="00665595"/>
    <w:rsid w:val="00677071"/>
    <w:rsid w:val="00694FF3"/>
    <w:rsid w:val="00695A9B"/>
    <w:rsid w:val="006A68AB"/>
    <w:rsid w:val="006A7392"/>
    <w:rsid w:val="006A7A99"/>
    <w:rsid w:val="006B4ADA"/>
    <w:rsid w:val="006C13D4"/>
    <w:rsid w:val="006C52A3"/>
    <w:rsid w:val="006D5429"/>
    <w:rsid w:val="006D7CD5"/>
    <w:rsid w:val="006E0290"/>
    <w:rsid w:val="006E0A8C"/>
    <w:rsid w:val="006E564B"/>
    <w:rsid w:val="006F02D2"/>
    <w:rsid w:val="006F1EFF"/>
    <w:rsid w:val="007032EE"/>
    <w:rsid w:val="00704BCD"/>
    <w:rsid w:val="007218CD"/>
    <w:rsid w:val="0072632A"/>
    <w:rsid w:val="00733AAE"/>
    <w:rsid w:val="00744DCF"/>
    <w:rsid w:val="007675D8"/>
    <w:rsid w:val="00771D8B"/>
    <w:rsid w:val="00772712"/>
    <w:rsid w:val="00772BD6"/>
    <w:rsid w:val="00773288"/>
    <w:rsid w:val="0077426A"/>
    <w:rsid w:val="00774A1A"/>
    <w:rsid w:val="007756DC"/>
    <w:rsid w:val="00780488"/>
    <w:rsid w:val="00782570"/>
    <w:rsid w:val="00783A99"/>
    <w:rsid w:val="00784BBB"/>
    <w:rsid w:val="0079606E"/>
    <w:rsid w:val="00796E0D"/>
    <w:rsid w:val="007A1923"/>
    <w:rsid w:val="007B204D"/>
    <w:rsid w:val="007B3310"/>
    <w:rsid w:val="007B5103"/>
    <w:rsid w:val="007B5960"/>
    <w:rsid w:val="007B6BA5"/>
    <w:rsid w:val="007B6F24"/>
    <w:rsid w:val="007C0E2E"/>
    <w:rsid w:val="007C3390"/>
    <w:rsid w:val="007C4F4B"/>
    <w:rsid w:val="007C4F77"/>
    <w:rsid w:val="007D1BCB"/>
    <w:rsid w:val="007D3ADF"/>
    <w:rsid w:val="007D4DE2"/>
    <w:rsid w:val="007E028F"/>
    <w:rsid w:val="007E0778"/>
    <w:rsid w:val="007F0B83"/>
    <w:rsid w:val="007F272B"/>
    <w:rsid w:val="007F4FCD"/>
    <w:rsid w:val="007F6611"/>
    <w:rsid w:val="007F768B"/>
    <w:rsid w:val="00805178"/>
    <w:rsid w:val="00811877"/>
    <w:rsid w:val="008175E9"/>
    <w:rsid w:val="00820837"/>
    <w:rsid w:val="00821CC5"/>
    <w:rsid w:val="008242D7"/>
    <w:rsid w:val="00826BFB"/>
    <w:rsid w:val="00827E05"/>
    <w:rsid w:val="00830DAF"/>
    <w:rsid w:val="008311A3"/>
    <w:rsid w:val="008467F9"/>
    <w:rsid w:val="008577F2"/>
    <w:rsid w:val="00860A33"/>
    <w:rsid w:val="0086423F"/>
    <w:rsid w:val="008703E7"/>
    <w:rsid w:val="00871FD5"/>
    <w:rsid w:val="00872C11"/>
    <w:rsid w:val="00873B3B"/>
    <w:rsid w:val="00874E70"/>
    <w:rsid w:val="00876710"/>
    <w:rsid w:val="00884D20"/>
    <w:rsid w:val="008979B1"/>
    <w:rsid w:val="008A296D"/>
    <w:rsid w:val="008A6B25"/>
    <w:rsid w:val="008A6C4F"/>
    <w:rsid w:val="008B01F9"/>
    <w:rsid w:val="008B0E1D"/>
    <w:rsid w:val="008B411B"/>
    <w:rsid w:val="008B6F6E"/>
    <w:rsid w:val="008D54CD"/>
    <w:rsid w:val="008E09AC"/>
    <w:rsid w:val="008E0E46"/>
    <w:rsid w:val="008E3D2D"/>
    <w:rsid w:val="008F1782"/>
    <w:rsid w:val="008F4AB2"/>
    <w:rsid w:val="00903E58"/>
    <w:rsid w:val="00906E93"/>
    <w:rsid w:val="0090771C"/>
    <w:rsid w:val="00907AD2"/>
    <w:rsid w:val="009104B2"/>
    <w:rsid w:val="009111C7"/>
    <w:rsid w:val="0091455F"/>
    <w:rsid w:val="0092035F"/>
    <w:rsid w:val="00921B66"/>
    <w:rsid w:val="00922876"/>
    <w:rsid w:val="00925353"/>
    <w:rsid w:val="00934214"/>
    <w:rsid w:val="009402C2"/>
    <w:rsid w:val="00940685"/>
    <w:rsid w:val="00941D3C"/>
    <w:rsid w:val="00951741"/>
    <w:rsid w:val="009616A8"/>
    <w:rsid w:val="009619F2"/>
    <w:rsid w:val="00963CBA"/>
    <w:rsid w:val="009647D9"/>
    <w:rsid w:val="009727E1"/>
    <w:rsid w:val="009749EA"/>
    <w:rsid w:val="00974A8D"/>
    <w:rsid w:val="00975AAB"/>
    <w:rsid w:val="009772DC"/>
    <w:rsid w:val="0097794A"/>
    <w:rsid w:val="0099001C"/>
    <w:rsid w:val="00991261"/>
    <w:rsid w:val="009A3BA9"/>
    <w:rsid w:val="009B10F0"/>
    <w:rsid w:val="009B4ACF"/>
    <w:rsid w:val="009C418B"/>
    <w:rsid w:val="009D1BEF"/>
    <w:rsid w:val="009E0F2F"/>
    <w:rsid w:val="009F3A17"/>
    <w:rsid w:val="009F4329"/>
    <w:rsid w:val="00A071D1"/>
    <w:rsid w:val="00A11C1F"/>
    <w:rsid w:val="00A1427D"/>
    <w:rsid w:val="00A1540E"/>
    <w:rsid w:val="00A304F8"/>
    <w:rsid w:val="00A3172C"/>
    <w:rsid w:val="00A320C7"/>
    <w:rsid w:val="00A33628"/>
    <w:rsid w:val="00A37B8D"/>
    <w:rsid w:val="00A4329A"/>
    <w:rsid w:val="00A4390F"/>
    <w:rsid w:val="00A47FEB"/>
    <w:rsid w:val="00A51BA2"/>
    <w:rsid w:val="00A72F22"/>
    <w:rsid w:val="00A748A6"/>
    <w:rsid w:val="00A805EB"/>
    <w:rsid w:val="00A8121B"/>
    <w:rsid w:val="00A879A4"/>
    <w:rsid w:val="00AA59B9"/>
    <w:rsid w:val="00AB6DCD"/>
    <w:rsid w:val="00AC0759"/>
    <w:rsid w:val="00AC3F5A"/>
    <w:rsid w:val="00AD3A50"/>
    <w:rsid w:val="00AD701B"/>
    <w:rsid w:val="00AD7C47"/>
    <w:rsid w:val="00AE0162"/>
    <w:rsid w:val="00AE0873"/>
    <w:rsid w:val="00AE3D03"/>
    <w:rsid w:val="00AE52B5"/>
    <w:rsid w:val="00AF04A4"/>
    <w:rsid w:val="00AF0D0C"/>
    <w:rsid w:val="00AF4E86"/>
    <w:rsid w:val="00AF5976"/>
    <w:rsid w:val="00B04F48"/>
    <w:rsid w:val="00B109BD"/>
    <w:rsid w:val="00B10A66"/>
    <w:rsid w:val="00B12377"/>
    <w:rsid w:val="00B12EF7"/>
    <w:rsid w:val="00B16F5D"/>
    <w:rsid w:val="00B30179"/>
    <w:rsid w:val="00B33D93"/>
    <w:rsid w:val="00B33EC0"/>
    <w:rsid w:val="00B356B8"/>
    <w:rsid w:val="00B35B6B"/>
    <w:rsid w:val="00B37A59"/>
    <w:rsid w:val="00B45CC5"/>
    <w:rsid w:val="00B52A3E"/>
    <w:rsid w:val="00B55627"/>
    <w:rsid w:val="00B6108E"/>
    <w:rsid w:val="00B625AB"/>
    <w:rsid w:val="00B62B55"/>
    <w:rsid w:val="00B712CD"/>
    <w:rsid w:val="00B72447"/>
    <w:rsid w:val="00B81E12"/>
    <w:rsid w:val="00B84EA9"/>
    <w:rsid w:val="00B912BE"/>
    <w:rsid w:val="00BA0EA4"/>
    <w:rsid w:val="00BA6971"/>
    <w:rsid w:val="00BC74E9"/>
    <w:rsid w:val="00BD14E2"/>
    <w:rsid w:val="00BD2146"/>
    <w:rsid w:val="00BD2A07"/>
    <w:rsid w:val="00BD3F6C"/>
    <w:rsid w:val="00BD4FA8"/>
    <w:rsid w:val="00BE4F74"/>
    <w:rsid w:val="00BE618E"/>
    <w:rsid w:val="00BE74EF"/>
    <w:rsid w:val="00BF0594"/>
    <w:rsid w:val="00BF5C71"/>
    <w:rsid w:val="00BF6291"/>
    <w:rsid w:val="00C04153"/>
    <w:rsid w:val="00C143B4"/>
    <w:rsid w:val="00C17699"/>
    <w:rsid w:val="00C20118"/>
    <w:rsid w:val="00C21674"/>
    <w:rsid w:val="00C27298"/>
    <w:rsid w:val="00C27434"/>
    <w:rsid w:val="00C309A6"/>
    <w:rsid w:val="00C31B61"/>
    <w:rsid w:val="00C3396E"/>
    <w:rsid w:val="00C407EE"/>
    <w:rsid w:val="00C41A28"/>
    <w:rsid w:val="00C45639"/>
    <w:rsid w:val="00C463DD"/>
    <w:rsid w:val="00C54CCB"/>
    <w:rsid w:val="00C54FF0"/>
    <w:rsid w:val="00C56170"/>
    <w:rsid w:val="00C65812"/>
    <w:rsid w:val="00C70D56"/>
    <w:rsid w:val="00C7383C"/>
    <w:rsid w:val="00C73C64"/>
    <w:rsid w:val="00C745C3"/>
    <w:rsid w:val="00C74DB9"/>
    <w:rsid w:val="00C756ED"/>
    <w:rsid w:val="00C75C4B"/>
    <w:rsid w:val="00C77A18"/>
    <w:rsid w:val="00C8012E"/>
    <w:rsid w:val="00C84FF4"/>
    <w:rsid w:val="00C87A98"/>
    <w:rsid w:val="00C92E61"/>
    <w:rsid w:val="00C94465"/>
    <w:rsid w:val="00CA2B7F"/>
    <w:rsid w:val="00CA4B0E"/>
    <w:rsid w:val="00CA5B67"/>
    <w:rsid w:val="00CD455E"/>
    <w:rsid w:val="00CE3368"/>
    <w:rsid w:val="00CE4A8F"/>
    <w:rsid w:val="00CE5435"/>
    <w:rsid w:val="00CF41EA"/>
    <w:rsid w:val="00CF4B7F"/>
    <w:rsid w:val="00CF5B31"/>
    <w:rsid w:val="00D0099B"/>
    <w:rsid w:val="00D02F6D"/>
    <w:rsid w:val="00D11A2D"/>
    <w:rsid w:val="00D2031B"/>
    <w:rsid w:val="00D228C0"/>
    <w:rsid w:val="00D25FE2"/>
    <w:rsid w:val="00D317BB"/>
    <w:rsid w:val="00D3344B"/>
    <w:rsid w:val="00D43252"/>
    <w:rsid w:val="00D4433A"/>
    <w:rsid w:val="00D44EAE"/>
    <w:rsid w:val="00D8399D"/>
    <w:rsid w:val="00D91497"/>
    <w:rsid w:val="00D924F4"/>
    <w:rsid w:val="00D978C6"/>
    <w:rsid w:val="00D978F3"/>
    <w:rsid w:val="00DA67AD"/>
    <w:rsid w:val="00DB5D0F"/>
    <w:rsid w:val="00DB79B2"/>
    <w:rsid w:val="00DC1A84"/>
    <w:rsid w:val="00DC3242"/>
    <w:rsid w:val="00DD222A"/>
    <w:rsid w:val="00DE3A0C"/>
    <w:rsid w:val="00DE78DA"/>
    <w:rsid w:val="00DF12F7"/>
    <w:rsid w:val="00E02C81"/>
    <w:rsid w:val="00E05E6F"/>
    <w:rsid w:val="00E130AB"/>
    <w:rsid w:val="00E201CB"/>
    <w:rsid w:val="00E2307D"/>
    <w:rsid w:val="00E24B3E"/>
    <w:rsid w:val="00E25A99"/>
    <w:rsid w:val="00E31E80"/>
    <w:rsid w:val="00E33C28"/>
    <w:rsid w:val="00E37E28"/>
    <w:rsid w:val="00E4094C"/>
    <w:rsid w:val="00E41868"/>
    <w:rsid w:val="00E42808"/>
    <w:rsid w:val="00E43853"/>
    <w:rsid w:val="00E470C5"/>
    <w:rsid w:val="00E54137"/>
    <w:rsid w:val="00E62142"/>
    <w:rsid w:val="00E7260F"/>
    <w:rsid w:val="00E7733E"/>
    <w:rsid w:val="00E86543"/>
    <w:rsid w:val="00E86D1F"/>
    <w:rsid w:val="00E87921"/>
    <w:rsid w:val="00E93B8F"/>
    <w:rsid w:val="00E96630"/>
    <w:rsid w:val="00EA264E"/>
    <w:rsid w:val="00EA5690"/>
    <w:rsid w:val="00EB31E8"/>
    <w:rsid w:val="00EB7B03"/>
    <w:rsid w:val="00EC1DA2"/>
    <w:rsid w:val="00EC3C48"/>
    <w:rsid w:val="00EC3D7E"/>
    <w:rsid w:val="00EC4291"/>
    <w:rsid w:val="00EC5A8A"/>
    <w:rsid w:val="00EC7CB8"/>
    <w:rsid w:val="00ED42EB"/>
    <w:rsid w:val="00ED7A2A"/>
    <w:rsid w:val="00ED7E78"/>
    <w:rsid w:val="00EE5D7E"/>
    <w:rsid w:val="00EE6D04"/>
    <w:rsid w:val="00EE6DBA"/>
    <w:rsid w:val="00EF1D7F"/>
    <w:rsid w:val="00EF381F"/>
    <w:rsid w:val="00EF49AF"/>
    <w:rsid w:val="00EF66AA"/>
    <w:rsid w:val="00F0058A"/>
    <w:rsid w:val="00F065D0"/>
    <w:rsid w:val="00F06AE7"/>
    <w:rsid w:val="00F10CCD"/>
    <w:rsid w:val="00F13FE3"/>
    <w:rsid w:val="00F14C89"/>
    <w:rsid w:val="00F212B0"/>
    <w:rsid w:val="00F227EE"/>
    <w:rsid w:val="00F43F80"/>
    <w:rsid w:val="00F4559F"/>
    <w:rsid w:val="00F461BF"/>
    <w:rsid w:val="00F50610"/>
    <w:rsid w:val="00F53EDA"/>
    <w:rsid w:val="00F56BFE"/>
    <w:rsid w:val="00F6227B"/>
    <w:rsid w:val="00F708A8"/>
    <w:rsid w:val="00F719A2"/>
    <w:rsid w:val="00F7753D"/>
    <w:rsid w:val="00F805CA"/>
    <w:rsid w:val="00F80636"/>
    <w:rsid w:val="00F83C0F"/>
    <w:rsid w:val="00F849F0"/>
    <w:rsid w:val="00F85F34"/>
    <w:rsid w:val="00F93D13"/>
    <w:rsid w:val="00F973FB"/>
    <w:rsid w:val="00FA06F7"/>
    <w:rsid w:val="00FA5CA3"/>
    <w:rsid w:val="00FA5F28"/>
    <w:rsid w:val="00FB171A"/>
    <w:rsid w:val="00FB24B1"/>
    <w:rsid w:val="00FB3D8C"/>
    <w:rsid w:val="00FC24D4"/>
    <w:rsid w:val="00FC68B7"/>
    <w:rsid w:val="00FD0E1B"/>
    <w:rsid w:val="00FD3F13"/>
    <w:rsid w:val="00FD7BF6"/>
    <w:rsid w:val="00FE13F7"/>
    <w:rsid w:val="00FE4A23"/>
    <w:rsid w:val="00FE646C"/>
    <w:rsid w:val="00FF0EC1"/>
    <w:rsid w:val="00FF116A"/>
    <w:rsid w:val="00FF3A32"/>
    <w:rsid w:val="00FF55DD"/>
    <w:rsid w:val="00FF5677"/>
    <w:rsid w:val="00FF6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semiHidden/>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character" w:customStyle="1" w:styleId="FootnoteCharacters">
    <w:name w:val="Footnote Characters"/>
    <w:rsid w:val="00615ADE"/>
    <w:rPr>
      <w:rFonts w:ascii="Times New Roman" w:hAnsi="Times New Roman" w:cs="Times New Roman"/>
      <w:sz w:val="18"/>
      <w:vertAlign w:val="superscript"/>
    </w:rPr>
  </w:style>
  <w:style w:type="character" w:customStyle="1" w:styleId="FootnoteReference1">
    <w:name w:val="Footnote Reference1"/>
    <w:rsid w:val="00615ADE"/>
    <w:rPr>
      <w:rFonts w:ascii="Times New Roman" w:hAnsi="Times New Roman" w:cs="Times New Roman"/>
      <w:sz w:val="18"/>
      <w:vertAlign w:val="superscript"/>
    </w:rPr>
  </w:style>
  <w:style w:type="paragraph" w:customStyle="1" w:styleId="NormalWeb1">
    <w:name w:val="Normal (Web)1"/>
    <w:basedOn w:val="Normal"/>
    <w:rsid w:val="00615ADE"/>
    <w:pPr>
      <w:widowControl w:val="0"/>
      <w:spacing w:line="240" w:lineRule="auto"/>
    </w:pPr>
    <w:rPr>
      <w:rFonts w:eastAsia="Droid Sans" w:cs="FreeSans"/>
      <w:kern w:val="1"/>
      <w:sz w:val="24"/>
      <w:szCs w:val="24"/>
      <w:lang w:eastAsia="zh-CN" w:bidi="hi-IN"/>
    </w:rPr>
  </w:style>
  <w:style w:type="character" w:customStyle="1" w:styleId="WW8Num1z0">
    <w:name w:val="WW8Num1z0"/>
    <w:rsid w:val="00F93D13"/>
    <w:rPr>
      <w:rFonts w:ascii="Symbol" w:hAnsi="Symbol" w:cs="OpenSymbol"/>
      <w:lang w:val="en-GB"/>
    </w:rPr>
  </w:style>
  <w:style w:type="paragraph" w:customStyle="1" w:styleId="Default">
    <w:name w:val="Default"/>
    <w:rsid w:val="00B04F48"/>
    <w:pPr>
      <w:widowControl w:val="0"/>
      <w:autoSpaceDE w:val="0"/>
      <w:autoSpaceDN w:val="0"/>
      <w:adjustRightInd w:val="0"/>
    </w:pPr>
    <w:rPr>
      <w:color w:val="000000"/>
      <w:sz w:val="24"/>
      <w:szCs w:val="24"/>
      <w:lang w:val="en-US" w:eastAsia="en-US"/>
    </w:rPr>
  </w:style>
  <w:style w:type="character" w:customStyle="1" w:styleId="SingleTxtGCar">
    <w:name w:val="_ Single Txt_G Car"/>
    <w:link w:val="SingleTxtG"/>
    <w:locked/>
    <w:rsid w:val="00B04F48"/>
    <w:rPr>
      <w:lang w:eastAsia="en-US"/>
    </w:rPr>
  </w:style>
  <w:style w:type="paragraph" w:customStyle="1" w:styleId="ManualBodyText">
    <w:name w:val="Manual Body Text"/>
    <w:basedOn w:val="BodyText"/>
    <w:rsid w:val="00B04F48"/>
    <w:pPr>
      <w:numPr>
        <w:ilvl w:val="12"/>
      </w:numPr>
      <w:tabs>
        <w:tab w:val="clear" w:pos="1985"/>
        <w:tab w:val="clear" w:pos="2552"/>
        <w:tab w:val="clear" w:pos="3119"/>
        <w:tab w:val="clear" w:pos="3686"/>
        <w:tab w:val="clear" w:pos="4253"/>
        <w:tab w:val="clear" w:pos="4820"/>
      </w:tabs>
      <w:autoSpaceDE w:val="0"/>
      <w:autoSpaceDN w:val="0"/>
      <w:adjustRightInd w:val="0"/>
    </w:pPr>
    <w:rPr>
      <w:szCs w:val="2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lang w:val="en-US"/>
    </w:rPr>
  </w:style>
  <w:style w:type="paragraph" w:styleId="BodyText">
    <w:name w:val="Body Text"/>
    <w:basedOn w:val="Normal"/>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styleId="BalloonText">
    <w:name w:val="Balloon Text"/>
    <w:basedOn w:val="Normal"/>
    <w:semiHidden/>
    <w:rsid w:val="009B10F0"/>
    <w:rPr>
      <w:rFonts w:ascii="Tahoma" w:hAnsi="Tahoma" w:cs="Tahoma"/>
      <w:sz w:val="16"/>
      <w:szCs w:val="16"/>
    </w:rPr>
  </w:style>
  <w:style w:type="character" w:styleId="CommentReference">
    <w:name w:val="annotation reference"/>
    <w:rsid w:val="009F4329"/>
    <w:rPr>
      <w:sz w:val="16"/>
      <w:szCs w:val="16"/>
    </w:rPr>
  </w:style>
  <w:style w:type="paragraph" w:styleId="CommentText">
    <w:name w:val="annotation text"/>
    <w:basedOn w:val="Normal"/>
    <w:semiHidden/>
    <w:rsid w:val="009F4329"/>
  </w:style>
  <w:style w:type="paragraph" w:styleId="CommentSubject">
    <w:name w:val="annotation subject"/>
    <w:basedOn w:val="CommentText"/>
    <w:next w:val="CommentText"/>
    <w:semiHidden/>
    <w:rsid w:val="009F4329"/>
    <w:rPr>
      <w:b/>
      <w:bCs/>
    </w:rPr>
  </w:style>
  <w:style w:type="paragraph" w:customStyle="1" w:styleId="Docs">
    <w:name w:val="Docs"/>
    <w:basedOn w:val="Normal"/>
    <w:rsid w:val="00EF66AA"/>
    <w:pPr>
      <w:keepNext/>
      <w:widowControl w:val="0"/>
      <w:spacing w:after="240" w:line="240" w:lineRule="auto"/>
    </w:pPr>
    <w:rPr>
      <w:rFonts w:eastAsia="Lucida Sans Unicode"/>
      <w:kern w:val="1"/>
      <w:sz w:val="24"/>
      <w:szCs w:val="24"/>
      <w:lang w:val="en-US"/>
    </w:rPr>
  </w:style>
  <w:style w:type="character" w:customStyle="1" w:styleId="FootnoteTextChar">
    <w:name w:val="Footnote Text Char"/>
    <w:aliases w:val="5_G Char"/>
    <w:link w:val="FootnoteText"/>
    <w:rsid w:val="000171FC"/>
    <w:rPr>
      <w:sz w:val="18"/>
      <w:lang w:eastAsia="en-US"/>
    </w:rPr>
  </w:style>
  <w:style w:type="paragraph" w:styleId="Caption">
    <w:name w:val="caption"/>
    <w:basedOn w:val="Normal"/>
    <w:next w:val="Normal"/>
    <w:uiPriority w:val="35"/>
    <w:qFormat/>
    <w:rsid w:val="00874E70"/>
    <w:pPr>
      <w:tabs>
        <w:tab w:val="left" w:pos="851"/>
      </w:tabs>
      <w:suppressAutoHyphens w:val="0"/>
      <w:spacing w:line="240" w:lineRule="auto"/>
      <w:jc w:val="both"/>
    </w:pPr>
    <w:rPr>
      <w:rFonts w:ascii="Arial" w:eastAsia="Batang" w:hAnsi="Arial"/>
      <w:b/>
      <w:bCs/>
    </w:rPr>
  </w:style>
  <w:style w:type="character" w:customStyle="1" w:styleId="FootnoteCharacters">
    <w:name w:val="Footnote Characters"/>
    <w:rsid w:val="00615ADE"/>
    <w:rPr>
      <w:rFonts w:ascii="Times New Roman" w:hAnsi="Times New Roman" w:cs="Times New Roman"/>
      <w:sz w:val="18"/>
      <w:vertAlign w:val="superscript"/>
    </w:rPr>
  </w:style>
  <w:style w:type="character" w:customStyle="1" w:styleId="FootnoteReference1">
    <w:name w:val="Footnote Reference1"/>
    <w:rsid w:val="00615ADE"/>
    <w:rPr>
      <w:rFonts w:ascii="Times New Roman" w:hAnsi="Times New Roman" w:cs="Times New Roman"/>
      <w:sz w:val="18"/>
      <w:vertAlign w:val="superscript"/>
    </w:rPr>
  </w:style>
  <w:style w:type="paragraph" w:customStyle="1" w:styleId="NormalWeb1">
    <w:name w:val="Normal (Web)1"/>
    <w:basedOn w:val="Normal"/>
    <w:rsid w:val="00615ADE"/>
    <w:pPr>
      <w:widowControl w:val="0"/>
      <w:spacing w:line="240" w:lineRule="auto"/>
    </w:pPr>
    <w:rPr>
      <w:rFonts w:eastAsia="Droid Sans" w:cs="FreeSans"/>
      <w:kern w:val="1"/>
      <w:sz w:val="24"/>
      <w:szCs w:val="24"/>
      <w:lang w:eastAsia="zh-CN" w:bidi="hi-IN"/>
    </w:rPr>
  </w:style>
  <w:style w:type="character" w:customStyle="1" w:styleId="WW8Num1z0">
    <w:name w:val="WW8Num1z0"/>
    <w:rsid w:val="00F93D13"/>
    <w:rPr>
      <w:rFonts w:ascii="Symbol" w:hAnsi="Symbol" w:cs="OpenSymbol"/>
      <w:lang w:val="en-GB"/>
    </w:rPr>
  </w:style>
  <w:style w:type="paragraph" w:customStyle="1" w:styleId="Default">
    <w:name w:val="Default"/>
    <w:rsid w:val="00B04F48"/>
    <w:pPr>
      <w:widowControl w:val="0"/>
      <w:autoSpaceDE w:val="0"/>
      <w:autoSpaceDN w:val="0"/>
      <w:adjustRightInd w:val="0"/>
    </w:pPr>
    <w:rPr>
      <w:color w:val="000000"/>
      <w:sz w:val="24"/>
      <w:szCs w:val="24"/>
      <w:lang w:val="en-US" w:eastAsia="en-US"/>
    </w:rPr>
  </w:style>
  <w:style w:type="character" w:customStyle="1" w:styleId="SingleTxtGCar">
    <w:name w:val="_ Single Txt_G Car"/>
    <w:link w:val="SingleTxtG"/>
    <w:locked/>
    <w:rsid w:val="00B04F48"/>
    <w:rPr>
      <w:lang w:eastAsia="en-US"/>
    </w:rPr>
  </w:style>
  <w:style w:type="paragraph" w:customStyle="1" w:styleId="ManualBodyText">
    <w:name w:val="Manual Body Text"/>
    <w:basedOn w:val="BodyText"/>
    <w:rsid w:val="00B04F48"/>
    <w:pPr>
      <w:numPr>
        <w:ilvl w:val="12"/>
      </w:numPr>
      <w:tabs>
        <w:tab w:val="clear" w:pos="1985"/>
        <w:tab w:val="clear" w:pos="2552"/>
        <w:tab w:val="clear" w:pos="3119"/>
        <w:tab w:val="clear" w:pos="3686"/>
        <w:tab w:val="clear" w:pos="4253"/>
        <w:tab w:val="clear" w:pos="4820"/>
      </w:tabs>
      <w:autoSpaceDE w:val="0"/>
      <w:autoSpaceDN w:val="0"/>
      <w:adjustRightInd w:val="0"/>
    </w:pPr>
    <w:rPr>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5BCAC-2F94-49AB-8CEE-9F54C52A1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34</TotalTime>
  <Pages>5</Pages>
  <Words>1481</Words>
  <Characters>8623</Characters>
  <Application>Microsoft Office Word</Application>
  <DocSecurity>0</DocSecurity>
  <Lines>206</Lines>
  <Paragraphs>110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UN/SCEGHS/19/INF</vt:lpstr>
      <vt:lpstr>UN/SCEGHS/19/INF</vt:lpstr>
      <vt:lpstr>UN/SCEGHS/19/INF</vt:lpstr>
    </vt:vector>
  </TitlesOfParts>
  <Company>CSD</Company>
  <LinksUpToDate>false</LinksUpToDate>
  <CharactersWithSpaces>10056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12</cp:revision>
  <cp:lastPrinted>2015-09-04T13:16:00Z</cp:lastPrinted>
  <dcterms:created xsi:type="dcterms:W3CDTF">2015-09-03T08:40:00Z</dcterms:created>
  <dcterms:modified xsi:type="dcterms:W3CDTF">2015-09-04T13:17:00Z</dcterms:modified>
</cp:coreProperties>
</file>