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56" w:rsidRDefault="00EF3956" w:rsidP="00EF3956">
      <w:pPr>
        <w:spacing w:line="240" w:lineRule="auto"/>
        <w:rPr>
          <w:sz w:val="2"/>
        </w:rPr>
        <w:sectPr w:rsidR="00EF3956" w:rsidSect="00EF395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9E1416" w:rsidRDefault="009E1416" w:rsidP="009E141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 xml:space="preserve">Comité d’experts du transport des marchandises </w:t>
      </w:r>
      <w:r w:rsidR="003C51A6">
        <w:rPr>
          <w:lang w:val="fr-CH"/>
        </w:rPr>
        <w:br/>
      </w:r>
      <w:r>
        <w:rPr>
          <w:lang w:val="fr-CH"/>
        </w:rPr>
        <w:t xml:space="preserve">dangereuses et du </w:t>
      </w:r>
      <w:r w:rsidR="003C51A6">
        <w:rPr>
          <w:lang w:val="fr-CH"/>
        </w:rPr>
        <w:t>S</w:t>
      </w:r>
      <w:r>
        <w:rPr>
          <w:lang w:val="fr-CH"/>
        </w:rPr>
        <w:t xml:space="preserve">ystème général harmonisé </w:t>
      </w:r>
      <w:r w:rsidR="003C51A6">
        <w:rPr>
          <w:lang w:val="fr-CH"/>
        </w:rPr>
        <w:br/>
      </w:r>
      <w:r>
        <w:rPr>
          <w:lang w:val="fr-CH"/>
        </w:rPr>
        <w:t xml:space="preserve">de classification et d’étiquetage </w:t>
      </w:r>
      <w:r w:rsidR="003C51A6">
        <w:rPr>
          <w:lang w:val="fr-CH"/>
        </w:rPr>
        <w:br/>
      </w:r>
      <w:r>
        <w:rPr>
          <w:lang w:val="fr-CH"/>
        </w:rPr>
        <w:t>des produits chimiques</w:t>
      </w:r>
    </w:p>
    <w:p w:rsidR="009E1416" w:rsidRPr="00891101" w:rsidRDefault="009E1416" w:rsidP="009E1416">
      <w:pPr>
        <w:spacing w:line="120" w:lineRule="exact"/>
        <w:rPr>
          <w:sz w:val="10"/>
          <w:lang w:val="fr-CH"/>
        </w:rPr>
      </w:pPr>
    </w:p>
    <w:p w:rsidR="009E1416" w:rsidRDefault="009E1416" w:rsidP="009E141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Sous-Comité d’experts du transport </w:t>
      </w:r>
      <w:r w:rsidR="003C51A6">
        <w:rPr>
          <w:lang w:val="fr-CH"/>
        </w:rPr>
        <w:br/>
      </w:r>
      <w:r>
        <w:rPr>
          <w:lang w:val="fr-CH"/>
        </w:rPr>
        <w:t>des marchandises dangereuses</w:t>
      </w:r>
    </w:p>
    <w:p w:rsidR="009E1416" w:rsidRPr="00891101" w:rsidRDefault="009E1416" w:rsidP="009E1416">
      <w:pPr>
        <w:spacing w:line="120" w:lineRule="exact"/>
        <w:rPr>
          <w:sz w:val="10"/>
          <w:lang w:val="fr-CH"/>
        </w:rPr>
      </w:pPr>
    </w:p>
    <w:p w:rsidR="009E1416" w:rsidRDefault="009E1416" w:rsidP="009E141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Quarante-huitième session</w:t>
      </w:r>
    </w:p>
    <w:p w:rsidR="009E1416" w:rsidRDefault="009E1416" w:rsidP="009E141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Genève, 30 novembre-9 décembre 2015</w:t>
      </w:r>
    </w:p>
    <w:p w:rsidR="009E1416" w:rsidRDefault="009E1416" w:rsidP="009E141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2 b) de l’ordre du jour provisoire</w:t>
      </w:r>
    </w:p>
    <w:p w:rsidR="009E1416" w:rsidRDefault="009E1416" w:rsidP="009E141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Explosifs et questions connexes : </w:t>
      </w:r>
      <w:r w:rsidR="003C51A6">
        <w:rPr>
          <w:lang w:val="fr-CH"/>
        </w:rPr>
        <w:t>E</w:t>
      </w:r>
      <w:r>
        <w:rPr>
          <w:lang w:val="fr-CH"/>
        </w:rPr>
        <w:t xml:space="preserve">xamen des </w:t>
      </w:r>
      <w:r w:rsidR="00087F59">
        <w:rPr>
          <w:lang w:val="fr-CH"/>
        </w:rPr>
        <w:t>épreuves de la série 6</w:t>
      </w:r>
    </w:p>
    <w:p w:rsidR="009E1416" w:rsidRPr="00891101" w:rsidRDefault="009E1416" w:rsidP="009E1416">
      <w:pPr>
        <w:spacing w:line="120" w:lineRule="exact"/>
        <w:rPr>
          <w:sz w:val="10"/>
          <w:lang w:val="fr-CH"/>
        </w:rPr>
      </w:pPr>
    </w:p>
    <w:p w:rsidR="009E1416" w:rsidRPr="00891101" w:rsidRDefault="009E1416" w:rsidP="009E1416">
      <w:pPr>
        <w:spacing w:line="120" w:lineRule="exact"/>
        <w:rPr>
          <w:sz w:val="10"/>
          <w:lang w:val="fr-CH"/>
        </w:rPr>
      </w:pPr>
    </w:p>
    <w:p w:rsidR="009E1416" w:rsidRDefault="009E1416" w:rsidP="009E1416">
      <w:pPr>
        <w:spacing w:line="120" w:lineRule="exact"/>
        <w:rPr>
          <w:sz w:val="10"/>
          <w:lang w:val="fr-CH"/>
        </w:rPr>
      </w:pPr>
    </w:p>
    <w:p w:rsidR="009E1416" w:rsidRDefault="009E1416" w:rsidP="009E14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Critères d’examen supplémentaires pour la Division 1.4</w:t>
      </w:r>
    </w:p>
    <w:p w:rsidR="009E1416" w:rsidRPr="00891101" w:rsidRDefault="009E1416" w:rsidP="009E1416">
      <w:pPr>
        <w:pStyle w:val="SingleTxt"/>
        <w:spacing w:after="0" w:line="120" w:lineRule="exact"/>
        <w:rPr>
          <w:sz w:val="10"/>
          <w:lang w:val="fr-CH"/>
        </w:rPr>
      </w:pPr>
    </w:p>
    <w:p w:rsidR="009E1416" w:rsidRPr="00891101" w:rsidRDefault="009E1416" w:rsidP="009E1416">
      <w:pPr>
        <w:pStyle w:val="SingleTxt"/>
        <w:spacing w:after="0" w:line="120" w:lineRule="exact"/>
        <w:rPr>
          <w:sz w:val="10"/>
          <w:lang w:val="fr-CH"/>
        </w:rPr>
      </w:pPr>
    </w:p>
    <w:p w:rsidR="009E1416" w:rsidRDefault="009E1416" w:rsidP="009E14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Communication de l’expert du Canada</w:t>
      </w:r>
      <w:r w:rsidRPr="009E1416">
        <w:rPr>
          <w:rStyle w:val="FootnoteReference"/>
          <w:b w:val="0"/>
          <w:sz w:val="20"/>
          <w:szCs w:val="20"/>
          <w:lang w:val="fr-CH"/>
        </w:rPr>
        <w:footnoteReference w:id="1"/>
      </w:r>
    </w:p>
    <w:p w:rsidR="009E1416" w:rsidRPr="00891101" w:rsidRDefault="009E1416" w:rsidP="009E1416">
      <w:pPr>
        <w:pStyle w:val="SingleTxt"/>
        <w:spacing w:after="0" w:line="120" w:lineRule="exact"/>
        <w:rPr>
          <w:sz w:val="10"/>
          <w:lang w:val="fr-CH"/>
        </w:rPr>
      </w:pPr>
    </w:p>
    <w:p w:rsidR="009E1416" w:rsidRPr="00891101" w:rsidRDefault="009E1416" w:rsidP="009E1416">
      <w:pPr>
        <w:pStyle w:val="SingleTxt"/>
        <w:spacing w:after="0" w:line="120" w:lineRule="exact"/>
        <w:rPr>
          <w:sz w:val="10"/>
          <w:lang w:val="fr-CH"/>
        </w:rPr>
      </w:pPr>
    </w:p>
    <w:p w:rsidR="009E1416" w:rsidRDefault="009E1416" w:rsidP="009E14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Introduction</w:t>
      </w:r>
    </w:p>
    <w:p w:rsidR="009E1416" w:rsidRPr="00891101" w:rsidRDefault="009E1416" w:rsidP="009E1416">
      <w:pPr>
        <w:pStyle w:val="SingleTxt"/>
        <w:spacing w:after="0" w:line="120" w:lineRule="exact"/>
        <w:rPr>
          <w:sz w:val="10"/>
          <w:lang w:val="fr-CH"/>
        </w:rPr>
      </w:pPr>
    </w:p>
    <w:p w:rsidR="009E1416" w:rsidRPr="00891101" w:rsidRDefault="009E1416" w:rsidP="009E1416">
      <w:pPr>
        <w:pStyle w:val="SingleTxt"/>
        <w:spacing w:after="0" w:line="120" w:lineRule="exact"/>
        <w:rPr>
          <w:sz w:val="10"/>
          <w:lang w:val="fr-CH"/>
        </w:rPr>
      </w:pPr>
    </w:p>
    <w:p w:rsidR="009E1416" w:rsidRDefault="009E1416" w:rsidP="009E1416">
      <w:pPr>
        <w:pStyle w:val="SingleTxt"/>
        <w:numPr>
          <w:ilvl w:val="0"/>
          <w:numId w:val="6"/>
        </w:numPr>
        <w:tabs>
          <w:tab w:val="clear" w:pos="475"/>
          <w:tab w:val="num" w:pos="1742"/>
        </w:tabs>
        <w:ind w:left="1267"/>
        <w:rPr>
          <w:lang w:val="fr-CH"/>
        </w:rPr>
      </w:pPr>
      <w:r>
        <w:rPr>
          <w:lang w:val="fr-CH"/>
        </w:rPr>
        <w:t xml:space="preserve">À la trente-septième session du Sous-Comité, le Canada a soumis une analyse de la procédure actuellement en vigueur pour </w:t>
      </w:r>
      <w:r w:rsidR="003C51A6">
        <w:rPr>
          <w:lang w:val="fr-CH"/>
        </w:rPr>
        <w:t xml:space="preserve">le </w:t>
      </w:r>
      <w:r>
        <w:rPr>
          <w:lang w:val="fr-CH"/>
        </w:rPr>
        <w:t xml:space="preserve">classement </w:t>
      </w:r>
      <w:r w:rsidR="003C51A6">
        <w:rPr>
          <w:lang w:val="fr-CH"/>
        </w:rPr>
        <w:t xml:space="preserve">d’une matière </w:t>
      </w:r>
      <w:r>
        <w:rPr>
          <w:lang w:val="fr-CH"/>
        </w:rPr>
        <w:t xml:space="preserve">dans la Division 1.4 </w:t>
      </w:r>
      <w:r w:rsidR="003C51A6">
        <w:rPr>
          <w:lang w:val="fr-CH"/>
        </w:rPr>
        <w:t>(</w:t>
      </w:r>
      <w:r>
        <w:rPr>
          <w:lang w:val="fr-CH"/>
        </w:rPr>
        <w:t>document INF.40</w:t>
      </w:r>
      <w:r w:rsidR="003C51A6">
        <w:rPr>
          <w:lang w:val="fr-CH"/>
        </w:rPr>
        <w:t>)</w:t>
      </w:r>
      <w:r>
        <w:rPr>
          <w:lang w:val="fr-CH"/>
        </w:rPr>
        <w:t xml:space="preserve">. Cette analyse comprenait des exemples d’objets contenant des quantités significatives d’explosifs qui pourraient désormais </w:t>
      </w:r>
      <w:r w:rsidR="003C51A6">
        <w:rPr>
          <w:lang w:val="fr-CH"/>
        </w:rPr>
        <w:t xml:space="preserve">être </w:t>
      </w:r>
      <w:r>
        <w:rPr>
          <w:lang w:val="fr-CH"/>
        </w:rPr>
        <w:t>classés dans la Division 1.4 (</w:t>
      </w:r>
      <w:r w:rsidR="0075671F">
        <w:rPr>
          <w:lang w:val="fr-CH"/>
        </w:rPr>
        <w:t>hors le groupe de compatibilité</w:t>
      </w:r>
      <w:r>
        <w:rPr>
          <w:lang w:val="fr-CH"/>
        </w:rPr>
        <w:t xml:space="preserve"> S) sur la base des séries d’</w:t>
      </w:r>
      <w:r w:rsidR="0075671F">
        <w:rPr>
          <w:lang w:val="fr-CH"/>
        </w:rPr>
        <w:t>épreuves</w:t>
      </w:r>
      <w:r>
        <w:rPr>
          <w:lang w:val="fr-CH"/>
        </w:rPr>
        <w:t xml:space="preserve"> 6 a) à 6 c) </w:t>
      </w:r>
      <w:r w:rsidR="0075671F">
        <w:rPr>
          <w:lang w:val="fr-CH"/>
        </w:rPr>
        <w:t>et</w:t>
      </w:r>
      <w:r>
        <w:rPr>
          <w:lang w:val="fr-CH"/>
        </w:rPr>
        <w:t xml:space="preserve"> présent</w:t>
      </w:r>
      <w:r w:rsidR="00E54021">
        <w:rPr>
          <w:lang w:val="fr-CH"/>
        </w:rPr>
        <w:t>a</w:t>
      </w:r>
      <w:r>
        <w:rPr>
          <w:lang w:val="fr-CH"/>
        </w:rPr>
        <w:t xml:space="preserve">nt plus que des dangers mineurs au cas où ils viendraient à </w:t>
      </w:r>
      <w:r w:rsidR="0075671F">
        <w:rPr>
          <w:lang w:val="fr-CH"/>
        </w:rPr>
        <w:t>être amorcés</w:t>
      </w:r>
      <w:r>
        <w:rPr>
          <w:lang w:val="fr-CH"/>
        </w:rPr>
        <w:t xml:space="preserve">. Comme cela est résumé dans le document INF.73 (trente-septième session), le Groupe de travail des explosifs a décidé que des critères d’examen supplémentaires pour </w:t>
      </w:r>
      <w:r w:rsidR="0075671F">
        <w:rPr>
          <w:lang w:val="fr-CH"/>
        </w:rPr>
        <w:t xml:space="preserve">le classement dans </w:t>
      </w:r>
      <w:r>
        <w:rPr>
          <w:lang w:val="fr-CH"/>
        </w:rPr>
        <w:t xml:space="preserve">Division </w:t>
      </w:r>
      <w:r w:rsidR="00F46B5F">
        <w:rPr>
          <w:lang w:val="fr-CH"/>
        </w:rPr>
        <w:t>1.</w:t>
      </w:r>
      <w:r>
        <w:rPr>
          <w:lang w:val="fr-CH"/>
        </w:rPr>
        <w:t xml:space="preserve">4 pourraient être nécessaires </w:t>
      </w:r>
      <w:r w:rsidR="0075671F">
        <w:rPr>
          <w:lang w:val="fr-CH"/>
        </w:rPr>
        <w:t>et il a donc encouragé</w:t>
      </w:r>
      <w:r>
        <w:rPr>
          <w:lang w:val="fr-CH"/>
        </w:rPr>
        <w:t xml:space="preserve"> la présentation d’une proposition.</w:t>
      </w:r>
    </w:p>
    <w:p w:rsidR="009E1416" w:rsidRDefault="009E1416" w:rsidP="009E1416">
      <w:pPr>
        <w:pStyle w:val="SingleTxt"/>
        <w:numPr>
          <w:ilvl w:val="0"/>
          <w:numId w:val="6"/>
        </w:numPr>
        <w:tabs>
          <w:tab w:val="clear" w:pos="475"/>
          <w:tab w:val="num" w:pos="1742"/>
        </w:tabs>
        <w:ind w:left="1267"/>
        <w:rPr>
          <w:lang w:val="fr-CH"/>
        </w:rPr>
      </w:pPr>
      <w:r>
        <w:rPr>
          <w:lang w:val="fr-CH"/>
        </w:rPr>
        <w:t>L’expert du Canada propose d’ajouter à la série d’</w:t>
      </w:r>
      <w:r w:rsidR="0075671F">
        <w:rPr>
          <w:lang w:val="fr-CH"/>
        </w:rPr>
        <w:t>épreuves</w:t>
      </w:r>
      <w:r>
        <w:rPr>
          <w:lang w:val="fr-CH"/>
        </w:rPr>
        <w:t xml:space="preserve"> 6 d) des critères d’examen afin de garantir que les articles qui n’ont pas été </w:t>
      </w:r>
      <w:r w:rsidR="0075671F">
        <w:rPr>
          <w:lang w:val="fr-CH"/>
        </w:rPr>
        <w:t>affectés</w:t>
      </w:r>
      <w:r>
        <w:rPr>
          <w:lang w:val="fr-CH"/>
        </w:rPr>
        <w:t xml:space="preserve"> aux Divisions 1.1, 1.2, et 1.3</w:t>
      </w:r>
      <w:r w:rsidR="0075671F">
        <w:rPr>
          <w:lang w:val="fr-CH"/>
        </w:rPr>
        <w:t xml:space="preserve"> et ne soient pas affectés </w:t>
      </w:r>
      <w:r>
        <w:rPr>
          <w:lang w:val="fr-CH"/>
        </w:rPr>
        <w:t>par défaut à la Division 1.4</w:t>
      </w:r>
      <w:r w:rsidR="0075671F">
        <w:rPr>
          <w:lang w:val="fr-CH"/>
        </w:rPr>
        <w:t xml:space="preserve">, outre que </w:t>
      </w:r>
      <w:r>
        <w:rPr>
          <w:lang w:val="fr-CH"/>
        </w:rPr>
        <w:t xml:space="preserve">son objet initial </w:t>
      </w:r>
      <w:r w:rsidR="0075671F">
        <w:rPr>
          <w:lang w:val="fr-CH"/>
        </w:rPr>
        <w:t xml:space="preserve">est </w:t>
      </w:r>
      <w:r>
        <w:rPr>
          <w:lang w:val="fr-CH"/>
        </w:rPr>
        <w:t xml:space="preserve">de garantir que les matières soient correctement </w:t>
      </w:r>
      <w:r w:rsidR="0075671F">
        <w:rPr>
          <w:lang w:val="fr-CH"/>
        </w:rPr>
        <w:t>affectées</w:t>
      </w:r>
      <w:r>
        <w:rPr>
          <w:lang w:val="fr-CH"/>
        </w:rPr>
        <w:t xml:space="preserve"> au </w:t>
      </w:r>
      <w:r w:rsidR="0075671F">
        <w:rPr>
          <w:lang w:val="fr-CH"/>
        </w:rPr>
        <w:t>g</w:t>
      </w:r>
      <w:r>
        <w:rPr>
          <w:lang w:val="fr-CH"/>
        </w:rPr>
        <w:t>roupe de compatibilité S.</w:t>
      </w:r>
    </w:p>
    <w:p w:rsidR="009E1416" w:rsidRDefault="009E1416" w:rsidP="009E1416">
      <w:pPr>
        <w:pStyle w:val="SingleTxt"/>
        <w:numPr>
          <w:ilvl w:val="0"/>
          <w:numId w:val="6"/>
        </w:numPr>
        <w:tabs>
          <w:tab w:val="clear" w:pos="475"/>
          <w:tab w:val="num" w:pos="1742"/>
        </w:tabs>
        <w:ind w:left="1267"/>
        <w:rPr>
          <w:lang w:val="fr-CH"/>
        </w:rPr>
      </w:pPr>
      <w:r>
        <w:rPr>
          <w:lang w:val="fr-CH"/>
        </w:rPr>
        <w:t>L</w:t>
      </w:r>
      <w:r w:rsidR="0075671F">
        <w:rPr>
          <w:lang w:val="fr-CH"/>
        </w:rPr>
        <w:t>’</w:t>
      </w:r>
      <w:r>
        <w:rPr>
          <w:lang w:val="fr-CH"/>
        </w:rPr>
        <w:t>apparei</w:t>
      </w:r>
      <w:r w:rsidR="0075671F">
        <w:rPr>
          <w:lang w:val="fr-CH"/>
        </w:rPr>
        <w:t>llage</w:t>
      </w:r>
      <w:r>
        <w:rPr>
          <w:lang w:val="fr-CH"/>
        </w:rPr>
        <w:t xml:space="preserve"> et l</w:t>
      </w:r>
      <w:r w:rsidR="0075671F">
        <w:rPr>
          <w:lang w:val="fr-CH"/>
        </w:rPr>
        <w:t>es matériels</w:t>
      </w:r>
      <w:r>
        <w:rPr>
          <w:lang w:val="fr-CH"/>
        </w:rPr>
        <w:t xml:space="preserve"> prévus dans la série d’</w:t>
      </w:r>
      <w:r w:rsidR="0075671F">
        <w:rPr>
          <w:lang w:val="fr-CH"/>
        </w:rPr>
        <w:t>épreuves</w:t>
      </w:r>
      <w:r>
        <w:rPr>
          <w:lang w:val="fr-CH"/>
        </w:rPr>
        <w:t xml:space="preserve"> 6 d) nécessiteraient des modifications afin de déterminer </w:t>
      </w:r>
      <w:r w:rsidR="0075671F">
        <w:rPr>
          <w:lang w:val="fr-CH"/>
        </w:rPr>
        <w:t xml:space="preserve">la </w:t>
      </w:r>
      <w:r>
        <w:rPr>
          <w:lang w:val="fr-CH"/>
        </w:rPr>
        <w:t xml:space="preserve">pression </w:t>
      </w:r>
      <w:r w:rsidR="0075671F">
        <w:rPr>
          <w:lang w:val="fr-CH"/>
        </w:rPr>
        <w:t>de choc</w:t>
      </w:r>
      <w:r>
        <w:rPr>
          <w:lang w:val="fr-CH"/>
        </w:rPr>
        <w:t>.</w:t>
      </w:r>
    </w:p>
    <w:p w:rsidR="009E1416" w:rsidRDefault="009E1416" w:rsidP="009E1416">
      <w:pPr>
        <w:pStyle w:val="SingleTxt"/>
        <w:numPr>
          <w:ilvl w:val="0"/>
          <w:numId w:val="6"/>
        </w:numPr>
        <w:tabs>
          <w:tab w:val="clear" w:pos="475"/>
          <w:tab w:val="num" w:pos="1742"/>
        </w:tabs>
        <w:ind w:left="1267"/>
        <w:rPr>
          <w:lang w:val="fr-CH"/>
        </w:rPr>
      </w:pPr>
      <w:r>
        <w:rPr>
          <w:lang w:val="fr-CH"/>
        </w:rPr>
        <w:lastRenderedPageBreak/>
        <w:t>Les critères d’examen supplémentaires proposés sont conformes à certains des critères de la série d’épreuve</w:t>
      </w:r>
      <w:r w:rsidR="00F46B5F">
        <w:rPr>
          <w:lang w:val="fr-CH"/>
        </w:rPr>
        <w:t>s</w:t>
      </w:r>
      <w:r>
        <w:rPr>
          <w:lang w:val="fr-CH"/>
        </w:rPr>
        <w:t xml:space="preserve"> 6 c) pour l’affectation d’une matière à la Division 1.4 et à un groupe de compatibilité autre que le </w:t>
      </w:r>
      <w:r w:rsidR="0075671F">
        <w:rPr>
          <w:lang w:val="fr-CH"/>
        </w:rPr>
        <w:t>g</w:t>
      </w:r>
      <w:r>
        <w:rPr>
          <w:lang w:val="fr-CH"/>
        </w:rPr>
        <w:t xml:space="preserve">roupe </w:t>
      </w:r>
      <w:r w:rsidR="0075671F">
        <w:rPr>
          <w:lang w:val="fr-CH"/>
        </w:rPr>
        <w:t>de c</w:t>
      </w:r>
      <w:r w:rsidR="00EE6795">
        <w:rPr>
          <w:lang w:val="fr-CH"/>
        </w:rPr>
        <w:t>o</w:t>
      </w:r>
      <w:r w:rsidR="0075671F">
        <w:rPr>
          <w:lang w:val="fr-CH"/>
        </w:rPr>
        <w:t xml:space="preserve">mpatibilité </w:t>
      </w:r>
      <w:r>
        <w:rPr>
          <w:lang w:val="fr-CH"/>
        </w:rPr>
        <w:t>S.</w:t>
      </w:r>
    </w:p>
    <w:p w:rsidR="009E1416" w:rsidRDefault="0075671F" w:rsidP="0075671F">
      <w:pPr>
        <w:pStyle w:val="SingleTxt"/>
        <w:numPr>
          <w:ilvl w:val="0"/>
          <w:numId w:val="6"/>
        </w:numPr>
        <w:tabs>
          <w:tab w:val="clear" w:pos="475"/>
          <w:tab w:val="num" w:pos="1742"/>
        </w:tabs>
        <w:ind w:left="1267"/>
        <w:rPr>
          <w:lang w:val="fr-CH"/>
        </w:rPr>
      </w:pPr>
      <w:r>
        <w:rPr>
          <w:lang w:val="fr-CH"/>
        </w:rPr>
        <w:t xml:space="preserve">Par analogie avec </w:t>
      </w:r>
      <w:r w:rsidR="009E1416">
        <w:rPr>
          <w:lang w:val="fr-CH"/>
        </w:rPr>
        <w:t>l’actuelle série d’épreuve</w:t>
      </w:r>
      <w:r>
        <w:rPr>
          <w:lang w:val="fr-CH"/>
        </w:rPr>
        <w:t>s</w:t>
      </w:r>
      <w:r w:rsidR="009E1416">
        <w:rPr>
          <w:lang w:val="fr-CH"/>
        </w:rPr>
        <w:t xml:space="preserve"> 6 d), il est proposé de limiter les critères supplémentaires d’examen </w:t>
      </w:r>
      <w:r>
        <w:rPr>
          <w:lang w:val="fr-CH"/>
        </w:rPr>
        <w:t xml:space="preserve">aux </w:t>
      </w:r>
      <w:r w:rsidR="009E1416">
        <w:rPr>
          <w:lang w:val="fr-CH"/>
        </w:rPr>
        <w:t>rubriques</w:t>
      </w:r>
      <w:r>
        <w:rPr>
          <w:lang w:val="fr-CH"/>
        </w:rPr>
        <w:t xml:space="preserve"> préoccupantes</w:t>
      </w:r>
      <w:r w:rsidR="009E1416">
        <w:rPr>
          <w:lang w:val="fr-CH"/>
        </w:rPr>
        <w:t>.</w:t>
      </w:r>
    </w:p>
    <w:p w:rsidR="009E1416" w:rsidRPr="00D12AC7" w:rsidRDefault="009E1416" w:rsidP="009E1416">
      <w:pPr>
        <w:pStyle w:val="SingleTxt"/>
        <w:spacing w:after="0" w:line="120" w:lineRule="exact"/>
        <w:rPr>
          <w:sz w:val="10"/>
          <w:lang w:val="fr-CH"/>
        </w:rPr>
      </w:pPr>
    </w:p>
    <w:p w:rsidR="009E1416" w:rsidRPr="00D12AC7" w:rsidRDefault="009E1416" w:rsidP="009E1416">
      <w:pPr>
        <w:pStyle w:val="SingleTxt"/>
        <w:spacing w:after="0" w:line="120" w:lineRule="exact"/>
        <w:rPr>
          <w:sz w:val="10"/>
          <w:lang w:val="fr-CH"/>
        </w:rPr>
      </w:pPr>
    </w:p>
    <w:p w:rsidR="009E1416" w:rsidRDefault="009E1416" w:rsidP="009E14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w:t>
      </w:r>
    </w:p>
    <w:p w:rsidR="009E1416" w:rsidRPr="00D12AC7" w:rsidRDefault="009E1416" w:rsidP="009E1416">
      <w:pPr>
        <w:pStyle w:val="SingleTxt"/>
        <w:spacing w:after="0" w:line="120" w:lineRule="exact"/>
        <w:rPr>
          <w:sz w:val="10"/>
          <w:lang w:val="fr-CH"/>
        </w:rPr>
      </w:pPr>
    </w:p>
    <w:p w:rsidR="009E1416" w:rsidRPr="00D12AC7" w:rsidRDefault="009E1416" w:rsidP="009E1416">
      <w:pPr>
        <w:pStyle w:val="SingleTxt"/>
        <w:spacing w:after="0" w:line="120" w:lineRule="exact"/>
        <w:rPr>
          <w:sz w:val="10"/>
          <w:lang w:val="fr-CH"/>
        </w:rPr>
      </w:pPr>
    </w:p>
    <w:p w:rsidR="009E1416" w:rsidRDefault="009E1416" w:rsidP="009E1416">
      <w:pPr>
        <w:pStyle w:val="SingleTxt"/>
        <w:numPr>
          <w:ilvl w:val="0"/>
          <w:numId w:val="6"/>
        </w:numPr>
        <w:tabs>
          <w:tab w:val="clear" w:pos="475"/>
          <w:tab w:val="num" w:pos="1742"/>
        </w:tabs>
        <w:ind w:left="1267"/>
      </w:pPr>
      <w:r>
        <w:rPr>
          <w:lang w:val="fr-CH"/>
        </w:rPr>
        <w:t xml:space="preserve">Modifier la Section 16.7 (telle qu’elle apparaît dans le </w:t>
      </w:r>
      <w:r w:rsidR="0075671F">
        <w:t>ST/SG/AC.10/11/Rev.5 tel qu’amendé par</w:t>
      </w:r>
      <w:r>
        <w:t xml:space="preserve"> le ST/SG/AC.10/42/Add.2)</w:t>
      </w:r>
      <w:r w:rsidR="0075671F">
        <w:t>,</w:t>
      </w:r>
      <w:r>
        <w:t xml:space="preserve"> comme suit :</w:t>
      </w:r>
    </w:p>
    <w:p w:rsidR="009E1416" w:rsidRDefault="009E1416" w:rsidP="009E1416">
      <w:pPr>
        <w:pStyle w:val="SingleTxt"/>
        <w:rPr>
          <w:b/>
        </w:rPr>
      </w:pPr>
      <w:r>
        <w:rPr>
          <w:b/>
        </w:rPr>
        <w:t>16.7</w:t>
      </w:r>
      <w:r>
        <w:rPr>
          <w:b/>
        </w:rPr>
        <w:tab/>
      </w:r>
      <w:r>
        <w:rPr>
          <w:b/>
        </w:rPr>
        <w:tab/>
      </w:r>
      <w:r w:rsidR="003C51A6">
        <w:rPr>
          <w:b/>
        </w:rPr>
        <w:tab/>
      </w:r>
      <w:r>
        <w:rPr>
          <w:b/>
        </w:rPr>
        <w:t>Série 6, type d) : dispositions d’épreuve</w:t>
      </w:r>
    </w:p>
    <w:p w:rsidR="009E1416" w:rsidRDefault="009E1416" w:rsidP="009E1416">
      <w:pPr>
        <w:pStyle w:val="SingleTxt"/>
        <w:rPr>
          <w:b/>
        </w:rPr>
      </w:pPr>
      <w:r>
        <w:rPr>
          <w:b/>
        </w:rPr>
        <w:t>16.7.1</w:t>
      </w:r>
      <w:r>
        <w:rPr>
          <w:b/>
        </w:rPr>
        <w:tab/>
      </w:r>
      <w:r w:rsidR="003C51A6">
        <w:rPr>
          <w:b/>
        </w:rPr>
        <w:tab/>
      </w:r>
      <w:r>
        <w:rPr>
          <w:b/>
        </w:rPr>
        <w:t>Épreuve 6 d) : épreuve sur un colis sans confinement</w:t>
      </w:r>
    </w:p>
    <w:p w:rsidR="009E1416" w:rsidRDefault="009E1416" w:rsidP="009E1416">
      <w:pPr>
        <w:pStyle w:val="SingleTxt"/>
      </w:pPr>
      <w:r>
        <w:t>16.7.1.1</w:t>
      </w:r>
      <w:r>
        <w:tab/>
      </w:r>
      <w:r w:rsidR="003C51A6">
        <w:tab/>
      </w:r>
      <w:r>
        <w:t>Introduction</w:t>
      </w:r>
    </w:p>
    <w:p w:rsidR="009E1416" w:rsidRDefault="003C51A6" w:rsidP="003C51A6">
      <w:pPr>
        <w:pStyle w:val="SingleTxt"/>
        <w:ind w:left="2693" w:hanging="1426"/>
      </w:pPr>
      <w:r>
        <w:tab/>
      </w:r>
      <w:r w:rsidR="009E1416">
        <w:tab/>
      </w:r>
      <w:r>
        <w:tab/>
      </w:r>
      <w:r w:rsidR="009E1416">
        <w:t xml:space="preserve">Il s’agit d’une épreuve exécutée sur un seul colis en vue de déterminer </w:t>
      </w:r>
      <w:r w:rsidR="009E1416">
        <w:rPr>
          <w:i/>
          <w:u w:val="single"/>
        </w:rPr>
        <w:t>s’il présente un danger significatif pendant le transport et</w:t>
      </w:r>
      <w:r w:rsidR="009E1416">
        <w:t xml:space="preserve"> si une inflammation accidentelle ou un amorçage accidentel </w:t>
      </w:r>
      <w:r w:rsidR="0075671F">
        <w:t xml:space="preserve">du </w:t>
      </w:r>
      <w:r w:rsidR="009E1416">
        <w:t>contenu entraîne des effets dangereux à l’extérieur du colis.</w:t>
      </w:r>
    </w:p>
    <w:p w:rsidR="009E1416" w:rsidRDefault="009E1416" w:rsidP="009E1416">
      <w:pPr>
        <w:pStyle w:val="SingleTxt"/>
        <w:ind w:left="2693" w:hanging="1426"/>
      </w:pPr>
      <w:r>
        <w:t>16.7.1.2</w:t>
      </w:r>
      <w:r>
        <w:tab/>
      </w:r>
      <w:r w:rsidR="003C51A6">
        <w:tab/>
      </w:r>
      <w:r w:rsidR="0075671F">
        <w:t>Appareillage</w:t>
      </w:r>
      <w:r>
        <w:t xml:space="preserve"> et matériels</w:t>
      </w:r>
    </w:p>
    <w:p w:rsidR="009E1416" w:rsidRDefault="009E1416" w:rsidP="009E1416">
      <w:pPr>
        <w:pStyle w:val="SingleTxt"/>
        <w:ind w:left="2693" w:hanging="1426"/>
      </w:pPr>
      <w:r>
        <w:tab/>
      </w:r>
      <w:r>
        <w:tab/>
      </w:r>
      <w:r w:rsidR="003C51A6">
        <w:tab/>
      </w:r>
      <w:r>
        <w:t>Les éléments nécessaires sont les suivants :</w:t>
      </w:r>
    </w:p>
    <w:p w:rsidR="009E1416" w:rsidRDefault="009E1416" w:rsidP="003C51A6">
      <w:pPr>
        <w:pStyle w:val="SingleTxt"/>
        <w:ind w:left="3182" w:hanging="1915"/>
        <w:rPr>
          <w:i/>
        </w:rPr>
      </w:pPr>
      <w:r>
        <w:tab/>
      </w:r>
      <w:r>
        <w:tab/>
      </w:r>
      <w:r w:rsidR="003C51A6">
        <w:tab/>
      </w:r>
      <w:r>
        <w:t>a)</w:t>
      </w:r>
      <w:r>
        <w:tab/>
        <w:t xml:space="preserve">Un détonateur pour amorcer la matière ou l’objet ou un </w:t>
      </w:r>
      <w:proofErr w:type="spellStart"/>
      <w:r>
        <w:t>inflammateur</w:t>
      </w:r>
      <w:proofErr w:type="spellEnd"/>
      <w:r>
        <w:t xml:space="preserve"> juste suffisant pour assurer l’inflammation </w:t>
      </w:r>
      <w:r w:rsidR="0075671F">
        <w:t xml:space="preserve">de la matière ou </w:t>
      </w:r>
      <w:r>
        <w:t xml:space="preserve">de l’objet (voir 16.7.1.3.2); </w:t>
      </w:r>
      <w:r w:rsidRPr="00576E6A">
        <w:rPr>
          <w:i/>
          <w:strike/>
        </w:rPr>
        <w:t>et</w:t>
      </w:r>
    </w:p>
    <w:p w:rsidR="009E1416" w:rsidRDefault="003C51A6" w:rsidP="003C51A6">
      <w:pPr>
        <w:pStyle w:val="SingleTxt"/>
        <w:ind w:left="3182" w:hanging="1915"/>
      </w:pPr>
      <w:r>
        <w:tab/>
      </w:r>
      <w:r w:rsidR="009E1416">
        <w:tab/>
      </w:r>
      <w:r w:rsidR="009E1416">
        <w:tab/>
        <w:t>b)</w:t>
      </w:r>
      <w:r w:rsidR="009E1416">
        <w:tab/>
        <w:t xml:space="preserve">Une tôle d’acier doux de 3 mm d’épaisseur qui servira de plaque témoin; </w:t>
      </w:r>
      <w:r w:rsidR="009E1416" w:rsidRPr="00576E6A">
        <w:rPr>
          <w:u w:val="single"/>
        </w:rPr>
        <w:t>et</w:t>
      </w:r>
      <w:r w:rsidR="009E1416">
        <w:t xml:space="preserve"> </w:t>
      </w:r>
    </w:p>
    <w:p w:rsidR="009E1416" w:rsidRDefault="003C51A6" w:rsidP="003C51A6">
      <w:pPr>
        <w:pStyle w:val="SingleTxt"/>
        <w:ind w:left="3182" w:hanging="1915"/>
      </w:pPr>
      <w:r>
        <w:tab/>
      </w:r>
      <w:r w:rsidR="009E1416">
        <w:tab/>
      </w:r>
      <w:r w:rsidR="009E1416">
        <w:tab/>
        <w:t>c)</w:t>
      </w:r>
      <w:r w:rsidR="009E1416">
        <w:tab/>
      </w:r>
      <w:r w:rsidR="009E1416">
        <w:rPr>
          <w:i/>
          <w:u w:val="single"/>
        </w:rPr>
        <w:t xml:space="preserve">Une sonde ou un capteur de pression </w:t>
      </w:r>
      <w:r w:rsidR="0075671F">
        <w:rPr>
          <w:i/>
          <w:u w:val="single"/>
        </w:rPr>
        <w:t>de choc capable de traiter les signaux</w:t>
      </w:r>
      <w:r w:rsidR="009E1416">
        <w:rPr>
          <w:i/>
          <w:u w:val="single"/>
        </w:rPr>
        <w:t xml:space="preserve"> et un enregistreur. Un équipement vidéo peut être utilisé.</w:t>
      </w:r>
    </w:p>
    <w:p w:rsidR="009E1416" w:rsidRDefault="009E1416" w:rsidP="009E1416">
      <w:pPr>
        <w:pStyle w:val="SingleTxt"/>
        <w:ind w:left="2693" w:hanging="1426"/>
      </w:pPr>
      <w:r>
        <w:t>16.7.1.3</w:t>
      </w:r>
      <w:r>
        <w:tab/>
      </w:r>
      <w:r w:rsidR="003C51A6">
        <w:tab/>
      </w:r>
      <w:r>
        <w:t>Mode opératoire</w:t>
      </w:r>
    </w:p>
    <w:p w:rsidR="009E1416" w:rsidRDefault="009E1416" w:rsidP="009E1416">
      <w:pPr>
        <w:pStyle w:val="SingleTxt"/>
        <w:ind w:left="2693" w:hanging="1426"/>
      </w:pPr>
      <w:r>
        <w:t>16.7.1.3.1</w:t>
      </w:r>
      <w:r w:rsidR="003C51A6">
        <w:tab/>
      </w:r>
      <w:r>
        <w:tab/>
        <w:t>L’épreuve est exécutée sur les colis d’objets explosifs dans l’état et sous la forme où ils sont présentés au transport. Lorsque les objets explosifs doivent être transportés sans emballage, les épreuves doivent être effectuées sur les objets non emballés. Le choix d’une excitation par amorçage ou par inflammation se fait en fonction des considération</w:t>
      </w:r>
      <w:r w:rsidR="00F46B5F">
        <w:t>s</w:t>
      </w:r>
      <w:r>
        <w:t xml:space="preserve"> ci-dessous :</w:t>
      </w:r>
    </w:p>
    <w:p w:rsidR="009E1416" w:rsidRDefault="009E1416" w:rsidP="009E1416">
      <w:pPr>
        <w:pStyle w:val="SingleTxt"/>
        <w:ind w:left="2693" w:hanging="1426"/>
        <w:rPr>
          <w:lang w:val="fr-CH"/>
        </w:rPr>
      </w:pPr>
      <w:r>
        <w:rPr>
          <w:lang w:val="fr-CH"/>
        </w:rPr>
        <w:t>16.7.1.3.2</w:t>
      </w:r>
      <w:r w:rsidR="003C51A6">
        <w:rPr>
          <w:lang w:val="fr-CH"/>
        </w:rPr>
        <w:tab/>
      </w:r>
      <w:r>
        <w:rPr>
          <w:lang w:val="fr-CH"/>
        </w:rPr>
        <w:tab/>
        <w:t>Pour les objets emballés :</w:t>
      </w:r>
    </w:p>
    <w:p w:rsidR="009E1416" w:rsidRDefault="009E1416" w:rsidP="009E1416">
      <w:pPr>
        <w:pStyle w:val="SingleTxt"/>
        <w:ind w:left="3182" w:hanging="1915"/>
        <w:rPr>
          <w:lang w:val="fr-CH"/>
        </w:rPr>
      </w:pPr>
      <w:r>
        <w:rPr>
          <w:lang w:val="fr-CH"/>
        </w:rPr>
        <w:tab/>
      </w:r>
      <w:r>
        <w:rPr>
          <w:lang w:val="fr-CH"/>
        </w:rPr>
        <w:tab/>
      </w:r>
      <w:r>
        <w:rPr>
          <w:lang w:val="fr-CH"/>
        </w:rPr>
        <w:tab/>
        <w:t>a)</w:t>
      </w:r>
      <w:r>
        <w:rPr>
          <w:lang w:val="fr-CH"/>
        </w:rPr>
        <w:tab/>
        <w:t>Objets pourvus de leur propre dispositif d’amorçage ou d’inflammation :</w:t>
      </w:r>
    </w:p>
    <w:p w:rsidR="009E1416" w:rsidRDefault="009E1416" w:rsidP="009E1416">
      <w:pPr>
        <w:pStyle w:val="SingleTxt"/>
        <w:ind w:left="3182" w:hanging="1915"/>
        <w:rPr>
          <w:lang w:val="fr-CH"/>
        </w:rPr>
      </w:pPr>
      <w:r>
        <w:rPr>
          <w:lang w:val="fr-CH"/>
        </w:rPr>
        <w:tab/>
      </w:r>
      <w:r>
        <w:rPr>
          <w:lang w:val="fr-CH"/>
        </w:rPr>
        <w:tab/>
      </w:r>
      <w:r>
        <w:rPr>
          <w:lang w:val="fr-CH"/>
        </w:rPr>
        <w:tab/>
      </w:r>
      <w:r>
        <w:rPr>
          <w:lang w:val="fr-CH"/>
        </w:rPr>
        <w:tab/>
        <w:t xml:space="preserve">Le fonctionnement d’un objet </w:t>
      </w:r>
      <w:r w:rsidR="0075671F">
        <w:rPr>
          <w:lang w:val="fr-CH"/>
        </w:rPr>
        <w:t>près</w:t>
      </w:r>
      <w:r>
        <w:rPr>
          <w:lang w:val="fr-CH"/>
        </w:rPr>
        <w:t xml:space="preserve"> du centre du colis est provoqué au moyen de son propre dispositif d’amorçage ou d’inflammation. Si cela n’est pas faisable, ce dernier est remplacé par un autre dispositif d’excitation ayant l’effet requis;</w:t>
      </w:r>
    </w:p>
    <w:p w:rsidR="009E1416" w:rsidRDefault="009E1416" w:rsidP="009E1416">
      <w:pPr>
        <w:pStyle w:val="SingleTxt"/>
        <w:ind w:left="3182" w:hanging="1915"/>
        <w:rPr>
          <w:lang w:val="fr-CH"/>
        </w:rPr>
      </w:pPr>
      <w:r>
        <w:rPr>
          <w:lang w:val="fr-CH"/>
        </w:rPr>
        <w:tab/>
      </w:r>
      <w:r>
        <w:rPr>
          <w:lang w:val="fr-CH"/>
        </w:rPr>
        <w:tab/>
      </w:r>
      <w:r>
        <w:rPr>
          <w:lang w:val="fr-CH"/>
        </w:rPr>
        <w:tab/>
        <w:t>b)</w:t>
      </w:r>
      <w:r>
        <w:rPr>
          <w:lang w:val="fr-CH"/>
        </w:rPr>
        <w:tab/>
        <w:t>Objets non pourvus de leur propre dispositif d’amorçage ou d’inflammation :</w:t>
      </w:r>
    </w:p>
    <w:p w:rsidR="009E1416" w:rsidRDefault="009E1416" w:rsidP="009E1416">
      <w:pPr>
        <w:pStyle w:val="SingleTxt"/>
        <w:ind w:left="3658" w:hanging="2391"/>
        <w:rPr>
          <w:lang w:val="fr-CH"/>
        </w:rPr>
      </w:pPr>
      <w:r>
        <w:rPr>
          <w:lang w:val="fr-CH"/>
        </w:rPr>
        <w:tab/>
      </w:r>
      <w:r>
        <w:rPr>
          <w:lang w:val="fr-CH"/>
        </w:rPr>
        <w:tab/>
      </w:r>
      <w:r>
        <w:rPr>
          <w:lang w:val="fr-CH"/>
        </w:rPr>
        <w:tab/>
      </w:r>
      <w:r>
        <w:rPr>
          <w:lang w:val="fr-CH"/>
        </w:rPr>
        <w:tab/>
        <w:t>i)</w:t>
      </w:r>
      <w:r>
        <w:rPr>
          <w:lang w:val="fr-CH"/>
        </w:rPr>
        <w:tab/>
        <w:t>On fait fonctionner l’objet près du centre du colis, de la manière prévue; ou</w:t>
      </w:r>
    </w:p>
    <w:p w:rsidR="009E1416" w:rsidRDefault="009E1416" w:rsidP="009E1416">
      <w:pPr>
        <w:pStyle w:val="SingleTxt"/>
        <w:ind w:left="3658" w:hanging="2391"/>
        <w:rPr>
          <w:lang w:val="fr-CH"/>
        </w:rPr>
      </w:pPr>
      <w:r>
        <w:rPr>
          <w:lang w:val="fr-CH"/>
        </w:rPr>
        <w:lastRenderedPageBreak/>
        <w:tab/>
      </w:r>
      <w:r>
        <w:rPr>
          <w:lang w:val="fr-CH"/>
        </w:rPr>
        <w:tab/>
      </w:r>
      <w:r>
        <w:rPr>
          <w:lang w:val="fr-CH"/>
        </w:rPr>
        <w:tab/>
      </w:r>
      <w:r>
        <w:rPr>
          <w:lang w:val="fr-CH"/>
        </w:rPr>
        <w:tab/>
        <w:t>ii)</w:t>
      </w:r>
      <w:r>
        <w:rPr>
          <w:lang w:val="fr-CH"/>
        </w:rPr>
        <w:tab/>
        <w:t>On remplace un objet près du centre du colis par un autre objet que l’on peut faire fonctionner avec le même effet.</w:t>
      </w:r>
    </w:p>
    <w:p w:rsidR="009E1416" w:rsidRPr="00D518E9" w:rsidRDefault="009E1416" w:rsidP="009E1416">
      <w:pPr>
        <w:pStyle w:val="SingleTxt"/>
        <w:ind w:left="2693" w:hanging="1426"/>
        <w:rPr>
          <w:lang w:val="fr-CH"/>
        </w:rPr>
      </w:pPr>
      <w:r w:rsidRPr="00D518E9">
        <w:rPr>
          <w:lang w:val="fr-CH"/>
        </w:rPr>
        <w:t>16.7.1.3.3</w:t>
      </w:r>
      <w:r w:rsidR="003C51A6">
        <w:rPr>
          <w:lang w:val="fr-CH"/>
        </w:rPr>
        <w:tab/>
      </w:r>
      <w:r w:rsidRPr="00D518E9">
        <w:rPr>
          <w:lang w:val="fr-CH"/>
        </w:rPr>
        <w:tab/>
        <w:t>Le colis est placé sur une plaque témoin en acier posé</w:t>
      </w:r>
      <w:r w:rsidR="0075671F">
        <w:rPr>
          <w:lang w:val="fr-CH"/>
        </w:rPr>
        <w:t>e</w:t>
      </w:r>
      <w:r w:rsidRPr="00D518E9">
        <w:rPr>
          <w:lang w:val="fr-CH"/>
        </w:rPr>
        <w:t xml:space="preserve"> au sol sans confinement.</w:t>
      </w:r>
    </w:p>
    <w:p w:rsidR="009E1416" w:rsidRPr="00D518E9" w:rsidRDefault="009E1416" w:rsidP="009E1416">
      <w:pPr>
        <w:pStyle w:val="SingleTxt"/>
        <w:ind w:left="2693" w:hanging="1426"/>
        <w:rPr>
          <w:lang w:val="fr-CH"/>
        </w:rPr>
      </w:pPr>
      <w:r w:rsidRPr="00D518E9">
        <w:rPr>
          <w:lang w:val="fr-CH"/>
        </w:rPr>
        <w:t>16.7.1.3.4</w:t>
      </w:r>
      <w:r w:rsidR="003C51A6">
        <w:rPr>
          <w:lang w:val="fr-CH"/>
        </w:rPr>
        <w:tab/>
      </w:r>
      <w:r w:rsidRPr="00D518E9">
        <w:rPr>
          <w:lang w:val="fr-CH"/>
        </w:rPr>
        <w:tab/>
        <w:t xml:space="preserve">On met à feu l’objet excitateur et l’on observe les effets suivants : bosselure ou perforation de la plaque témoin sous le colis, éclair ou flammes susceptibles d’enflammer des matériaux adjacents, rupture du colis entraînant des projections du contenu explosible ou perforation complète de l’emballage par une projection. </w:t>
      </w:r>
      <w:r w:rsidRPr="00D518E9">
        <w:rPr>
          <w:i/>
          <w:iCs/>
          <w:u w:val="single"/>
          <w:lang w:val="fr-CH"/>
        </w:rPr>
        <w:t>La pression de l’explosion doit être enregistrée</w:t>
      </w:r>
      <w:r w:rsidRPr="00F46B5F">
        <w:rPr>
          <w:u w:val="single"/>
          <w:lang w:val="fr-CH"/>
        </w:rPr>
        <w:t>.</w:t>
      </w:r>
      <w:r w:rsidRPr="00D518E9">
        <w:rPr>
          <w:lang w:val="fr-CH"/>
        </w:rPr>
        <w:t xml:space="preserve"> </w:t>
      </w:r>
      <w:r w:rsidRPr="00D518E9">
        <w:rPr>
          <w:b/>
          <w:bCs/>
          <w:lang w:val="fr-CH"/>
        </w:rPr>
        <w:t>Pour des raisons de sécurité, un certain délai d’attente, prescrit par l’organisme responsable des épreuves, doit être respecté après la mise à feu.</w:t>
      </w:r>
      <w:r w:rsidRPr="00D518E9">
        <w:rPr>
          <w:lang w:val="fr-CH"/>
        </w:rPr>
        <w:t xml:space="preserve"> Trois essais sont exécutés, dans des orientations différentes, à moins qu’un résultat déterminant ne soit observé lors du premier ou de deuxième essai. Si les résultats des trois essais recommandés ne permettent pas d’aboutir à des conclusions précises, on exécute d’autres essais.</w:t>
      </w:r>
    </w:p>
    <w:p w:rsidR="009E1416" w:rsidRPr="00D518E9" w:rsidRDefault="009E1416" w:rsidP="009E1416">
      <w:pPr>
        <w:pStyle w:val="SingleTxt"/>
        <w:ind w:left="1742" w:hanging="475"/>
        <w:rPr>
          <w:lang w:val="fr-CH"/>
        </w:rPr>
      </w:pPr>
      <w:r w:rsidRPr="00D518E9">
        <w:rPr>
          <w:lang w:val="fr-CH"/>
        </w:rPr>
        <w:t>16.7.1.4</w:t>
      </w:r>
      <w:r w:rsidRPr="00D518E9">
        <w:rPr>
          <w:lang w:val="fr-CH"/>
        </w:rPr>
        <w:tab/>
      </w:r>
      <w:r w:rsidR="003C51A6">
        <w:rPr>
          <w:lang w:val="fr-CH"/>
        </w:rPr>
        <w:tab/>
      </w:r>
      <w:r w:rsidRPr="00D518E9">
        <w:rPr>
          <w:lang w:val="fr-CH"/>
        </w:rPr>
        <w:t>Critères d’épreuve et méthodes d’évaluation des résultats</w:t>
      </w:r>
    </w:p>
    <w:p w:rsidR="009E1416" w:rsidRPr="00D518E9" w:rsidRDefault="009E1416" w:rsidP="009E1416">
      <w:pPr>
        <w:pStyle w:val="SingleTxt"/>
        <w:ind w:left="2693" w:hanging="1426"/>
        <w:rPr>
          <w:i/>
          <w:iCs/>
          <w:u w:val="single"/>
          <w:lang w:val="fr-CH"/>
        </w:rPr>
      </w:pPr>
      <w:r w:rsidRPr="00D518E9">
        <w:rPr>
          <w:i/>
          <w:iCs/>
          <w:u w:val="single"/>
          <w:lang w:val="fr-CH"/>
        </w:rPr>
        <w:t>16.7.1.4.1</w:t>
      </w:r>
      <w:r w:rsidR="003C51A6">
        <w:rPr>
          <w:i/>
          <w:iCs/>
          <w:u w:val="single"/>
          <w:lang w:val="fr-CH"/>
        </w:rPr>
        <w:tab/>
      </w:r>
      <w:r w:rsidRPr="00D518E9">
        <w:rPr>
          <w:i/>
          <w:iCs/>
          <w:u w:val="single"/>
          <w:lang w:val="fr-CH"/>
        </w:rPr>
        <w:tab/>
        <w:t>Aux fins du classement de la matière, les critères ci-dessous servent à répondre aux questions posées à la figure 10.3 (case 33).</w:t>
      </w:r>
    </w:p>
    <w:p w:rsidR="009E1416" w:rsidRPr="00D518E9" w:rsidRDefault="009E1416" w:rsidP="009E1416">
      <w:pPr>
        <w:pStyle w:val="SingleTxt"/>
        <w:ind w:left="2693" w:hanging="1426"/>
        <w:rPr>
          <w:i/>
          <w:iCs/>
          <w:u w:val="single"/>
          <w:lang w:val="fr-CH"/>
        </w:rPr>
      </w:pPr>
      <w:r w:rsidRPr="00D518E9">
        <w:rPr>
          <w:i/>
          <w:iCs/>
          <w:u w:val="single"/>
          <w:lang w:val="fr-CH"/>
        </w:rPr>
        <w:t>16.7.1.4.2</w:t>
      </w:r>
      <w:r w:rsidRPr="00D518E9">
        <w:rPr>
          <w:i/>
          <w:iCs/>
          <w:u w:val="single"/>
          <w:lang w:val="fr-CH"/>
        </w:rPr>
        <w:tab/>
      </w:r>
      <w:r w:rsidR="003C51A6">
        <w:rPr>
          <w:i/>
          <w:iCs/>
          <w:u w:val="single"/>
          <w:lang w:val="fr-CH"/>
        </w:rPr>
        <w:tab/>
      </w:r>
      <w:r w:rsidRPr="00D518E9">
        <w:rPr>
          <w:i/>
          <w:iCs/>
          <w:u w:val="single"/>
          <w:lang w:val="fr-CH"/>
        </w:rPr>
        <w:t>S’il ne se produit pas d’explosion de masse mais que :</w:t>
      </w:r>
    </w:p>
    <w:p w:rsidR="009E1416" w:rsidRPr="00D518E9" w:rsidRDefault="009E1416" w:rsidP="009E1416">
      <w:pPr>
        <w:pStyle w:val="SingleTxt"/>
        <w:ind w:left="3182" w:hanging="1915"/>
        <w:rPr>
          <w:i/>
          <w:iCs/>
          <w:u w:val="single"/>
          <w:lang w:val="fr-CH"/>
        </w:rPr>
      </w:pPr>
      <w:r w:rsidRPr="00D518E9">
        <w:rPr>
          <w:i/>
          <w:iCs/>
          <w:lang w:val="fr-CH"/>
        </w:rPr>
        <w:tab/>
      </w:r>
      <w:r w:rsidRPr="00D518E9">
        <w:rPr>
          <w:i/>
          <w:iCs/>
          <w:lang w:val="fr-CH"/>
        </w:rPr>
        <w:tab/>
      </w:r>
      <w:r w:rsidRPr="00D518E9">
        <w:rPr>
          <w:i/>
          <w:iCs/>
          <w:lang w:val="fr-CH"/>
        </w:rPr>
        <w:tab/>
      </w:r>
      <w:r w:rsidRPr="00D518E9">
        <w:rPr>
          <w:i/>
          <w:iCs/>
          <w:u w:val="single"/>
          <w:lang w:val="fr-CH"/>
        </w:rPr>
        <w:t>a)</w:t>
      </w:r>
      <w:r w:rsidRPr="00D518E9">
        <w:rPr>
          <w:i/>
          <w:iCs/>
          <w:u w:val="single"/>
          <w:lang w:val="fr-CH"/>
        </w:rPr>
        <w:tab/>
      </w:r>
      <w:r w:rsidR="00F46B5F">
        <w:rPr>
          <w:i/>
          <w:iCs/>
          <w:u w:val="single"/>
          <w:lang w:val="fr-CH"/>
        </w:rPr>
        <w:t>O</w:t>
      </w:r>
      <w:r w:rsidR="0075671F">
        <w:rPr>
          <w:i/>
          <w:iCs/>
          <w:u w:val="single"/>
          <w:lang w:val="fr-CH"/>
        </w:rPr>
        <w:t>n enregistre exceptionnellement une pression de choc</w:t>
      </w:r>
      <w:r w:rsidRPr="00D518E9">
        <w:rPr>
          <w:i/>
          <w:iCs/>
          <w:u w:val="single"/>
          <w:lang w:val="fr-CH"/>
        </w:rPr>
        <w:t xml:space="preserve"> de plus de 35 kPa </w:t>
      </w:r>
      <w:r w:rsidR="0075671F">
        <w:rPr>
          <w:i/>
          <w:iCs/>
          <w:u w:val="single"/>
          <w:lang w:val="fr-CH"/>
        </w:rPr>
        <w:t>dans un rayon</w:t>
      </w:r>
      <w:r w:rsidRPr="00D518E9">
        <w:rPr>
          <w:i/>
          <w:iCs/>
          <w:u w:val="single"/>
          <w:lang w:val="fr-CH"/>
        </w:rPr>
        <w:t xml:space="preserve"> de 2,5 m </w:t>
      </w:r>
      <w:r w:rsidR="0075671F">
        <w:rPr>
          <w:i/>
          <w:iCs/>
          <w:u w:val="single"/>
          <w:lang w:val="fr-CH"/>
        </w:rPr>
        <w:t xml:space="preserve">autour du centre </w:t>
      </w:r>
      <w:r w:rsidRPr="00D518E9">
        <w:rPr>
          <w:i/>
          <w:iCs/>
          <w:u w:val="single"/>
          <w:lang w:val="fr-CH"/>
        </w:rPr>
        <w:t>de l’explosion</w:t>
      </w:r>
    </w:p>
    <w:p w:rsidR="009E1416" w:rsidRPr="00D518E9" w:rsidRDefault="009E1416" w:rsidP="009E1416">
      <w:pPr>
        <w:pStyle w:val="SingleTxt"/>
        <w:ind w:left="1742" w:hanging="475"/>
        <w:rPr>
          <w:i/>
          <w:iCs/>
          <w:u w:val="single"/>
          <w:lang w:val="fr-CH"/>
        </w:rPr>
      </w:pPr>
      <w:r w:rsidRPr="00D518E9">
        <w:rPr>
          <w:i/>
          <w:iCs/>
          <w:lang w:val="fr-CH"/>
        </w:rPr>
        <w:tab/>
      </w:r>
      <w:r w:rsidRPr="00D518E9">
        <w:rPr>
          <w:i/>
          <w:iCs/>
          <w:lang w:val="fr-CH"/>
        </w:rPr>
        <w:tab/>
      </w:r>
      <w:r w:rsidRPr="00D518E9">
        <w:rPr>
          <w:i/>
          <w:iCs/>
          <w:lang w:val="fr-CH"/>
        </w:rPr>
        <w:tab/>
      </w:r>
      <w:r w:rsidRPr="00D518E9">
        <w:rPr>
          <w:i/>
          <w:iCs/>
          <w:u w:val="single"/>
          <w:lang w:val="fr-CH"/>
        </w:rPr>
        <w:t>Alors l</w:t>
      </w:r>
      <w:r w:rsidR="00EE6795">
        <w:rPr>
          <w:i/>
          <w:iCs/>
          <w:u w:val="single"/>
          <w:lang w:val="fr-CH"/>
        </w:rPr>
        <w:t>’objet</w:t>
      </w:r>
      <w:r w:rsidRPr="00D518E9">
        <w:rPr>
          <w:i/>
          <w:iCs/>
          <w:u w:val="single"/>
          <w:lang w:val="fr-CH"/>
        </w:rPr>
        <w:t xml:space="preserve"> est affecté à la Division 1.1.</w:t>
      </w:r>
    </w:p>
    <w:p w:rsidR="009E1416" w:rsidRPr="00D518E9" w:rsidRDefault="009E1416" w:rsidP="009E1416">
      <w:pPr>
        <w:pStyle w:val="SingleTxt"/>
        <w:ind w:left="2693" w:hanging="1426"/>
        <w:rPr>
          <w:i/>
          <w:iCs/>
          <w:u w:val="single"/>
          <w:lang w:val="fr-CH"/>
        </w:rPr>
      </w:pPr>
      <w:r w:rsidRPr="00D518E9">
        <w:rPr>
          <w:i/>
          <w:iCs/>
          <w:u w:val="single"/>
          <w:lang w:val="fr-CH"/>
        </w:rPr>
        <w:t>16.7.1.4.3</w:t>
      </w:r>
      <w:r w:rsidRPr="00D518E9">
        <w:rPr>
          <w:i/>
          <w:iCs/>
          <w:u w:val="single"/>
          <w:lang w:val="fr-CH"/>
        </w:rPr>
        <w:tab/>
      </w:r>
      <w:r w:rsidR="003C51A6">
        <w:rPr>
          <w:i/>
          <w:iCs/>
          <w:u w:val="single"/>
          <w:lang w:val="fr-CH"/>
        </w:rPr>
        <w:tab/>
      </w:r>
      <w:r w:rsidRPr="00D518E9">
        <w:rPr>
          <w:i/>
          <w:iCs/>
          <w:u w:val="single"/>
          <w:lang w:val="fr-CH"/>
        </w:rPr>
        <w:t xml:space="preserve">S’il ne se produit pas </w:t>
      </w:r>
      <w:r w:rsidR="00EE6795">
        <w:rPr>
          <w:i/>
          <w:iCs/>
          <w:u w:val="single"/>
          <w:lang w:val="fr-CH"/>
        </w:rPr>
        <w:t>de fait</w:t>
      </w:r>
      <w:r w:rsidRPr="00D518E9">
        <w:rPr>
          <w:i/>
          <w:iCs/>
          <w:u w:val="single"/>
          <w:lang w:val="fr-CH"/>
        </w:rPr>
        <w:t xml:space="preserve"> qui nécessiterait l’affectation d</w:t>
      </w:r>
      <w:r w:rsidR="00EE6795">
        <w:rPr>
          <w:i/>
          <w:iCs/>
          <w:u w:val="single"/>
          <w:lang w:val="fr-CH"/>
        </w:rPr>
        <w:t>e l’objet</w:t>
      </w:r>
      <w:r w:rsidRPr="00D518E9">
        <w:rPr>
          <w:i/>
          <w:iCs/>
          <w:u w:val="single"/>
          <w:lang w:val="fr-CH"/>
        </w:rPr>
        <w:t xml:space="preserve"> à la Division 1.1 ou 1.2 mais s’il se produit l’un des </w:t>
      </w:r>
      <w:r w:rsidR="00EE6795">
        <w:rPr>
          <w:i/>
          <w:iCs/>
          <w:u w:val="single"/>
          <w:lang w:val="fr-CH"/>
        </w:rPr>
        <w:t>faits</w:t>
      </w:r>
      <w:r w:rsidRPr="00D518E9">
        <w:rPr>
          <w:i/>
          <w:iCs/>
          <w:u w:val="single"/>
          <w:lang w:val="fr-CH"/>
        </w:rPr>
        <w:t xml:space="preserve"> suivants :</w:t>
      </w:r>
    </w:p>
    <w:p w:rsidR="009E1416" w:rsidRPr="00D518E9" w:rsidRDefault="009E1416" w:rsidP="009E1416">
      <w:pPr>
        <w:pStyle w:val="SingleTxt"/>
        <w:ind w:left="3182" w:hanging="1915"/>
        <w:rPr>
          <w:i/>
          <w:iCs/>
          <w:u w:val="single"/>
          <w:lang w:val="fr-CH"/>
        </w:rPr>
      </w:pPr>
      <w:r w:rsidRPr="00D518E9">
        <w:rPr>
          <w:i/>
          <w:iCs/>
          <w:lang w:val="fr-CH"/>
        </w:rPr>
        <w:tab/>
      </w:r>
      <w:r w:rsidRPr="00D518E9">
        <w:rPr>
          <w:i/>
          <w:iCs/>
          <w:lang w:val="fr-CH"/>
        </w:rPr>
        <w:tab/>
      </w:r>
      <w:r w:rsidRPr="00D518E9">
        <w:rPr>
          <w:i/>
          <w:iCs/>
          <w:lang w:val="fr-CH"/>
        </w:rPr>
        <w:tab/>
      </w:r>
      <w:r w:rsidRPr="00D518E9">
        <w:rPr>
          <w:i/>
          <w:iCs/>
          <w:u w:val="single"/>
          <w:lang w:val="fr-CH"/>
        </w:rPr>
        <w:t>a)</w:t>
      </w:r>
      <w:r w:rsidRPr="00D518E9">
        <w:rPr>
          <w:i/>
          <w:iCs/>
          <w:u w:val="single"/>
          <w:lang w:val="fr-CH"/>
        </w:rPr>
        <w:tab/>
        <w:t xml:space="preserve">Une boule de feu ou un jet de flammes s’étendant au-delà de 4 m du </w:t>
      </w:r>
      <w:r w:rsidR="00EE6795">
        <w:rPr>
          <w:i/>
          <w:iCs/>
          <w:u w:val="single"/>
          <w:lang w:val="fr-CH"/>
        </w:rPr>
        <w:t>pourtour</w:t>
      </w:r>
      <w:r w:rsidRPr="00D518E9">
        <w:rPr>
          <w:i/>
          <w:iCs/>
          <w:u w:val="single"/>
          <w:lang w:val="fr-CH"/>
        </w:rPr>
        <w:t xml:space="preserve"> du colis ou de l’objet non emballé;</w:t>
      </w:r>
    </w:p>
    <w:p w:rsidR="009E1416" w:rsidRPr="00D518E9" w:rsidRDefault="009E1416" w:rsidP="009E1416">
      <w:pPr>
        <w:pStyle w:val="SingleTxt"/>
        <w:ind w:left="3182" w:hanging="1915"/>
        <w:rPr>
          <w:i/>
          <w:iCs/>
          <w:u w:val="single"/>
          <w:lang w:val="fr-CH"/>
        </w:rPr>
      </w:pPr>
      <w:r w:rsidRPr="00D518E9">
        <w:rPr>
          <w:i/>
          <w:iCs/>
          <w:lang w:val="fr-CH"/>
        </w:rPr>
        <w:tab/>
      </w:r>
      <w:r w:rsidRPr="00D518E9">
        <w:rPr>
          <w:i/>
          <w:iCs/>
          <w:lang w:val="fr-CH"/>
        </w:rPr>
        <w:tab/>
      </w:r>
      <w:r w:rsidRPr="00D518E9">
        <w:rPr>
          <w:i/>
          <w:iCs/>
          <w:lang w:val="fr-CH"/>
        </w:rPr>
        <w:tab/>
      </w:r>
      <w:r w:rsidRPr="00D518E9">
        <w:rPr>
          <w:i/>
          <w:iCs/>
          <w:u w:val="single"/>
          <w:lang w:val="fr-CH"/>
        </w:rPr>
        <w:t>b)</w:t>
      </w:r>
      <w:r w:rsidRPr="00D518E9">
        <w:rPr>
          <w:i/>
          <w:iCs/>
          <w:u w:val="single"/>
          <w:lang w:val="fr-CH"/>
        </w:rPr>
        <w:tab/>
        <w:t>Une projection de matière enflammée provenant d</w:t>
      </w:r>
      <w:r w:rsidR="00EE6795">
        <w:rPr>
          <w:i/>
          <w:iCs/>
          <w:u w:val="single"/>
          <w:lang w:val="fr-CH"/>
        </w:rPr>
        <w:t>e l’objet</w:t>
      </w:r>
      <w:r w:rsidRPr="00D518E9">
        <w:rPr>
          <w:i/>
          <w:iCs/>
          <w:u w:val="single"/>
          <w:lang w:val="fr-CH"/>
        </w:rPr>
        <w:t xml:space="preserve"> à plus de 15 m du pourtour des colis ou des objets non emballés</w:t>
      </w:r>
    </w:p>
    <w:p w:rsidR="009E1416" w:rsidRPr="00D518E9" w:rsidRDefault="009E1416" w:rsidP="009E1416">
      <w:pPr>
        <w:pStyle w:val="SingleTxt"/>
        <w:ind w:left="1742" w:hanging="475"/>
        <w:rPr>
          <w:i/>
          <w:iCs/>
          <w:u w:val="single"/>
          <w:lang w:val="fr-CH"/>
        </w:rPr>
      </w:pPr>
      <w:r w:rsidRPr="00D518E9">
        <w:rPr>
          <w:i/>
          <w:iCs/>
          <w:lang w:val="fr-CH"/>
        </w:rPr>
        <w:tab/>
      </w:r>
      <w:r w:rsidRPr="00D518E9">
        <w:rPr>
          <w:i/>
          <w:iCs/>
          <w:lang w:val="fr-CH"/>
        </w:rPr>
        <w:tab/>
      </w:r>
      <w:r w:rsidRPr="00D518E9">
        <w:rPr>
          <w:i/>
          <w:iCs/>
          <w:lang w:val="fr-CH"/>
        </w:rPr>
        <w:tab/>
      </w:r>
      <w:r w:rsidRPr="00D518E9">
        <w:rPr>
          <w:i/>
          <w:iCs/>
          <w:u w:val="single"/>
          <w:lang w:val="fr-CH"/>
        </w:rPr>
        <w:t>Alors l</w:t>
      </w:r>
      <w:r w:rsidR="00EE6795">
        <w:rPr>
          <w:i/>
          <w:iCs/>
          <w:u w:val="single"/>
          <w:lang w:val="fr-CH"/>
        </w:rPr>
        <w:t>’objet est affecté</w:t>
      </w:r>
      <w:r w:rsidRPr="00D518E9">
        <w:rPr>
          <w:i/>
          <w:iCs/>
          <w:u w:val="single"/>
          <w:lang w:val="fr-CH"/>
        </w:rPr>
        <w:t xml:space="preserve"> à la Division 1.3.</w:t>
      </w:r>
    </w:p>
    <w:p w:rsidR="009E1416" w:rsidRPr="00D518E9" w:rsidRDefault="009E1416" w:rsidP="009E1416">
      <w:pPr>
        <w:pStyle w:val="SingleTxt"/>
        <w:ind w:left="2693" w:hanging="1426"/>
        <w:rPr>
          <w:lang w:val="fr-CH"/>
        </w:rPr>
      </w:pPr>
      <w:r w:rsidRPr="00D518E9">
        <w:rPr>
          <w:strike/>
          <w:lang w:val="fr-CH"/>
        </w:rPr>
        <w:t>16.7.1.4</w:t>
      </w:r>
      <w:r w:rsidRPr="00D518E9">
        <w:rPr>
          <w:i/>
          <w:iCs/>
          <w:u w:val="single"/>
          <w:lang w:val="fr-CH"/>
        </w:rPr>
        <w:t>16.7.1.4.4</w:t>
      </w:r>
      <w:r w:rsidRPr="00D518E9">
        <w:rPr>
          <w:i/>
          <w:iCs/>
          <w:u w:val="single"/>
          <w:lang w:val="fr-CH"/>
        </w:rPr>
        <w:tab/>
        <w:t xml:space="preserve">S’il ne se produit aucun </w:t>
      </w:r>
      <w:r w:rsidR="00EE6795">
        <w:rPr>
          <w:i/>
          <w:iCs/>
          <w:u w:val="single"/>
          <w:lang w:val="fr-CH"/>
        </w:rPr>
        <w:t>fait</w:t>
      </w:r>
      <w:r w:rsidRPr="00D518E9">
        <w:rPr>
          <w:i/>
          <w:iCs/>
          <w:u w:val="single"/>
          <w:lang w:val="fr-CH"/>
        </w:rPr>
        <w:t xml:space="preserve"> qui nécessiterait l’affectation de l</w:t>
      </w:r>
      <w:r w:rsidR="00EE6795">
        <w:rPr>
          <w:i/>
          <w:iCs/>
          <w:u w:val="single"/>
          <w:lang w:val="fr-CH"/>
        </w:rPr>
        <w:t>’objet</w:t>
      </w:r>
      <w:r w:rsidRPr="00D518E9">
        <w:rPr>
          <w:i/>
          <w:iCs/>
          <w:u w:val="single"/>
          <w:lang w:val="fr-CH"/>
        </w:rPr>
        <w:t xml:space="preserve"> à la Division 1.1, 1.2 ou 1.3, la matière est affectée à la Division 1.4.</w:t>
      </w:r>
      <w:r w:rsidRPr="00D518E9">
        <w:rPr>
          <w:lang w:val="fr-CH"/>
        </w:rPr>
        <w:t xml:space="preserve"> Pour l’inclusion dans le groupe de compatibilité S, il est exigé que tout effet dangereux résultant du fonctionnement d’objets dans cette épreuve demeure contenu dans le colis. Il y a effet dangereux à l’extérieur du colis si l’on observe l’un des faits suivants :</w:t>
      </w:r>
    </w:p>
    <w:p w:rsidR="009E1416" w:rsidRPr="00D518E9" w:rsidRDefault="009E1416" w:rsidP="009E1416">
      <w:pPr>
        <w:pStyle w:val="SingleTxt"/>
        <w:ind w:left="2218" w:hanging="951"/>
        <w:rPr>
          <w:lang w:val="fr-CH"/>
        </w:rPr>
      </w:pPr>
      <w:r w:rsidRPr="00D518E9">
        <w:rPr>
          <w:lang w:val="fr-CH"/>
        </w:rPr>
        <w:tab/>
      </w:r>
      <w:r w:rsidRPr="00D518E9">
        <w:rPr>
          <w:lang w:val="fr-CH"/>
        </w:rPr>
        <w:tab/>
      </w:r>
      <w:r w:rsidRPr="00D518E9">
        <w:rPr>
          <w:lang w:val="fr-CH"/>
        </w:rPr>
        <w:tab/>
        <w:t>a)</w:t>
      </w:r>
      <w:r w:rsidRPr="00D518E9">
        <w:rPr>
          <w:lang w:val="fr-CH"/>
        </w:rPr>
        <w:tab/>
        <w:t>Bosselure ou perforation de la plaque témoin sous le colis;</w:t>
      </w:r>
    </w:p>
    <w:p w:rsidR="009E1416" w:rsidRPr="00D518E9" w:rsidRDefault="009E1416" w:rsidP="009E1416">
      <w:pPr>
        <w:pStyle w:val="SingleTxt"/>
        <w:ind w:left="3182" w:hanging="1915"/>
        <w:rPr>
          <w:lang w:val="fr-CH"/>
        </w:rPr>
      </w:pPr>
      <w:r w:rsidRPr="00D518E9">
        <w:rPr>
          <w:lang w:val="fr-CH"/>
        </w:rPr>
        <w:tab/>
      </w:r>
      <w:r w:rsidRPr="00D518E9">
        <w:rPr>
          <w:lang w:val="fr-CH"/>
        </w:rPr>
        <w:tab/>
      </w:r>
      <w:r w:rsidRPr="00D518E9">
        <w:rPr>
          <w:lang w:val="fr-CH"/>
        </w:rPr>
        <w:tab/>
        <w:t>b)</w:t>
      </w:r>
      <w:r w:rsidRPr="00D518E9">
        <w:rPr>
          <w:lang w:val="fr-CH"/>
        </w:rPr>
        <w:tab/>
      </w:r>
      <w:r w:rsidR="00EE6795" w:rsidRPr="00D518E9">
        <w:rPr>
          <w:lang w:val="fr-CH"/>
        </w:rPr>
        <w:t>É</w:t>
      </w:r>
      <w:r w:rsidRPr="00D518E9">
        <w:rPr>
          <w:lang w:val="fr-CH"/>
        </w:rPr>
        <w:t>clair ou flamme susceptible d’enflammer des matériaux adjacents, par exemple une feuille de papier de 80 </w:t>
      </w:r>
      <w:r w:rsidRPr="00D518E9">
        <w:rPr>
          <w:lang w:val="fr-CH"/>
        </w:rPr>
        <w:sym w:font="Symbol" w:char="F0B1"/>
      </w:r>
      <w:r w:rsidRPr="00D518E9">
        <w:rPr>
          <w:lang w:val="fr-CH"/>
        </w:rPr>
        <w:t>3 g/m</w:t>
      </w:r>
      <w:r w:rsidRPr="00D518E9">
        <w:rPr>
          <w:vertAlign w:val="superscript"/>
          <w:lang w:val="fr-CH"/>
        </w:rPr>
        <w:t>2</w:t>
      </w:r>
      <w:r w:rsidRPr="00D518E9">
        <w:rPr>
          <w:lang w:val="fr-CH"/>
        </w:rPr>
        <w:t xml:space="preserve"> placée à une distance de 25 cm du colis;</w:t>
      </w:r>
    </w:p>
    <w:p w:rsidR="009E1416" w:rsidRPr="00D518E9" w:rsidRDefault="009E1416" w:rsidP="009E1416">
      <w:pPr>
        <w:pStyle w:val="SingleTxt"/>
        <w:ind w:left="3182" w:hanging="1915"/>
        <w:rPr>
          <w:lang w:val="fr-CH"/>
        </w:rPr>
      </w:pPr>
      <w:r w:rsidRPr="00D518E9">
        <w:rPr>
          <w:lang w:val="fr-CH"/>
        </w:rPr>
        <w:tab/>
      </w:r>
      <w:r w:rsidRPr="00D518E9">
        <w:rPr>
          <w:lang w:val="fr-CH"/>
        </w:rPr>
        <w:tab/>
      </w:r>
      <w:r w:rsidRPr="00D518E9">
        <w:rPr>
          <w:lang w:val="fr-CH"/>
        </w:rPr>
        <w:tab/>
        <w:t>c)</w:t>
      </w:r>
      <w:r w:rsidRPr="00D518E9">
        <w:rPr>
          <w:lang w:val="fr-CH"/>
        </w:rPr>
        <w:tab/>
        <w:t xml:space="preserve">Rupture du colis entraînant des projections du contenu explosif; ou </w:t>
      </w:r>
    </w:p>
    <w:p w:rsidR="009E1416" w:rsidRPr="00D518E9" w:rsidRDefault="009E1416" w:rsidP="009E1416">
      <w:pPr>
        <w:pStyle w:val="SingleTxt"/>
        <w:ind w:left="3182" w:hanging="1915"/>
        <w:rPr>
          <w:lang w:val="fr-CH"/>
        </w:rPr>
      </w:pPr>
      <w:r w:rsidRPr="00D518E9">
        <w:rPr>
          <w:lang w:val="fr-CH"/>
        </w:rPr>
        <w:tab/>
      </w:r>
      <w:r w:rsidRPr="00D518E9">
        <w:rPr>
          <w:lang w:val="fr-CH"/>
        </w:rPr>
        <w:tab/>
      </w:r>
      <w:r w:rsidRPr="00D518E9">
        <w:rPr>
          <w:lang w:val="fr-CH"/>
        </w:rPr>
        <w:tab/>
        <w:t>d)</w:t>
      </w:r>
      <w:r w:rsidRPr="00D518E9">
        <w:rPr>
          <w:lang w:val="fr-CH"/>
        </w:rPr>
        <w:tab/>
      </w:r>
      <w:r w:rsidR="00EE6795">
        <w:rPr>
          <w:lang w:val="fr-CH"/>
        </w:rPr>
        <w:t>P</w:t>
      </w:r>
      <w:r w:rsidRPr="00D518E9">
        <w:rPr>
          <w:lang w:val="fr-CH"/>
        </w:rPr>
        <w:t xml:space="preserve">rojections qui traversent entièrement l’emballage (les projections ou </w:t>
      </w:r>
      <w:r w:rsidR="00EE6795">
        <w:rPr>
          <w:lang w:val="fr-CH"/>
        </w:rPr>
        <w:t xml:space="preserve">les </w:t>
      </w:r>
      <w:r w:rsidRPr="00D518E9">
        <w:rPr>
          <w:lang w:val="fr-CH"/>
        </w:rPr>
        <w:t>fragments qui restent dans ou sur la paroi de l’emballage sont considérés comme non dangereux).</w:t>
      </w:r>
    </w:p>
    <w:p w:rsidR="009E1416" w:rsidRPr="00D518E9" w:rsidRDefault="003C51A6" w:rsidP="003C51A6">
      <w:pPr>
        <w:pStyle w:val="SingleTxt"/>
        <w:ind w:left="2693" w:hanging="1426"/>
        <w:rPr>
          <w:lang w:val="fr-CH"/>
        </w:rPr>
      </w:pPr>
      <w:r>
        <w:rPr>
          <w:lang w:val="fr-CH"/>
        </w:rPr>
        <w:tab/>
      </w:r>
      <w:r w:rsidR="009E1416" w:rsidRPr="00D518E9">
        <w:rPr>
          <w:lang w:val="fr-CH"/>
        </w:rPr>
        <w:tab/>
      </w:r>
      <w:r>
        <w:rPr>
          <w:lang w:val="fr-CH"/>
        </w:rPr>
        <w:tab/>
      </w:r>
      <w:r w:rsidR="009E1416" w:rsidRPr="00D518E9">
        <w:rPr>
          <w:lang w:val="fr-CH"/>
        </w:rPr>
        <w:t>Lors de l’évaluation des résultats d’épreuve, l’autorité compétente peut souhaiter tenir compte des effets imputables au dispositif d’excitation si elle estime que ces effets sont significatifs par rapport à ceux provoqués par l’objet soumis à l’épreuve. Si l’on observe des effets dangereux à l’extérieur du colis, l</w:t>
      </w:r>
      <w:r w:rsidR="00EE6795">
        <w:rPr>
          <w:lang w:val="fr-CH"/>
        </w:rPr>
        <w:t>’objet</w:t>
      </w:r>
      <w:r w:rsidR="009E1416" w:rsidRPr="00D518E9">
        <w:rPr>
          <w:lang w:val="fr-CH"/>
        </w:rPr>
        <w:t xml:space="preserve"> est alors exclu du groupe de compatibilité S.</w:t>
      </w:r>
    </w:p>
    <w:p w:rsidR="009E1416" w:rsidRPr="00D518E9" w:rsidRDefault="009E1416" w:rsidP="00EE6795">
      <w:pPr>
        <w:pStyle w:val="SingleTxt"/>
        <w:numPr>
          <w:ilvl w:val="0"/>
          <w:numId w:val="6"/>
        </w:numPr>
        <w:tabs>
          <w:tab w:val="clear" w:pos="475"/>
          <w:tab w:val="num" w:pos="1742"/>
        </w:tabs>
        <w:ind w:left="1267"/>
        <w:rPr>
          <w:lang w:val="fr-CH"/>
        </w:rPr>
      </w:pPr>
      <w:r w:rsidRPr="00D518E9">
        <w:rPr>
          <w:lang w:val="fr-CH"/>
        </w:rPr>
        <w:t>Afin de garantir que la version révisée de la série d’épreuve</w:t>
      </w:r>
      <w:r w:rsidR="00EE6795">
        <w:rPr>
          <w:lang w:val="fr-CH"/>
        </w:rPr>
        <w:t xml:space="preserve">s </w:t>
      </w:r>
      <w:r w:rsidRPr="00D518E9">
        <w:rPr>
          <w:lang w:val="fr-CH"/>
        </w:rPr>
        <w:t xml:space="preserve">6 d) soit appliquée aux rubriques ONU </w:t>
      </w:r>
      <w:r w:rsidR="00EE6795">
        <w:rPr>
          <w:lang w:val="fr-CH"/>
        </w:rPr>
        <w:t>préoccupantes</w:t>
      </w:r>
      <w:r w:rsidRPr="00D518E9">
        <w:rPr>
          <w:lang w:val="fr-CH"/>
        </w:rPr>
        <w:t xml:space="preserve">, l’expert du Canada recommande que les rubriques ci-dessous relèvent de la </w:t>
      </w:r>
      <w:r w:rsidR="00EE6795">
        <w:rPr>
          <w:lang w:val="fr-CH"/>
        </w:rPr>
        <w:t xml:space="preserve">disposition spéciale </w:t>
      </w:r>
      <w:r w:rsidR="00982B01">
        <w:rPr>
          <w:lang w:val="fr-CH"/>
        </w:rPr>
        <w:t xml:space="preserve">SP </w:t>
      </w:r>
      <w:r w:rsidRPr="00D518E9">
        <w:rPr>
          <w:lang w:val="fr-CH"/>
        </w:rPr>
        <w:t>347 :</w:t>
      </w:r>
    </w:p>
    <w:p w:rsidR="009E1416" w:rsidRPr="00D518E9" w:rsidRDefault="00EE6795" w:rsidP="009E1416">
      <w:pPr>
        <w:pStyle w:val="Bullet1"/>
        <w:jc w:val="left"/>
        <w:rPr>
          <w:lang w:val="fr-CH" w:eastAsia="en-CA"/>
        </w:rPr>
      </w:pPr>
      <w:r>
        <w:rPr>
          <w:lang w:val="fr-CH" w:eastAsia="en-CA"/>
        </w:rPr>
        <w:t>ONU</w:t>
      </w:r>
      <w:r w:rsidR="009E1416" w:rsidRPr="00D518E9">
        <w:rPr>
          <w:lang w:val="fr-CH" w:eastAsia="en-CA"/>
        </w:rPr>
        <w:t xml:space="preserve"> 0276 – CARTOUCHES POUR PYROMÉCANISMES (1.4C)</w:t>
      </w:r>
      <w:r>
        <w:rPr>
          <w:lang w:val="fr-CH" w:eastAsia="en-CA"/>
        </w:rPr>
        <w:t>;</w:t>
      </w:r>
    </w:p>
    <w:p w:rsidR="009E1416" w:rsidRPr="00D518E9" w:rsidRDefault="00EE6795" w:rsidP="009E1416">
      <w:pPr>
        <w:pStyle w:val="Bullet1"/>
        <w:jc w:val="left"/>
        <w:rPr>
          <w:lang w:val="fr-CH" w:eastAsia="en-CA"/>
        </w:rPr>
      </w:pPr>
      <w:r>
        <w:rPr>
          <w:lang w:val="fr-CH" w:eastAsia="en-CA"/>
        </w:rPr>
        <w:t>ONU</w:t>
      </w:r>
      <w:r w:rsidR="009E1416" w:rsidRPr="00D518E9">
        <w:rPr>
          <w:lang w:val="fr-CH" w:eastAsia="en-CA"/>
        </w:rPr>
        <w:t xml:space="preserve"> 0350 – OBJETS EXPLOSIFS, N.S.A. (1.4B)</w:t>
      </w:r>
      <w:r>
        <w:rPr>
          <w:lang w:val="fr-CH" w:eastAsia="en-CA"/>
        </w:rPr>
        <w:t>;</w:t>
      </w:r>
    </w:p>
    <w:p w:rsidR="009E1416" w:rsidRPr="00D518E9" w:rsidRDefault="00EE6795" w:rsidP="009E1416">
      <w:pPr>
        <w:pStyle w:val="Bullet1"/>
        <w:jc w:val="left"/>
        <w:rPr>
          <w:lang w:val="fr-CH" w:eastAsia="en-CA"/>
        </w:rPr>
      </w:pPr>
      <w:r>
        <w:rPr>
          <w:lang w:val="fr-CH" w:eastAsia="en-CA"/>
        </w:rPr>
        <w:t>ONU</w:t>
      </w:r>
      <w:r w:rsidR="009E1416" w:rsidRPr="00D518E9">
        <w:rPr>
          <w:lang w:val="fr-CH" w:eastAsia="en-CA"/>
        </w:rPr>
        <w:t xml:space="preserve"> 0351 – OBJETS EXPLOSIFS, N.S.A. (1.4C)</w:t>
      </w:r>
      <w:r>
        <w:rPr>
          <w:lang w:val="fr-CH" w:eastAsia="en-CA"/>
        </w:rPr>
        <w:t>;</w:t>
      </w:r>
    </w:p>
    <w:p w:rsidR="009E1416" w:rsidRPr="00D518E9" w:rsidRDefault="00EE6795" w:rsidP="009E1416">
      <w:pPr>
        <w:pStyle w:val="Bullet1"/>
        <w:jc w:val="left"/>
        <w:rPr>
          <w:lang w:val="fr-CH" w:eastAsia="en-CA"/>
        </w:rPr>
      </w:pPr>
      <w:r>
        <w:rPr>
          <w:lang w:val="fr-CH" w:eastAsia="en-CA"/>
        </w:rPr>
        <w:t>ONU</w:t>
      </w:r>
      <w:r w:rsidR="009E1416" w:rsidRPr="00D518E9">
        <w:rPr>
          <w:lang w:val="fr-CH" w:eastAsia="en-CA"/>
        </w:rPr>
        <w:t xml:space="preserve"> 0352 – OBJETS EXPLOSIFS, N.S.A. (1.4D)</w:t>
      </w:r>
      <w:r>
        <w:rPr>
          <w:lang w:val="fr-CH" w:eastAsia="en-CA"/>
        </w:rPr>
        <w:t>;</w:t>
      </w:r>
    </w:p>
    <w:p w:rsidR="009E1416" w:rsidRPr="00EB1197" w:rsidRDefault="00EE6795" w:rsidP="009E1416">
      <w:pPr>
        <w:pStyle w:val="Bullet1"/>
        <w:jc w:val="left"/>
        <w:rPr>
          <w:spacing w:val="0"/>
          <w:lang w:val="fr-CH" w:eastAsia="en-CA"/>
        </w:rPr>
      </w:pPr>
      <w:r w:rsidRPr="00EB1197">
        <w:rPr>
          <w:spacing w:val="0"/>
          <w:lang w:val="fr-CH" w:eastAsia="en-CA"/>
        </w:rPr>
        <w:t>ONU</w:t>
      </w:r>
      <w:r w:rsidR="009E1416" w:rsidRPr="00EB1197">
        <w:rPr>
          <w:spacing w:val="0"/>
          <w:lang w:val="fr-CH" w:eastAsia="en-CA"/>
        </w:rPr>
        <w:t xml:space="preserve"> 0444 – CHARGES EXPLOSIVES INDUSTRIELLES sans détonateur (1.4D)</w:t>
      </w:r>
      <w:r w:rsidRPr="00EB1197">
        <w:rPr>
          <w:spacing w:val="0"/>
          <w:lang w:val="fr-CH" w:eastAsia="en-CA"/>
        </w:rPr>
        <w:t>;</w:t>
      </w:r>
    </w:p>
    <w:p w:rsidR="009E1416" w:rsidRPr="00D518E9" w:rsidRDefault="00EE6795" w:rsidP="009E1416">
      <w:pPr>
        <w:pStyle w:val="Bullet1"/>
        <w:jc w:val="left"/>
        <w:rPr>
          <w:lang w:val="fr-CH" w:eastAsia="en-CA"/>
        </w:rPr>
      </w:pPr>
      <w:r>
        <w:rPr>
          <w:lang w:val="fr-CH" w:eastAsia="en-CA"/>
        </w:rPr>
        <w:t>ONU</w:t>
      </w:r>
      <w:r w:rsidR="009E1416" w:rsidRPr="00D518E9">
        <w:rPr>
          <w:lang w:val="fr-CH" w:eastAsia="en-CA"/>
        </w:rPr>
        <w:t xml:space="preserve"> 0472 – OBJETS EXPLOSIFS, N.S.A. (1.4F)</w:t>
      </w:r>
      <w:r>
        <w:rPr>
          <w:lang w:val="fr-CH" w:eastAsia="en-CA"/>
        </w:rPr>
        <w:t>;</w:t>
      </w:r>
    </w:p>
    <w:p w:rsidR="009E1416" w:rsidRPr="00D518E9" w:rsidRDefault="00EE6795" w:rsidP="009E1416">
      <w:pPr>
        <w:pStyle w:val="Bullet1"/>
        <w:jc w:val="left"/>
        <w:rPr>
          <w:lang w:val="fr-CH" w:eastAsia="en-CA"/>
        </w:rPr>
      </w:pPr>
      <w:r>
        <w:rPr>
          <w:lang w:val="fr-CH" w:eastAsia="en-CA"/>
        </w:rPr>
        <w:t>ONU</w:t>
      </w:r>
      <w:r w:rsidR="009E1416" w:rsidRPr="00D518E9">
        <w:rPr>
          <w:lang w:val="fr-CH" w:eastAsia="en-CA"/>
        </w:rPr>
        <w:t xml:space="preserve"> 0479 – MATIÈRES EXPLOSIVES, N.S.A. (1.4C)</w:t>
      </w:r>
      <w:r>
        <w:rPr>
          <w:lang w:val="fr-CH" w:eastAsia="en-CA"/>
        </w:rPr>
        <w:t>;</w:t>
      </w:r>
    </w:p>
    <w:p w:rsidR="009E1416" w:rsidRPr="00D518E9" w:rsidRDefault="00EE6795" w:rsidP="009E1416">
      <w:pPr>
        <w:pStyle w:val="Bullet1"/>
        <w:jc w:val="left"/>
        <w:rPr>
          <w:lang w:val="fr-CH" w:eastAsia="en-CA"/>
        </w:rPr>
      </w:pPr>
      <w:r>
        <w:rPr>
          <w:lang w:val="fr-CH" w:eastAsia="en-CA"/>
        </w:rPr>
        <w:t>ONU</w:t>
      </w:r>
      <w:r w:rsidR="009E1416" w:rsidRPr="00D518E9">
        <w:rPr>
          <w:lang w:val="fr-CH" w:eastAsia="en-CA"/>
        </w:rPr>
        <w:t xml:space="preserve"> 0480 – MATIÈRES EXPLOSIVES, N.S.A. (1.4D)</w:t>
      </w:r>
      <w:r>
        <w:rPr>
          <w:lang w:val="fr-CH" w:eastAsia="en-CA"/>
        </w:rPr>
        <w:t>.</w:t>
      </w:r>
    </w:p>
    <w:p w:rsidR="00EF3956" w:rsidRPr="00EE6795" w:rsidRDefault="00EE6795" w:rsidP="00EE6795">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F3956" w:rsidRPr="00EE6795" w:rsidSect="00EF3956">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20T11:52:00Z" w:initials="Start">
    <w:p w:rsidR="00EF3956" w:rsidRPr="009E1416" w:rsidRDefault="00EF3956">
      <w:pPr>
        <w:pStyle w:val="CommentText"/>
        <w:rPr>
          <w:lang w:val="en-US"/>
        </w:rPr>
      </w:pPr>
      <w:r>
        <w:fldChar w:fldCharType="begin"/>
      </w:r>
      <w:r w:rsidRPr="009E1416">
        <w:rPr>
          <w:rStyle w:val="CommentReference"/>
          <w:lang w:val="en-US"/>
        </w:rPr>
        <w:instrText xml:space="preserve"> </w:instrText>
      </w:r>
      <w:r w:rsidRPr="009E1416">
        <w:rPr>
          <w:lang w:val="en-US"/>
        </w:rPr>
        <w:instrText>PAGE \# "'Page: '#'</w:instrText>
      </w:r>
      <w:r w:rsidRPr="009E1416">
        <w:rPr>
          <w:lang w:val="en-US"/>
        </w:rPr>
        <w:br/>
        <w:instrText>'"</w:instrText>
      </w:r>
      <w:r w:rsidRPr="009E1416">
        <w:rPr>
          <w:rStyle w:val="CommentReference"/>
          <w:lang w:val="en-US"/>
        </w:rPr>
        <w:instrText xml:space="preserve"> </w:instrText>
      </w:r>
      <w:r>
        <w:fldChar w:fldCharType="end"/>
      </w:r>
      <w:r>
        <w:rPr>
          <w:rStyle w:val="CommentReference"/>
        </w:rPr>
        <w:annotationRef/>
      </w:r>
      <w:r w:rsidRPr="009E1416">
        <w:rPr>
          <w:lang w:val="en-US"/>
        </w:rPr>
        <w:t>&lt;&lt;ODS JOB NO&gt;&gt;N1519992F&lt;&lt;ODS JOB NO&gt;&gt;</w:t>
      </w:r>
    </w:p>
    <w:p w:rsidR="00EF3956" w:rsidRPr="009E1416" w:rsidRDefault="00EF3956">
      <w:pPr>
        <w:pStyle w:val="CommentText"/>
        <w:rPr>
          <w:lang w:val="en-US"/>
        </w:rPr>
      </w:pPr>
      <w:r w:rsidRPr="009E1416">
        <w:rPr>
          <w:lang w:val="en-US"/>
        </w:rPr>
        <w:t>&lt;&lt;ODS DOC SYMBOL1&gt;&gt;ST/SG/AC.10/C.3/2015/40&lt;&lt;ODS DOC SYMBOL1&gt;&gt;</w:t>
      </w:r>
    </w:p>
    <w:p w:rsidR="00EF3956" w:rsidRDefault="00EF39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CC" w:rsidRDefault="008251CC" w:rsidP="00F3330B">
      <w:pPr>
        <w:spacing w:line="240" w:lineRule="auto"/>
      </w:pPr>
      <w:r>
        <w:separator/>
      </w:r>
    </w:p>
  </w:endnote>
  <w:endnote w:type="continuationSeparator" w:id="0">
    <w:p w:rsidR="008251CC" w:rsidRDefault="008251C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F3956" w:rsidTr="00EF3956">
      <w:trPr>
        <w:jc w:val="center"/>
      </w:trPr>
      <w:tc>
        <w:tcPr>
          <w:tcW w:w="5088" w:type="dxa"/>
          <w:shd w:val="clear" w:color="auto" w:fill="auto"/>
        </w:tcPr>
        <w:p w:rsidR="00EF3956" w:rsidRPr="00EF3956" w:rsidRDefault="00EF3956" w:rsidP="00EF395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5246">
            <w:rPr>
              <w:b w:val="0"/>
              <w:w w:val="103"/>
              <w:sz w:val="14"/>
            </w:rPr>
            <w:t>GE.15-15001</w:t>
          </w:r>
          <w:r>
            <w:rPr>
              <w:b w:val="0"/>
              <w:w w:val="103"/>
              <w:sz w:val="14"/>
            </w:rPr>
            <w:fldChar w:fldCharType="end"/>
          </w:r>
        </w:p>
      </w:tc>
      <w:tc>
        <w:tcPr>
          <w:tcW w:w="5089" w:type="dxa"/>
          <w:shd w:val="clear" w:color="auto" w:fill="auto"/>
        </w:tcPr>
        <w:p w:rsidR="00EF3956" w:rsidRPr="00EF3956" w:rsidRDefault="00EF3956" w:rsidP="00EF3956">
          <w:pPr>
            <w:pStyle w:val="Footer"/>
            <w:rPr>
              <w:w w:val="103"/>
            </w:rPr>
          </w:pPr>
          <w:r>
            <w:rPr>
              <w:w w:val="103"/>
            </w:rPr>
            <w:fldChar w:fldCharType="begin"/>
          </w:r>
          <w:r>
            <w:rPr>
              <w:w w:val="103"/>
            </w:rPr>
            <w:instrText xml:space="preserve"> PAGE  \* Arabic  \* MERGEFORMAT </w:instrText>
          </w:r>
          <w:r>
            <w:rPr>
              <w:w w:val="103"/>
            </w:rPr>
            <w:fldChar w:fldCharType="separate"/>
          </w:r>
          <w:r w:rsidR="00295246">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5246">
            <w:rPr>
              <w:noProof/>
              <w:w w:val="103"/>
            </w:rPr>
            <w:t>4</w:t>
          </w:r>
          <w:r>
            <w:rPr>
              <w:w w:val="103"/>
            </w:rPr>
            <w:fldChar w:fldCharType="end"/>
          </w:r>
        </w:p>
      </w:tc>
    </w:tr>
  </w:tbl>
  <w:p w:rsidR="00EF3956" w:rsidRPr="00EF3956" w:rsidRDefault="00EF3956" w:rsidP="00EF3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F3956" w:rsidTr="00EF3956">
      <w:trPr>
        <w:jc w:val="center"/>
      </w:trPr>
      <w:tc>
        <w:tcPr>
          <w:tcW w:w="5088" w:type="dxa"/>
          <w:shd w:val="clear" w:color="auto" w:fill="auto"/>
        </w:tcPr>
        <w:p w:rsidR="00EF3956" w:rsidRPr="00EF3956" w:rsidRDefault="00EF3956" w:rsidP="00EF395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95246">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5246">
            <w:rPr>
              <w:noProof/>
              <w:w w:val="103"/>
            </w:rPr>
            <w:t>4</w:t>
          </w:r>
          <w:r>
            <w:rPr>
              <w:w w:val="103"/>
            </w:rPr>
            <w:fldChar w:fldCharType="end"/>
          </w:r>
        </w:p>
      </w:tc>
      <w:tc>
        <w:tcPr>
          <w:tcW w:w="5089" w:type="dxa"/>
          <w:shd w:val="clear" w:color="auto" w:fill="auto"/>
        </w:tcPr>
        <w:p w:rsidR="00EF3956" w:rsidRPr="00EF3956" w:rsidRDefault="00EF3956" w:rsidP="00EF395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5246">
            <w:rPr>
              <w:b w:val="0"/>
              <w:w w:val="103"/>
              <w:sz w:val="14"/>
            </w:rPr>
            <w:t>GE.15-15001</w:t>
          </w:r>
          <w:r>
            <w:rPr>
              <w:b w:val="0"/>
              <w:w w:val="103"/>
              <w:sz w:val="14"/>
            </w:rPr>
            <w:fldChar w:fldCharType="end"/>
          </w:r>
        </w:p>
      </w:tc>
    </w:tr>
  </w:tbl>
  <w:p w:rsidR="00EF3956" w:rsidRPr="00EF3956" w:rsidRDefault="00EF3956" w:rsidP="00EF3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56" w:rsidRDefault="00EF3956">
    <w:pPr>
      <w:pStyle w:val="Footer"/>
    </w:pPr>
    <w:r>
      <w:rPr>
        <w:noProof/>
        <w:lang w:val="en-GB" w:eastAsia="en-GB"/>
      </w:rPr>
      <w:drawing>
        <wp:anchor distT="0" distB="0" distL="114300" distR="114300" simplePos="0" relativeHeight="251658240" behindDoc="0" locked="0" layoutInCell="1" allowOverlap="1" wp14:anchorId="0F1630FC" wp14:editId="6161F4A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F3956" w:rsidTr="00EF3956">
      <w:tc>
        <w:tcPr>
          <w:tcW w:w="3859" w:type="dxa"/>
        </w:tcPr>
        <w:p w:rsidR="00EF3956" w:rsidRDefault="00EF3956" w:rsidP="00EF39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95246">
            <w:rPr>
              <w:b w:val="0"/>
              <w:sz w:val="20"/>
            </w:rPr>
            <w:t>GE.15-15001 (F)</w:t>
          </w:r>
          <w:r>
            <w:rPr>
              <w:b w:val="0"/>
              <w:sz w:val="20"/>
            </w:rPr>
            <w:fldChar w:fldCharType="end"/>
          </w:r>
          <w:r>
            <w:rPr>
              <w:b w:val="0"/>
              <w:sz w:val="20"/>
            </w:rPr>
            <w:t xml:space="preserve">    201115    201115</w:t>
          </w:r>
        </w:p>
        <w:p w:rsidR="00EF3956" w:rsidRPr="00EF3956" w:rsidRDefault="00EF3956" w:rsidP="00EF395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95246">
            <w:rPr>
              <w:rFonts w:ascii="Barcode 3 of 9 by request" w:hAnsi="Barcode 3 of 9 by request"/>
              <w:b w:val="0"/>
              <w:spacing w:val="0"/>
              <w:w w:val="100"/>
              <w:sz w:val="24"/>
            </w:rPr>
            <w:t>*1515001*</w:t>
          </w:r>
          <w:r>
            <w:rPr>
              <w:rFonts w:ascii="Barcode 3 of 9 by request" w:hAnsi="Barcode 3 of 9 by request"/>
              <w:b w:val="0"/>
              <w:spacing w:val="0"/>
              <w:w w:val="100"/>
              <w:sz w:val="24"/>
            </w:rPr>
            <w:fldChar w:fldCharType="end"/>
          </w:r>
        </w:p>
      </w:tc>
      <w:tc>
        <w:tcPr>
          <w:tcW w:w="5089" w:type="dxa"/>
        </w:tcPr>
        <w:p w:rsidR="00EF3956" w:rsidRDefault="00EF3956" w:rsidP="00EF3956">
          <w:pPr>
            <w:pStyle w:val="Footer"/>
            <w:spacing w:line="240" w:lineRule="atLeast"/>
            <w:jc w:val="right"/>
            <w:rPr>
              <w:b w:val="0"/>
              <w:sz w:val="20"/>
            </w:rPr>
          </w:pPr>
          <w:r>
            <w:rPr>
              <w:b w:val="0"/>
              <w:noProof/>
              <w:sz w:val="20"/>
              <w:lang w:val="en-GB" w:eastAsia="en-GB"/>
            </w:rPr>
            <w:drawing>
              <wp:inline distT="0" distB="0" distL="0" distR="0" wp14:anchorId="05F3CB51" wp14:editId="74CBA6A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F3956" w:rsidRPr="00EF3956" w:rsidRDefault="00EF3956" w:rsidP="00EF395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CC" w:rsidRPr="009E1416" w:rsidRDefault="009E1416" w:rsidP="009E1416">
      <w:pPr>
        <w:pStyle w:val="Footer"/>
        <w:spacing w:after="80"/>
        <w:ind w:left="792"/>
        <w:rPr>
          <w:sz w:val="16"/>
        </w:rPr>
      </w:pPr>
      <w:r w:rsidRPr="009E1416">
        <w:rPr>
          <w:sz w:val="16"/>
        </w:rPr>
        <w:t>__________________</w:t>
      </w:r>
    </w:p>
  </w:footnote>
  <w:footnote w:type="continuationSeparator" w:id="0">
    <w:p w:rsidR="008251CC" w:rsidRPr="009E1416" w:rsidRDefault="009E1416" w:rsidP="009E1416">
      <w:pPr>
        <w:pStyle w:val="Footer"/>
        <w:spacing w:after="80"/>
        <w:ind w:left="792"/>
        <w:rPr>
          <w:sz w:val="16"/>
        </w:rPr>
      </w:pPr>
      <w:r w:rsidRPr="009E1416">
        <w:rPr>
          <w:sz w:val="16"/>
        </w:rPr>
        <w:t>__________________</w:t>
      </w:r>
    </w:p>
  </w:footnote>
  <w:footnote w:id="1">
    <w:p w:rsidR="009E1416" w:rsidRPr="00891101" w:rsidRDefault="009E1416" w:rsidP="009E1416">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Conformément au programme de travail du Sous-Comité pour 2015-2016, adopté par le Comité à sa septième session (voir ST/SG/AC.10/C.3/92, par. 95</w:t>
      </w:r>
      <w:r w:rsidR="003C51A6">
        <w:t>,</w:t>
      </w:r>
      <w:r>
        <w:t xml:space="preserve">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F3956" w:rsidTr="00EF3956">
      <w:trPr>
        <w:trHeight w:hRule="exact" w:val="864"/>
        <w:jc w:val="center"/>
      </w:trPr>
      <w:tc>
        <w:tcPr>
          <w:tcW w:w="4882" w:type="dxa"/>
          <w:shd w:val="clear" w:color="auto" w:fill="auto"/>
          <w:vAlign w:val="bottom"/>
        </w:tcPr>
        <w:p w:rsidR="00EF3956" w:rsidRPr="00EF3956" w:rsidRDefault="00EF3956" w:rsidP="00EF39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5246">
            <w:rPr>
              <w:b/>
              <w:color w:val="000000"/>
            </w:rPr>
            <w:t>ST/SG/AC.10/C.3/2015/40</w:t>
          </w:r>
          <w:r>
            <w:rPr>
              <w:b/>
              <w:color w:val="000000"/>
            </w:rPr>
            <w:fldChar w:fldCharType="end"/>
          </w:r>
        </w:p>
      </w:tc>
      <w:tc>
        <w:tcPr>
          <w:tcW w:w="5089" w:type="dxa"/>
          <w:shd w:val="clear" w:color="auto" w:fill="auto"/>
          <w:vAlign w:val="bottom"/>
        </w:tcPr>
        <w:p w:rsidR="00EF3956" w:rsidRDefault="00EF3956" w:rsidP="00EF3956">
          <w:pPr>
            <w:pStyle w:val="Header"/>
          </w:pPr>
        </w:p>
      </w:tc>
    </w:tr>
  </w:tbl>
  <w:p w:rsidR="00EF3956" w:rsidRPr="00EF3956" w:rsidRDefault="00EF3956" w:rsidP="00EF39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F3956" w:rsidTr="00EF3956">
      <w:trPr>
        <w:trHeight w:hRule="exact" w:val="864"/>
        <w:jc w:val="center"/>
      </w:trPr>
      <w:tc>
        <w:tcPr>
          <w:tcW w:w="4882" w:type="dxa"/>
          <w:shd w:val="clear" w:color="auto" w:fill="auto"/>
          <w:vAlign w:val="bottom"/>
        </w:tcPr>
        <w:p w:rsidR="00EF3956" w:rsidRDefault="00EF3956" w:rsidP="00EF3956">
          <w:pPr>
            <w:pStyle w:val="Header"/>
          </w:pPr>
        </w:p>
      </w:tc>
      <w:tc>
        <w:tcPr>
          <w:tcW w:w="5089" w:type="dxa"/>
          <w:shd w:val="clear" w:color="auto" w:fill="auto"/>
          <w:vAlign w:val="bottom"/>
        </w:tcPr>
        <w:p w:rsidR="00EF3956" w:rsidRPr="00EF3956" w:rsidRDefault="00EF3956" w:rsidP="00EF39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5246">
            <w:rPr>
              <w:b/>
              <w:color w:val="000000"/>
            </w:rPr>
            <w:t>ST/SG/AC.10/C.3/2015/40</w:t>
          </w:r>
          <w:r>
            <w:rPr>
              <w:b/>
              <w:color w:val="000000"/>
            </w:rPr>
            <w:fldChar w:fldCharType="end"/>
          </w:r>
        </w:p>
      </w:tc>
    </w:tr>
  </w:tbl>
  <w:p w:rsidR="00EF3956" w:rsidRPr="00EF3956" w:rsidRDefault="00EF3956" w:rsidP="00EF39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F3956" w:rsidTr="00EF3956">
      <w:trPr>
        <w:trHeight w:hRule="exact" w:val="864"/>
      </w:trPr>
      <w:tc>
        <w:tcPr>
          <w:tcW w:w="1267" w:type="dxa"/>
          <w:tcBorders>
            <w:bottom w:val="single" w:sz="4" w:space="0" w:color="auto"/>
          </w:tcBorders>
          <w:shd w:val="clear" w:color="auto" w:fill="auto"/>
          <w:vAlign w:val="bottom"/>
        </w:tcPr>
        <w:p w:rsidR="00EF3956" w:rsidRDefault="00EF3956" w:rsidP="00EF3956">
          <w:pPr>
            <w:pStyle w:val="Header"/>
            <w:spacing w:after="120"/>
          </w:pPr>
        </w:p>
      </w:tc>
      <w:tc>
        <w:tcPr>
          <w:tcW w:w="2059" w:type="dxa"/>
          <w:tcBorders>
            <w:bottom w:val="single" w:sz="4" w:space="0" w:color="auto"/>
          </w:tcBorders>
          <w:shd w:val="clear" w:color="auto" w:fill="auto"/>
          <w:vAlign w:val="bottom"/>
        </w:tcPr>
        <w:p w:rsidR="00EF3956" w:rsidRPr="00EF3956" w:rsidRDefault="00EF3956" w:rsidP="00EF395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F3956" w:rsidRDefault="00EF3956" w:rsidP="00EF3956">
          <w:pPr>
            <w:pStyle w:val="Header"/>
            <w:spacing w:after="120"/>
          </w:pPr>
        </w:p>
      </w:tc>
      <w:tc>
        <w:tcPr>
          <w:tcW w:w="6653" w:type="dxa"/>
          <w:gridSpan w:val="4"/>
          <w:tcBorders>
            <w:bottom w:val="single" w:sz="4" w:space="0" w:color="auto"/>
          </w:tcBorders>
          <w:shd w:val="clear" w:color="auto" w:fill="auto"/>
          <w:vAlign w:val="bottom"/>
        </w:tcPr>
        <w:p w:rsidR="00EF3956" w:rsidRPr="00EF3956" w:rsidRDefault="00EF3956" w:rsidP="00EF3956">
          <w:pPr>
            <w:spacing w:after="80" w:line="240" w:lineRule="auto"/>
            <w:jc w:val="right"/>
            <w:rPr>
              <w:position w:val="-4"/>
            </w:rPr>
          </w:pPr>
          <w:r>
            <w:rPr>
              <w:position w:val="-4"/>
              <w:sz w:val="40"/>
            </w:rPr>
            <w:t>ST</w:t>
          </w:r>
          <w:r>
            <w:rPr>
              <w:position w:val="-4"/>
            </w:rPr>
            <w:t>/SG/AC.10/C.3/2015/40</w:t>
          </w:r>
        </w:p>
      </w:tc>
    </w:tr>
    <w:tr w:rsidR="00EF3956" w:rsidRPr="00EF3956" w:rsidTr="00EF3956">
      <w:trPr>
        <w:gridAfter w:val="1"/>
        <w:wAfter w:w="18" w:type="dxa"/>
        <w:trHeight w:hRule="exact" w:val="2880"/>
      </w:trPr>
      <w:tc>
        <w:tcPr>
          <w:tcW w:w="1267" w:type="dxa"/>
          <w:tcBorders>
            <w:top w:val="single" w:sz="4" w:space="0" w:color="auto"/>
            <w:bottom w:val="single" w:sz="12" w:space="0" w:color="auto"/>
          </w:tcBorders>
          <w:shd w:val="clear" w:color="auto" w:fill="auto"/>
        </w:tcPr>
        <w:p w:rsidR="00EF3956" w:rsidRPr="00EF3956" w:rsidRDefault="00EF3956" w:rsidP="00EF3956">
          <w:pPr>
            <w:pStyle w:val="Header"/>
            <w:spacing w:before="120" w:line="240" w:lineRule="auto"/>
            <w:ind w:left="-72"/>
            <w:jc w:val="center"/>
          </w:pPr>
          <w:r>
            <w:t xml:space="preserve">  </w:t>
          </w:r>
          <w:r>
            <w:rPr>
              <w:noProof/>
              <w:lang w:val="en-GB" w:eastAsia="en-GB"/>
            </w:rPr>
            <w:drawing>
              <wp:inline distT="0" distB="0" distL="0" distR="0" wp14:anchorId="561AAD68" wp14:editId="587B591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3956" w:rsidRPr="00EF3956" w:rsidRDefault="00EF3956" w:rsidP="00EF3956">
          <w:pPr>
            <w:pStyle w:val="XLarge"/>
            <w:spacing w:before="109"/>
          </w:pPr>
          <w:r>
            <w:t>Secrétariat</w:t>
          </w:r>
        </w:p>
      </w:tc>
      <w:tc>
        <w:tcPr>
          <w:tcW w:w="245" w:type="dxa"/>
          <w:tcBorders>
            <w:top w:val="single" w:sz="4" w:space="0" w:color="auto"/>
            <w:bottom w:val="single" w:sz="12" w:space="0" w:color="auto"/>
          </w:tcBorders>
          <w:shd w:val="clear" w:color="auto" w:fill="auto"/>
        </w:tcPr>
        <w:p w:rsidR="00EF3956" w:rsidRPr="00EF3956" w:rsidRDefault="00EF3956" w:rsidP="00EF3956">
          <w:pPr>
            <w:pStyle w:val="Header"/>
            <w:spacing w:before="109"/>
          </w:pPr>
        </w:p>
      </w:tc>
      <w:tc>
        <w:tcPr>
          <w:tcW w:w="3280" w:type="dxa"/>
          <w:tcBorders>
            <w:top w:val="single" w:sz="4" w:space="0" w:color="auto"/>
            <w:bottom w:val="single" w:sz="12" w:space="0" w:color="auto"/>
          </w:tcBorders>
          <w:shd w:val="clear" w:color="auto" w:fill="auto"/>
        </w:tcPr>
        <w:p w:rsidR="00EF3956" w:rsidRPr="009E1416" w:rsidRDefault="00EF3956" w:rsidP="00EF3956">
          <w:pPr>
            <w:pStyle w:val="Distribution"/>
            <w:rPr>
              <w:color w:val="000000"/>
              <w:lang w:val="fr-CH"/>
            </w:rPr>
          </w:pPr>
          <w:proofErr w:type="spellStart"/>
          <w:r w:rsidRPr="009E1416">
            <w:rPr>
              <w:color w:val="000000"/>
              <w:lang w:val="fr-CH"/>
            </w:rPr>
            <w:t>Distr</w:t>
          </w:r>
          <w:proofErr w:type="spellEnd"/>
          <w:r w:rsidRPr="009E1416">
            <w:rPr>
              <w:color w:val="000000"/>
              <w:lang w:val="fr-CH"/>
            </w:rPr>
            <w:t>. générale</w:t>
          </w:r>
        </w:p>
        <w:p w:rsidR="00EF3956" w:rsidRPr="009E1416" w:rsidRDefault="00EF3956" w:rsidP="00EF3956">
          <w:pPr>
            <w:pStyle w:val="Publication"/>
            <w:rPr>
              <w:color w:val="000000"/>
              <w:lang w:val="fr-CH"/>
            </w:rPr>
          </w:pPr>
          <w:r w:rsidRPr="009E1416">
            <w:rPr>
              <w:color w:val="000000"/>
              <w:lang w:val="fr-CH"/>
            </w:rPr>
            <w:t>4 septembre 2015</w:t>
          </w:r>
        </w:p>
        <w:p w:rsidR="00EF3956" w:rsidRPr="009E1416" w:rsidRDefault="00EF3956" w:rsidP="00EF3956">
          <w:pPr>
            <w:rPr>
              <w:lang w:val="fr-CH"/>
            </w:rPr>
          </w:pPr>
          <w:r w:rsidRPr="009E1416">
            <w:rPr>
              <w:lang w:val="fr-CH"/>
            </w:rPr>
            <w:t>Français</w:t>
          </w:r>
        </w:p>
        <w:p w:rsidR="00EF3956" w:rsidRPr="009E1416" w:rsidRDefault="00EF3956" w:rsidP="00EF3956">
          <w:pPr>
            <w:pStyle w:val="Original"/>
            <w:rPr>
              <w:color w:val="000000"/>
              <w:lang w:val="fr-CH"/>
            </w:rPr>
          </w:pPr>
          <w:r w:rsidRPr="009E1416">
            <w:rPr>
              <w:color w:val="000000"/>
              <w:lang w:val="fr-CH"/>
            </w:rPr>
            <w:t>Original : anglais</w:t>
          </w:r>
        </w:p>
      </w:tc>
    </w:tr>
  </w:tbl>
  <w:p w:rsidR="00EF3956" w:rsidRPr="009E1416" w:rsidRDefault="00EF3956" w:rsidP="00EF3956">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F04BC"/>
    <w:multiLevelType w:val="singleLevel"/>
    <w:tmpl w:val="48FE9990"/>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001*"/>
    <w:docVar w:name="CreationDt" w:val="11/20/2015 11:52 AM"/>
    <w:docVar w:name="DocCategory" w:val="Doc"/>
    <w:docVar w:name="DocType" w:val="Final"/>
    <w:docVar w:name="DutyStation" w:val="Geneva"/>
    <w:docVar w:name="FooterJN" w:val="GE.15-15001"/>
    <w:docVar w:name="jobn" w:val="GE.15-15001 (F)"/>
    <w:docVar w:name="jobnDT" w:val="GE.15-15001 (F)   201115"/>
    <w:docVar w:name="jobnDTDT" w:val="GE.15-15001 (F)   201115   201115"/>
    <w:docVar w:name="JobNo" w:val="GE.1515001F"/>
    <w:docVar w:name="JobNo2" w:val="GE.1519992F"/>
    <w:docVar w:name="LocalDrive" w:val="0"/>
    <w:docVar w:name="OandT" w:val="CLERE"/>
    <w:docVar w:name="PaperSize" w:val="A4"/>
    <w:docVar w:name="sss1" w:val="ST/SG/AC.10/C.3/2015/40"/>
    <w:docVar w:name="sss2" w:val="-"/>
    <w:docVar w:name="Symbol1" w:val="ST/SG/AC.10/C.3/2015/40"/>
    <w:docVar w:name="Symbol2" w:val="-"/>
  </w:docVars>
  <w:rsids>
    <w:rsidRoot w:val="008251C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87F59"/>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5246"/>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1A6"/>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5C7"/>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0098"/>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7A"/>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671F"/>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1CC"/>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0C4"/>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2B01"/>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1416"/>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02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197"/>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6795"/>
    <w:rsid w:val="00EF0701"/>
    <w:rsid w:val="00EF11F2"/>
    <w:rsid w:val="00EF236F"/>
    <w:rsid w:val="00EF3067"/>
    <w:rsid w:val="00EF3956"/>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6B5F"/>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992"/>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F3956"/>
    <w:rPr>
      <w:sz w:val="16"/>
      <w:szCs w:val="16"/>
    </w:rPr>
  </w:style>
  <w:style w:type="paragraph" w:styleId="CommentText">
    <w:name w:val="annotation text"/>
    <w:basedOn w:val="Normal"/>
    <w:link w:val="CommentTextChar"/>
    <w:uiPriority w:val="99"/>
    <w:semiHidden/>
    <w:unhideWhenUsed/>
    <w:rsid w:val="00EF3956"/>
    <w:pPr>
      <w:spacing w:line="240" w:lineRule="auto"/>
    </w:pPr>
    <w:rPr>
      <w:szCs w:val="20"/>
    </w:rPr>
  </w:style>
  <w:style w:type="character" w:customStyle="1" w:styleId="CommentTextChar">
    <w:name w:val="Comment Text Char"/>
    <w:basedOn w:val="DefaultParagraphFont"/>
    <w:link w:val="CommentText"/>
    <w:uiPriority w:val="99"/>
    <w:semiHidden/>
    <w:rsid w:val="00EF39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F3956"/>
    <w:rPr>
      <w:b/>
      <w:bCs/>
    </w:rPr>
  </w:style>
  <w:style w:type="character" w:customStyle="1" w:styleId="CommentSubjectChar">
    <w:name w:val="Comment Subject Char"/>
    <w:basedOn w:val="CommentTextChar"/>
    <w:link w:val="CommentSubject"/>
    <w:uiPriority w:val="99"/>
    <w:semiHidden/>
    <w:rsid w:val="00EF395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F3956"/>
    <w:rPr>
      <w:sz w:val="16"/>
      <w:szCs w:val="16"/>
    </w:rPr>
  </w:style>
  <w:style w:type="paragraph" w:styleId="CommentText">
    <w:name w:val="annotation text"/>
    <w:basedOn w:val="Normal"/>
    <w:link w:val="CommentTextChar"/>
    <w:uiPriority w:val="99"/>
    <w:semiHidden/>
    <w:unhideWhenUsed/>
    <w:rsid w:val="00EF3956"/>
    <w:pPr>
      <w:spacing w:line="240" w:lineRule="auto"/>
    </w:pPr>
    <w:rPr>
      <w:szCs w:val="20"/>
    </w:rPr>
  </w:style>
  <w:style w:type="character" w:customStyle="1" w:styleId="CommentTextChar">
    <w:name w:val="Comment Text Char"/>
    <w:basedOn w:val="DefaultParagraphFont"/>
    <w:link w:val="CommentText"/>
    <w:uiPriority w:val="99"/>
    <w:semiHidden/>
    <w:rsid w:val="00EF39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F3956"/>
    <w:rPr>
      <w:b/>
      <w:bCs/>
    </w:rPr>
  </w:style>
  <w:style w:type="character" w:customStyle="1" w:styleId="CommentSubjectChar">
    <w:name w:val="Comment Subject Char"/>
    <w:basedOn w:val="CommentTextChar"/>
    <w:link w:val="CommentSubject"/>
    <w:uiPriority w:val="99"/>
    <w:semiHidden/>
    <w:rsid w:val="00EF395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E1DA-77E8-4692-B0C0-DA4BEE24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Clere</dc:creator>
  <cp:lastModifiedBy>Laurence Berthet</cp:lastModifiedBy>
  <cp:revision>3</cp:revision>
  <cp:lastPrinted>2015-11-20T13:19:00Z</cp:lastPrinted>
  <dcterms:created xsi:type="dcterms:W3CDTF">2015-11-20T13:19:00Z</dcterms:created>
  <dcterms:modified xsi:type="dcterms:W3CDTF">2015-11-20T13:19:00Z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1515001F</vt:lpwstr>
  </property>
  <property fmtid="{D5CDD505-2E9C-101B-9397-08002B2CF9AE}" pid="3" name="ODSRefJobNo">
    <vt:lpwstr>1519992F</vt:lpwstr>
  </property>
  <property fmtid="{D5CDD505-2E9C-101B-9397-08002B2CF9AE}" pid="4" name="Symbol1">
    <vt:lpwstr>ST/SG/AC.10/C.3/2015/40</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4 septembre 2015</vt:lpwstr>
  </property>
  <property fmtid="{D5CDD505-2E9C-101B-9397-08002B2CF9AE}" pid="12" name="Original">
    <vt:lpwstr>anglais</vt:lpwstr>
  </property>
  <property fmtid="{D5CDD505-2E9C-101B-9397-08002B2CF9AE}" pid="13" name="Release Date">
    <vt:lpwstr>201115</vt:lpwstr>
  </property>
</Properties>
</file>