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2C" w:rsidRDefault="00C8562C" w:rsidP="00C8562C">
      <w:pPr>
        <w:spacing w:line="240" w:lineRule="auto"/>
        <w:rPr>
          <w:sz w:val="2"/>
        </w:rPr>
        <w:sectPr w:rsidR="00C8562C" w:rsidSect="00C8562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D403C5" w:rsidRDefault="00D403C5" w:rsidP="00D403C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50B2E">
        <w:rPr>
          <w:lang w:val="fr-FR"/>
        </w:rPr>
        <w:lastRenderedPageBreak/>
        <w:t>Comité d</w:t>
      </w:r>
      <w:r>
        <w:rPr>
          <w:lang w:val="fr-FR"/>
        </w:rPr>
        <w:t>’</w:t>
      </w:r>
      <w:r w:rsidRPr="00650B2E">
        <w:rPr>
          <w:lang w:val="fr-FR"/>
        </w:rPr>
        <w:t>experts du transport des marchandises dangereuses</w:t>
      </w:r>
      <w:r>
        <w:rPr>
          <w:lang w:val="fr-FR"/>
        </w:rPr>
        <w:t xml:space="preserve"> </w:t>
      </w:r>
      <w:r>
        <w:rPr>
          <w:lang w:val="fr-FR"/>
        </w:rPr>
        <w:br/>
      </w:r>
      <w:r w:rsidRPr="00650B2E">
        <w:rPr>
          <w:lang w:val="fr-FR"/>
        </w:rPr>
        <w:t>et du Système général harmonisé de classification</w:t>
      </w:r>
      <w:r>
        <w:rPr>
          <w:lang w:val="fr-FR"/>
        </w:rPr>
        <w:t xml:space="preserve"> </w:t>
      </w:r>
      <w:r>
        <w:rPr>
          <w:lang w:val="fr-FR"/>
        </w:rPr>
        <w:br/>
      </w:r>
      <w:r w:rsidRPr="00650B2E">
        <w:rPr>
          <w:lang w:val="fr-FR"/>
        </w:rPr>
        <w:t>et d</w:t>
      </w:r>
      <w:r>
        <w:rPr>
          <w:lang w:val="fr-FR"/>
        </w:rPr>
        <w:t>’</w:t>
      </w:r>
      <w:r w:rsidRPr="00650B2E">
        <w:rPr>
          <w:lang w:val="fr-FR"/>
        </w:rPr>
        <w:t>étiquetage des produits chimiques</w:t>
      </w:r>
    </w:p>
    <w:p w:rsidR="00D403C5" w:rsidRPr="00D403C5" w:rsidRDefault="00D403C5" w:rsidP="00D403C5">
      <w:pPr>
        <w:spacing w:line="120" w:lineRule="exact"/>
        <w:rPr>
          <w:sz w:val="10"/>
          <w:lang w:val="fr-FR"/>
        </w:rPr>
      </w:pPr>
    </w:p>
    <w:p w:rsidR="00D403C5" w:rsidRDefault="00D403C5" w:rsidP="00D403C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50B2E">
        <w:rPr>
          <w:lang w:val="fr-FR"/>
        </w:rPr>
        <w:t>Sous-Comité d</w:t>
      </w:r>
      <w:r>
        <w:rPr>
          <w:lang w:val="fr-FR"/>
        </w:rPr>
        <w:t>’</w:t>
      </w:r>
      <w:r w:rsidRPr="00650B2E">
        <w:rPr>
          <w:lang w:val="fr-FR"/>
        </w:rPr>
        <w:t>experts du transport des marchandises dangereuses</w:t>
      </w:r>
    </w:p>
    <w:p w:rsidR="00D403C5" w:rsidRPr="00D403C5" w:rsidRDefault="00D403C5" w:rsidP="00D403C5">
      <w:pPr>
        <w:spacing w:line="120" w:lineRule="exact"/>
        <w:rPr>
          <w:sz w:val="10"/>
          <w:lang w:val="fr-FR"/>
        </w:rPr>
      </w:pPr>
    </w:p>
    <w:p w:rsidR="00D403C5" w:rsidRPr="00650B2E" w:rsidRDefault="00D403C5" w:rsidP="00D403C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50B2E">
        <w:rPr>
          <w:lang w:val="fr-FR"/>
        </w:rPr>
        <w:t>Quarante-huitième session</w:t>
      </w:r>
    </w:p>
    <w:p w:rsidR="00D403C5" w:rsidRPr="00650B2E" w:rsidRDefault="00DE47AC" w:rsidP="00D403C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Genève, 30 novembre-</w:t>
      </w:r>
      <w:r w:rsidR="00D403C5" w:rsidRPr="00650B2E">
        <w:rPr>
          <w:lang w:val="fr-FR"/>
        </w:rPr>
        <w:t>9 décembre 2015</w:t>
      </w:r>
    </w:p>
    <w:p w:rsidR="00DE47AC" w:rsidRDefault="00D403C5" w:rsidP="00DE47AC">
      <w:pPr>
        <w:tabs>
          <w:tab w:val="right" w:pos="1022"/>
          <w:tab w:val="left" w:pos="1267"/>
          <w:tab w:val="left" w:pos="2218"/>
          <w:tab w:val="left" w:pos="2693"/>
          <w:tab w:val="left" w:pos="3182"/>
          <w:tab w:val="left" w:pos="3658"/>
          <w:tab w:val="left" w:pos="4133"/>
          <w:tab w:val="left" w:pos="4622"/>
          <w:tab w:val="left" w:pos="5098"/>
          <w:tab w:val="left" w:pos="5573"/>
          <w:tab w:val="left" w:pos="6048"/>
        </w:tabs>
        <w:rPr>
          <w:b/>
          <w:lang w:val="fr-FR"/>
        </w:rPr>
      </w:pPr>
      <w:r w:rsidRPr="00650B2E">
        <w:rPr>
          <w:lang w:val="fr-FR"/>
        </w:rPr>
        <w:t>Point 5 b) de l</w:t>
      </w:r>
      <w:r>
        <w:rPr>
          <w:lang w:val="fr-FR"/>
        </w:rPr>
        <w:t>’</w:t>
      </w:r>
      <w:r w:rsidRPr="00650B2E">
        <w:rPr>
          <w:lang w:val="fr-FR"/>
        </w:rPr>
        <w:t>ordre du jour provisoire</w:t>
      </w:r>
    </w:p>
    <w:p w:rsidR="00D403C5" w:rsidRDefault="00D403C5" w:rsidP="00DE47A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50B2E">
        <w:rPr>
          <w:lang w:val="fr-FR"/>
        </w:rPr>
        <w:t>Transport de gaz</w:t>
      </w:r>
      <w:r w:rsidR="00DE47AC">
        <w:rPr>
          <w:lang w:val="fr-FR"/>
        </w:rPr>
        <w:t> </w:t>
      </w:r>
      <w:r w:rsidRPr="00650B2E">
        <w:rPr>
          <w:lang w:val="fr-FR"/>
        </w:rPr>
        <w:t>: questions diverses</w:t>
      </w:r>
    </w:p>
    <w:p w:rsidR="00DE47AC" w:rsidRPr="00DE47AC" w:rsidRDefault="00DE47AC" w:rsidP="00DE47AC">
      <w:pPr>
        <w:spacing w:line="120" w:lineRule="exact"/>
        <w:rPr>
          <w:sz w:val="10"/>
          <w:lang w:val="fr-FR"/>
        </w:rPr>
      </w:pPr>
    </w:p>
    <w:p w:rsidR="00DE47AC" w:rsidRPr="00DE47AC" w:rsidRDefault="00DE47AC" w:rsidP="00DE47AC">
      <w:pPr>
        <w:spacing w:line="120" w:lineRule="exact"/>
        <w:rPr>
          <w:sz w:val="10"/>
          <w:lang w:val="fr-FR"/>
        </w:rPr>
      </w:pPr>
    </w:p>
    <w:p w:rsidR="00DE47AC" w:rsidRPr="00DE47AC" w:rsidRDefault="00DE47AC" w:rsidP="00DE47AC">
      <w:pPr>
        <w:spacing w:line="120" w:lineRule="exact"/>
        <w:rPr>
          <w:sz w:val="10"/>
          <w:lang w:val="fr-FR"/>
        </w:rPr>
      </w:pPr>
    </w:p>
    <w:p w:rsidR="00D403C5" w:rsidRDefault="00D403C5" w:rsidP="00A90C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B2E">
        <w:rPr>
          <w:lang w:val="fr-FR"/>
        </w:rPr>
        <w:tab/>
      </w:r>
      <w:r w:rsidRPr="00650B2E">
        <w:rPr>
          <w:lang w:val="fr-FR"/>
        </w:rPr>
        <w:tab/>
        <w:t>Insertion de nouvelles normes ISO dans le</w:t>
      </w:r>
      <w:r w:rsidR="00D41438">
        <w:rPr>
          <w:lang w:val="fr-FR"/>
        </w:rPr>
        <w:t xml:space="preserve"> </w:t>
      </w:r>
      <w:r w:rsidRPr="00650B2E">
        <w:rPr>
          <w:lang w:val="fr-FR"/>
        </w:rPr>
        <w:t>6.2.2</w:t>
      </w:r>
    </w:p>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Default="00D403C5" w:rsidP="00A90CA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B2E">
        <w:rPr>
          <w:lang w:val="fr-FR"/>
        </w:rPr>
        <w:tab/>
      </w:r>
      <w:r w:rsidRPr="00650B2E">
        <w:rPr>
          <w:lang w:val="fr-FR"/>
        </w:rPr>
        <w:tab/>
        <w:t>Communication de l</w:t>
      </w:r>
      <w:r>
        <w:rPr>
          <w:lang w:val="fr-FR"/>
        </w:rPr>
        <w:t>’</w:t>
      </w:r>
      <w:r w:rsidRPr="00650B2E">
        <w:rPr>
          <w:lang w:val="fr-FR"/>
        </w:rPr>
        <w:t xml:space="preserve">Organisation internationale </w:t>
      </w:r>
      <w:r w:rsidR="00A90CA4">
        <w:rPr>
          <w:lang w:val="fr-FR"/>
        </w:rPr>
        <w:br/>
      </w:r>
      <w:r w:rsidRPr="00650B2E">
        <w:rPr>
          <w:lang w:val="fr-FR"/>
        </w:rPr>
        <w:t>de normalisation (ISO)</w:t>
      </w:r>
      <w:r w:rsidR="00A90CA4" w:rsidRPr="004F0386">
        <w:rPr>
          <w:rStyle w:val="FootnoteReference"/>
          <w:b w:val="0"/>
          <w:sz w:val="20"/>
          <w:szCs w:val="20"/>
          <w:lang w:val="fr-FR"/>
        </w:rPr>
        <w:footnoteReference w:id="1"/>
      </w:r>
    </w:p>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Default="00D403C5" w:rsidP="00A90C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B2E">
        <w:rPr>
          <w:lang w:val="fr-FR"/>
        </w:rPr>
        <w:tab/>
      </w:r>
      <w:r w:rsidRPr="00650B2E">
        <w:rPr>
          <w:lang w:val="fr-FR"/>
        </w:rPr>
        <w:tab/>
        <w:t>Introduction</w:t>
      </w:r>
    </w:p>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Pr="00650B2E" w:rsidRDefault="00D403C5" w:rsidP="00A90CA4">
      <w:pPr>
        <w:pStyle w:val="SingleTxt"/>
        <w:numPr>
          <w:ilvl w:val="0"/>
          <w:numId w:val="10"/>
        </w:numPr>
        <w:ind w:left="1267" w:firstLine="0"/>
        <w:rPr>
          <w:lang w:val="fr-FR"/>
        </w:rPr>
      </w:pPr>
      <w:r w:rsidRPr="00650B2E">
        <w:rPr>
          <w:lang w:val="fr-FR"/>
        </w:rPr>
        <w:t xml:space="preserve">Les présentes propositions visent à introduire dans la section 6.2.2 deux normes ISO révisées </w:t>
      </w:r>
      <w:r>
        <w:rPr>
          <w:lang w:val="fr-FR"/>
        </w:rPr>
        <w:t>et une nouvelle norme ISO, dont les</w:t>
      </w:r>
      <w:r w:rsidRPr="00650B2E">
        <w:rPr>
          <w:lang w:val="fr-FR"/>
        </w:rPr>
        <w:t xml:space="preserve"> titres sont les suivants</w:t>
      </w:r>
      <w:r w:rsidR="00A90CA4">
        <w:rPr>
          <w:lang w:val="fr-FR"/>
        </w:rPr>
        <w:t> </w:t>
      </w:r>
      <w:r w:rsidRPr="00650B2E">
        <w:rPr>
          <w:lang w:val="fr-FR"/>
        </w:rPr>
        <w:t>:</w:t>
      </w:r>
    </w:p>
    <w:p w:rsidR="00D403C5" w:rsidRPr="00650B2E" w:rsidRDefault="00A90CA4" w:rsidP="00A90CA4">
      <w:pPr>
        <w:pStyle w:val="SingleTxt"/>
        <w:ind w:left="1742" w:hanging="475"/>
        <w:rPr>
          <w:lang w:val="fr-FR"/>
        </w:rPr>
      </w:pPr>
      <w:r>
        <w:rPr>
          <w:lang w:val="fr-FR"/>
        </w:rPr>
        <w:tab/>
        <w:t xml:space="preserve">ISO 11118:2015 </w:t>
      </w:r>
      <w:r w:rsidR="00D403C5" w:rsidRPr="00650B2E">
        <w:rPr>
          <w:lang w:val="fr-FR"/>
        </w:rPr>
        <w:tab/>
        <w:t>Bouteilles à gaz</w:t>
      </w:r>
      <w:r w:rsidR="00D403C5">
        <w:rPr>
          <w:lang w:val="fr-FR"/>
        </w:rPr>
        <w:t xml:space="preserve"> </w:t>
      </w:r>
      <w:r w:rsidR="00D403C5" w:rsidRPr="00650B2E">
        <w:rPr>
          <w:lang w:val="fr-FR"/>
        </w:rPr>
        <w:t>Boute</w:t>
      </w:r>
      <w:bookmarkStart w:id="2" w:name="insstart"/>
      <w:bookmarkEnd w:id="2"/>
      <w:r w:rsidR="00D403C5" w:rsidRPr="00650B2E">
        <w:rPr>
          <w:lang w:val="fr-FR"/>
        </w:rPr>
        <w:t>illes à gaz métalliques non rechargeables</w:t>
      </w:r>
      <w:r w:rsidR="00D403C5">
        <w:rPr>
          <w:lang w:val="fr-FR"/>
        </w:rPr>
        <w:t xml:space="preserve"> – </w:t>
      </w:r>
      <w:r w:rsidR="00D403C5" w:rsidRPr="00650B2E">
        <w:rPr>
          <w:lang w:val="fr-FR"/>
        </w:rPr>
        <w:t>Spécifications et méthodes d</w:t>
      </w:r>
      <w:r w:rsidR="00D403C5">
        <w:rPr>
          <w:lang w:val="fr-FR"/>
        </w:rPr>
        <w:t>’</w:t>
      </w:r>
      <w:r w:rsidR="00D403C5" w:rsidRPr="00650B2E">
        <w:rPr>
          <w:lang w:val="fr-FR"/>
        </w:rPr>
        <w:t>essai;</w:t>
      </w:r>
    </w:p>
    <w:p w:rsidR="00D403C5" w:rsidRPr="00650B2E" w:rsidRDefault="00A90CA4" w:rsidP="00A90CA4">
      <w:pPr>
        <w:pStyle w:val="SingleTxt"/>
        <w:ind w:left="1742" w:hanging="475"/>
        <w:rPr>
          <w:szCs w:val="20"/>
          <w:lang w:val="fr-FR"/>
        </w:rPr>
      </w:pPr>
      <w:r>
        <w:rPr>
          <w:szCs w:val="20"/>
          <w:lang w:val="fr-FR"/>
        </w:rPr>
        <w:tab/>
      </w:r>
      <w:r w:rsidR="00D403C5" w:rsidRPr="00650B2E">
        <w:rPr>
          <w:szCs w:val="20"/>
          <w:lang w:val="fr-FR"/>
        </w:rPr>
        <w:t xml:space="preserve">ISO 11120:2015 </w:t>
      </w:r>
      <w:r w:rsidR="00D403C5" w:rsidRPr="00650B2E">
        <w:rPr>
          <w:szCs w:val="20"/>
          <w:lang w:val="fr-FR"/>
        </w:rPr>
        <w:tab/>
        <w:t>Bouteilles à gaz – Tubes en acier sans soudure rechargeables d</w:t>
      </w:r>
      <w:r w:rsidR="00D403C5">
        <w:rPr>
          <w:szCs w:val="20"/>
          <w:lang w:val="fr-FR"/>
        </w:rPr>
        <w:t>’</w:t>
      </w:r>
      <w:r w:rsidR="00D403C5" w:rsidRPr="00650B2E">
        <w:rPr>
          <w:szCs w:val="20"/>
          <w:lang w:val="fr-FR"/>
        </w:rPr>
        <w:t>une contenance en eau de 150 l à 3 000 l</w:t>
      </w:r>
      <w:r w:rsidR="00D403C5">
        <w:rPr>
          <w:szCs w:val="20"/>
          <w:lang w:val="fr-FR"/>
        </w:rPr>
        <w:t xml:space="preserve"> – </w:t>
      </w:r>
      <w:r w:rsidR="00D403C5" w:rsidRPr="00650B2E">
        <w:rPr>
          <w:szCs w:val="20"/>
          <w:lang w:val="fr-FR"/>
        </w:rPr>
        <w:t>Conception, construction et essais</w:t>
      </w:r>
      <w:r w:rsidR="00D403C5">
        <w:rPr>
          <w:szCs w:val="20"/>
          <w:lang w:val="fr-FR"/>
        </w:rPr>
        <w:t>;</w:t>
      </w:r>
    </w:p>
    <w:p w:rsidR="00D403C5" w:rsidRPr="00650B2E" w:rsidRDefault="00A90CA4" w:rsidP="00A90CA4">
      <w:pPr>
        <w:pStyle w:val="SingleTxt"/>
        <w:ind w:left="1742" w:hanging="475"/>
        <w:rPr>
          <w:szCs w:val="20"/>
          <w:lang w:val="fr-FR"/>
        </w:rPr>
      </w:pPr>
      <w:r>
        <w:rPr>
          <w:szCs w:val="20"/>
          <w:lang w:val="fr-FR"/>
        </w:rPr>
        <w:tab/>
      </w:r>
      <w:r w:rsidR="00D403C5" w:rsidRPr="00650B2E">
        <w:rPr>
          <w:szCs w:val="20"/>
          <w:lang w:val="fr-FR"/>
        </w:rPr>
        <w:t xml:space="preserve">ISO 21172-1:2015 </w:t>
      </w:r>
      <w:r w:rsidR="00D403C5" w:rsidRPr="00650B2E">
        <w:rPr>
          <w:szCs w:val="20"/>
          <w:lang w:val="fr-FR"/>
        </w:rPr>
        <w:tab/>
        <w:t>Bouteilles à gaz – Fûts soudés de capacité inférieure ou égale à 3</w:t>
      </w:r>
      <w:r w:rsidR="00D41438">
        <w:rPr>
          <w:szCs w:val="20"/>
          <w:lang w:val="fr-FR"/>
        </w:rPr>
        <w:t> </w:t>
      </w:r>
      <w:r w:rsidR="00D403C5" w:rsidRPr="00650B2E">
        <w:rPr>
          <w:szCs w:val="20"/>
          <w:lang w:val="fr-FR"/>
        </w:rPr>
        <w:t>000 litres destinés au transport des gazes</w:t>
      </w:r>
      <w:r w:rsidR="00D403C5">
        <w:rPr>
          <w:szCs w:val="20"/>
          <w:lang w:val="fr-FR"/>
        </w:rPr>
        <w:t xml:space="preserve"> – </w:t>
      </w:r>
      <w:r w:rsidR="00E55BBD">
        <w:rPr>
          <w:szCs w:val="20"/>
          <w:lang w:val="fr-FR"/>
        </w:rPr>
        <w:t>Partie 1 </w:t>
      </w:r>
      <w:r w:rsidR="00D403C5" w:rsidRPr="00650B2E">
        <w:rPr>
          <w:szCs w:val="20"/>
          <w:lang w:val="fr-FR"/>
        </w:rPr>
        <w:t>: Capacité jusqu</w:t>
      </w:r>
      <w:r w:rsidR="00D403C5">
        <w:rPr>
          <w:szCs w:val="20"/>
          <w:lang w:val="fr-FR"/>
        </w:rPr>
        <w:t>’</w:t>
      </w:r>
      <w:r w:rsidR="00D403C5" w:rsidRPr="00650B2E">
        <w:rPr>
          <w:szCs w:val="20"/>
          <w:lang w:val="fr-FR"/>
        </w:rPr>
        <w:t>à 1</w:t>
      </w:r>
      <w:r w:rsidR="00D41438">
        <w:rPr>
          <w:szCs w:val="20"/>
          <w:lang w:val="fr-FR"/>
        </w:rPr>
        <w:t> </w:t>
      </w:r>
      <w:r w:rsidR="00D403C5" w:rsidRPr="00650B2E">
        <w:rPr>
          <w:szCs w:val="20"/>
          <w:lang w:val="fr-FR"/>
        </w:rPr>
        <w:t xml:space="preserve">000 litres </w:t>
      </w:r>
    </w:p>
    <w:p w:rsidR="00C8562C" w:rsidRDefault="00D403C5" w:rsidP="00A90CA4">
      <w:pPr>
        <w:pStyle w:val="SingleTxt"/>
        <w:rPr>
          <w:lang w:val="fr-FR"/>
        </w:rPr>
      </w:pPr>
      <w:r w:rsidRPr="00650B2E">
        <w:rPr>
          <w:lang w:val="fr-FR"/>
        </w:rPr>
        <w:t>Les dispositions habi</w:t>
      </w:r>
      <w:r>
        <w:rPr>
          <w:lang w:val="fr-FR"/>
        </w:rPr>
        <w:t>tuelles ont été prises avec le s</w:t>
      </w:r>
      <w:r w:rsidRPr="00650B2E">
        <w:rPr>
          <w:lang w:val="fr-FR"/>
        </w:rPr>
        <w:t>ecrétariat pour que des copies PDF de ces documents soient communiquées aux experts.</w:t>
      </w:r>
    </w:p>
    <w:p w:rsidR="00D403C5" w:rsidRDefault="00D403C5">
      <w:pPr>
        <w:spacing w:line="240" w:lineRule="auto"/>
        <w:rPr>
          <w:szCs w:val="20"/>
          <w:lang w:val="fr-FR"/>
        </w:rPr>
      </w:pPr>
      <w:r>
        <w:rPr>
          <w:szCs w:val="20"/>
          <w:lang w:val="fr-FR"/>
        </w:rPr>
        <w:br w:type="page"/>
      </w:r>
    </w:p>
    <w:p w:rsidR="00D403C5" w:rsidRDefault="00D403C5" w:rsidP="00A90C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B2E">
        <w:rPr>
          <w:lang w:val="fr-FR"/>
        </w:rPr>
        <w:lastRenderedPageBreak/>
        <w:tab/>
      </w:r>
      <w:r w:rsidRPr="00650B2E">
        <w:rPr>
          <w:lang w:val="fr-FR"/>
        </w:rPr>
        <w:tab/>
        <w:t>Proposition 1</w:t>
      </w:r>
    </w:p>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Pr="00D41438" w:rsidRDefault="00D403C5" w:rsidP="00A90CA4">
      <w:pPr>
        <w:pStyle w:val="SingleTxt"/>
        <w:numPr>
          <w:ilvl w:val="0"/>
          <w:numId w:val="10"/>
        </w:numPr>
        <w:ind w:left="1267" w:firstLine="0"/>
        <w:rPr>
          <w:lang w:val="fr-FR"/>
        </w:rPr>
      </w:pPr>
      <w:r w:rsidRPr="00D41438">
        <w:rPr>
          <w:lang w:val="fr-FR"/>
        </w:rPr>
        <w:t>Dans le tableau du 6.2.2.1.1, modifier la rubrique ISO 11118:1999 comme indiqué ci-dessous et ajouter une nouvelle rubrique ISO 11118:2015. Les ajouts sont soulignés.</w:t>
      </w:r>
    </w:p>
    <w:p w:rsidR="00D41438" w:rsidRPr="00D41438" w:rsidRDefault="00D41438" w:rsidP="00D41438">
      <w:pPr>
        <w:pStyle w:val="SingleTxt"/>
        <w:spacing w:after="0" w:line="120" w:lineRule="exact"/>
        <w:rPr>
          <w:sz w:val="10"/>
          <w:lang w:val="fr-FR"/>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969"/>
        <w:gridCol w:w="2103"/>
      </w:tblGrid>
      <w:tr w:rsidR="00D403C5" w:rsidRPr="00650B2E" w:rsidTr="00A90CA4">
        <w:trPr>
          <w:cantSplit/>
        </w:trPr>
        <w:tc>
          <w:tcPr>
            <w:tcW w:w="1416" w:type="dxa"/>
            <w:shd w:val="clear" w:color="auto" w:fill="auto"/>
          </w:tcPr>
          <w:p w:rsidR="00D403C5" w:rsidRPr="00650B2E" w:rsidRDefault="00D403C5" w:rsidP="00783B46">
            <w:pPr>
              <w:keepNext/>
              <w:rPr>
                <w:lang w:val="fr-FR"/>
              </w:rPr>
            </w:pPr>
            <w:r w:rsidRPr="00650B2E">
              <w:rPr>
                <w:lang w:val="fr-FR"/>
              </w:rPr>
              <w:t>ISO 11118: 1999</w:t>
            </w:r>
          </w:p>
        </w:tc>
        <w:tc>
          <w:tcPr>
            <w:tcW w:w="3969" w:type="dxa"/>
            <w:shd w:val="clear" w:color="auto" w:fill="auto"/>
          </w:tcPr>
          <w:p w:rsidR="00D403C5" w:rsidRPr="00650B2E" w:rsidRDefault="00D403C5" w:rsidP="00783B46">
            <w:pPr>
              <w:keepNext/>
              <w:rPr>
                <w:lang w:val="fr-FR"/>
              </w:rPr>
            </w:pPr>
            <w:r w:rsidRPr="00650B2E">
              <w:rPr>
                <w:lang w:val="fr-FR"/>
              </w:rPr>
              <w:t>Bouteilles à gaz</w:t>
            </w:r>
            <w:r>
              <w:rPr>
                <w:lang w:val="fr-FR"/>
              </w:rPr>
              <w:t xml:space="preserve"> – </w:t>
            </w:r>
            <w:r w:rsidRPr="00650B2E">
              <w:rPr>
                <w:lang w:val="fr-FR"/>
              </w:rPr>
              <w:t>Bouteilles à gaz métalliques non rechargeables -</w:t>
            </w:r>
          </w:p>
          <w:p w:rsidR="00D403C5" w:rsidRPr="00650B2E" w:rsidRDefault="00D403C5" w:rsidP="00783B46">
            <w:pPr>
              <w:keepNext/>
              <w:rPr>
                <w:lang w:val="fr-FR"/>
              </w:rPr>
            </w:pPr>
            <w:r w:rsidRPr="00650B2E">
              <w:rPr>
                <w:lang w:val="fr-FR"/>
              </w:rPr>
              <w:t>Spécifications et méthodes d</w:t>
            </w:r>
            <w:r>
              <w:rPr>
                <w:lang w:val="fr-FR"/>
              </w:rPr>
              <w:t>’</w:t>
            </w:r>
            <w:r w:rsidRPr="00650B2E">
              <w:rPr>
                <w:lang w:val="fr-FR"/>
              </w:rPr>
              <w:t>essai</w:t>
            </w:r>
          </w:p>
        </w:tc>
        <w:tc>
          <w:tcPr>
            <w:tcW w:w="2103" w:type="dxa"/>
            <w:shd w:val="clear" w:color="auto" w:fill="auto"/>
          </w:tcPr>
          <w:p w:rsidR="00D403C5" w:rsidRPr="00650B2E" w:rsidRDefault="00D403C5" w:rsidP="00783B46">
            <w:pPr>
              <w:keepNext/>
              <w:rPr>
                <w:strike/>
                <w:lang w:val="fr-FR"/>
              </w:rPr>
            </w:pPr>
            <w:r w:rsidRPr="00650B2E">
              <w:rPr>
                <w:strike/>
                <w:lang w:val="fr-FR"/>
              </w:rPr>
              <w:t>Jusqu</w:t>
            </w:r>
            <w:r>
              <w:rPr>
                <w:strike/>
                <w:lang w:val="fr-FR"/>
              </w:rPr>
              <w:t>’</w:t>
            </w:r>
            <w:r w:rsidRPr="00650B2E">
              <w:rPr>
                <w:strike/>
                <w:lang w:val="fr-FR"/>
              </w:rPr>
              <w:t>à nouvel ordre</w:t>
            </w:r>
          </w:p>
          <w:p w:rsidR="00D403C5" w:rsidRPr="00650B2E" w:rsidRDefault="00D403C5" w:rsidP="00783B46">
            <w:pPr>
              <w:keepNext/>
              <w:rPr>
                <w:u w:val="single"/>
                <w:lang w:val="fr-FR"/>
              </w:rPr>
            </w:pPr>
            <w:r w:rsidRPr="00650B2E">
              <w:rPr>
                <w:u w:val="single"/>
                <w:lang w:val="fr-FR"/>
              </w:rPr>
              <w:t>Jusqu</w:t>
            </w:r>
            <w:r>
              <w:rPr>
                <w:u w:val="single"/>
                <w:lang w:val="fr-FR"/>
              </w:rPr>
              <w:t>’</w:t>
            </w:r>
            <w:r w:rsidRPr="00650B2E">
              <w:rPr>
                <w:u w:val="single"/>
                <w:lang w:val="fr-FR"/>
              </w:rPr>
              <w:t>au 31 décembre 2020</w:t>
            </w:r>
          </w:p>
        </w:tc>
      </w:tr>
      <w:tr w:rsidR="00D403C5" w:rsidRPr="00650B2E" w:rsidTr="00A90CA4">
        <w:trPr>
          <w:cantSplit/>
        </w:trPr>
        <w:tc>
          <w:tcPr>
            <w:tcW w:w="1416" w:type="dxa"/>
            <w:shd w:val="clear" w:color="auto" w:fill="auto"/>
          </w:tcPr>
          <w:p w:rsidR="00D403C5" w:rsidRPr="00650B2E" w:rsidRDefault="00D403C5" w:rsidP="00783B46">
            <w:pPr>
              <w:rPr>
                <w:u w:val="single"/>
                <w:lang w:val="fr-FR"/>
              </w:rPr>
            </w:pPr>
            <w:r w:rsidRPr="00650B2E">
              <w:rPr>
                <w:u w:val="single"/>
                <w:lang w:val="fr-FR"/>
              </w:rPr>
              <w:t>ISO 11118: 2015</w:t>
            </w:r>
          </w:p>
        </w:tc>
        <w:tc>
          <w:tcPr>
            <w:tcW w:w="3969" w:type="dxa"/>
            <w:shd w:val="clear" w:color="auto" w:fill="auto"/>
          </w:tcPr>
          <w:p w:rsidR="00D403C5" w:rsidRPr="00650B2E" w:rsidRDefault="00D403C5" w:rsidP="00783B46">
            <w:pPr>
              <w:rPr>
                <w:u w:val="single"/>
                <w:lang w:val="fr-FR"/>
              </w:rPr>
            </w:pPr>
            <w:r w:rsidRPr="00650B2E">
              <w:rPr>
                <w:u w:val="single"/>
                <w:lang w:val="fr-FR"/>
              </w:rPr>
              <w:t>Bouteilles à gaz</w:t>
            </w:r>
            <w:r>
              <w:rPr>
                <w:u w:val="single"/>
                <w:lang w:val="fr-FR"/>
              </w:rPr>
              <w:t xml:space="preserve"> – </w:t>
            </w:r>
            <w:r w:rsidRPr="00650B2E">
              <w:rPr>
                <w:u w:val="single"/>
                <w:lang w:val="fr-FR"/>
              </w:rPr>
              <w:t>Bouteilles à gaz métalliques non rechargeables -</w:t>
            </w:r>
          </w:p>
          <w:p w:rsidR="00D403C5" w:rsidRPr="00650B2E" w:rsidRDefault="00D403C5" w:rsidP="00783B46">
            <w:pPr>
              <w:rPr>
                <w:u w:val="single"/>
                <w:lang w:val="fr-FR"/>
              </w:rPr>
            </w:pPr>
            <w:r w:rsidRPr="00650B2E">
              <w:rPr>
                <w:u w:val="single"/>
                <w:lang w:val="fr-FR"/>
              </w:rPr>
              <w:t>Spécifications et méthodes d</w:t>
            </w:r>
            <w:r>
              <w:rPr>
                <w:u w:val="single"/>
                <w:lang w:val="fr-FR"/>
              </w:rPr>
              <w:t>’</w:t>
            </w:r>
            <w:r w:rsidRPr="00650B2E">
              <w:rPr>
                <w:u w:val="single"/>
                <w:lang w:val="fr-FR"/>
              </w:rPr>
              <w:t>essai</w:t>
            </w:r>
          </w:p>
        </w:tc>
        <w:tc>
          <w:tcPr>
            <w:tcW w:w="2103" w:type="dxa"/>
            <w:shd w:val="clear" w:color="auto" w:fill="auto"/>
          </w:tcPr>
          <w:p w:rsidR="00D403C5" w:rsidRPr="00650B2E" w:rsidRDefault="00D403C5" w:rsidP="00783B46">
            <w:pPr>
              <w:rPr>
                <w:u w:val="single"/>
                <w:lang w:val="fr-FR"/>
              </w:rPr>
            </w:pPr>
            <w:r w:rsidRPr="00650B2E">
              <w:rPr>
                <w:u w:val="single"/>
                <w:lang w:val="fr-FR"/>
              </w:rPr>
              <w:t>Jusqu</w:t>
            </w:r>
            <w:r>
              <w:rPr>
                <w:u w:val="single"/>
                <w:lang w:val="fr-FR"/>
              </w:rPr>
              <w:t>’</w:t>
            </w:r>
            <w:r w:rsidRPr="00650B2E">
              <w:rPr>
                <w:u w:val="single"/>
                <w:lang w:val="fr-FR"/>
              </w:rPr>
              <w:t>à nouvel ordre</w:t>
            </w:r>
          </w:p>
        </w:tc>
      </w:tr>
    </w:tbl>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Default="00D403C5" w:rsidP="00A90CA4">
      <w:pPr>
        <w:pStyle w:val="SingleTxt"/>
        <w:rPr>
          <w:lang w:val="fr-FR"/>
        </w:rPr>
      </w:pPr>
      <w:r w:rsidRPr="00650B2E">
        <w:rPr>
          <w:lang w:val="fr-FR"/>
        </w:rPr>
        <w:t>Dans le tableau du 6.2.2.3, modifier la rubrique ISO 13340:2001 comme indiqué ci-dessous.</w:t>
      </w:r>
    </w:p>
    <w:p w:rsidR="00D41438" w:rsidRPr="00D41438" w:rsidRDefault="00D41438" w:rsidP="00D41438">
      <w:pPr>
        <w:pStyle w:val="SingleTxt"/>
        <w:spacing w:after="0" w:line="120" w:lineRule="exact"/>
        <w:rPr>
          <w:sz w:val="10"/>
          <w:lang w:val="fr-FR"/>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969"/>
        <w:gridCol w:w="2103"/>
      </w:tblGrid>
      <w:tr w:rsidR="00D403C5" w:rsidRPr="00650B2E" w:rsidTr="00A90CA4">
        <w:trPr>
          <w:cantSplit/>
        </w:trPr>
        <w:tc>
          <w:tcPr>
            <w:tcW w:w="1416" w:type="dxa"/>
            <w:shd w:val="clear" w:color="auto" w:fill="auto"/>
          </w:tcPr>
          <w:p w:rsidR="00D403C5" w:rsidRPr="00650B2E" w:rsidRDefault="00D403C5" w:rsidP="00783B46">
            <w:pPr>
              <w:rPr>
                <w:lang w:val="fr-FR"/>
              </w:rPr>
            </w:pPr>
            <w:r w:rsidRPr="00650B2E">
              <w:rPr>
                <w:lang w:val="fr-FR"/>
              </w:rPr>
              <w:t>ISO 13340: 2001</w:t>
            </w:r>
          </w:p>
        </w:tc>
        <w:tc>
          <w:tcPr>
            <w:tcW w:w="3969" w:type="dxa"/>
            <w:shd w:val="clear" w:color="auto" w:fill="auto"/>
          </w:tcPr>
          <w:p w:rsidR="00D403C5" w:rsidRPr="00650B2E" w:rsidRDefault="00D403C5" w:rsidP="00783B46">
            <w:pPr>
              <w:rPr>
                <w:lang w:val="fr-FR"/>
              </w:rPr>
            </w:pPr>
            <w:r w:rsidRPr="00650B2E">
              <w:rPr>
                <w:lang w:val="fr-FR"/>
              </w:rPr>
              <w:t>Bouteilles à gaz transportables − Robinets pour bouteilles à gaz non rechargeables − Spécifications et essais de prototype</w:t>
            </w:r>
          </w:p>
        </w:tc>
        <w:tc>
          <w:tcPr>
            <w:tcW w:w="2103" w:type="dxa"/>
            <w:shd w:val="clear" w:color="auto" w:fill="auto"/>
          </w:tcPr>
          <w:p w:rsidR="00D403C5" w:rsidRPr="00650B2E" w:rsidRDefault="00D403C5" w:rsidP="00783B46">
            <w:pPr>
              <w:rPr>
                <w:strike/>
                <w:lang w:val="fr-FR"/>
              </w:rPr>
            </w:pPr>
            <w:r w:rsidRPr="00650B2E">
              <w:rPr>
                <w:strike/>
                <w:lang w:val="fr-FR"/>
              </w:rPr>
              <w:t>Jusqu</w:t>
            </w:r>
            <w:r>
              <w:rPr>
                <w:strike/>
                <w:lang w:val="fr-FR"/>
              </w:rPr>
              <w:t>’</w:t>
            </w:r>
            <w:r w:rsidRPr="00650B2E">
              <w:rPr>
                <w:strike/>
                <w:lang w:val="fr-FR"/>
              </w:rPr>
              <w:t>à nouvel ordre</w:t>
            </w:r>
          </w:p>
          <w:p w:rsidR="00D403C5" w:rsidRPr="00650B2E" w:rsidRDefault="00D403C5" w:rsidP="00783B46">
            <w:pPr>
              <w:rPr>
                <w:u w:val="single"/>
                <w:lang w:val="fr-FR"/>
              </w:rPr>
            </w:pPr>
            <w:r w:rsidRPr="00650B2E">
              <w:rPr>
                <w:u w:val="single"/>
                <w:lang w:val="fr-FR"/>
              </w:rPr>
              <w:t>Jusqu</w:t>
            </w:r>
            <w:r>
              <w:rPr>
                <w:u w:val="single"/>
                <w:lang w:val="fr-FR"/>
              </w:rPr>
              <w:t>’</w:t>
            </w:r>
            <w:r w:rsidRPr="00650B2E">
              <w:rPr>
                <w:u w:val="single"/>
                <w:lang w:val="fr-FR"/>
              </w:rPr>
              <w:t>au 31 décembre 2020</w:t>
            </w:r>
          </w:p>
        </w:tc>
      </w:tr>
    </w:tbl>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Default="00D403C5" w:rsidP="00A90C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B2E">
        <w:rPr>
          <w:lang w:val="fr-FR"/>
        </w:rPr>
        <w:tab/>
      </w:r>
      <w:r w:rsidRPr="00650B2E">
        <w:rPr>
          <w:lang w:val="fr-FR"/>
        </w:rPr>
        <w:tab/>
        <w:t>Justification de la proposition 1</w:t>
      </w:r>
    </w:p>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Default="00D403C5" w:rsidP="00A90CA4">
      <w:pPr>
        <w:pStyle w:val="SingleTxt"/>
        <w:numPr>
          <w:ilvl w:val="0"/>
          <w:numId w:val="10"/>
        </w:numPr>
        <w:ind w:left="1267" w:firstLine="0"/>
        <w:rPr>
          <w:lang w:val="fr-FR"/>
        </w:rPr>
      </w:pPr>
      <w:r w:rsidRPr="00650B2E">
        <w:rPr>
          <w:lang w:val="fr-FR"/>
        </w:rPr>
        <w:t>La norme ISO 11118:2015 actualise la version publiée en 1999 en excluant l</w:t>
      </w:r>
      <w:r>
        <w:rPr>
          <w:lang w:val="fr-FR"/>
        </w:rPr>
        <w:t>’</w:t>
      </w:r>
      <w:r w:rsidRPr="00650B2E">
        <w:rPr>
          <w:lang w:val="fr-FR"/>
        </w:rPr>
        <w:t>utilisation de ces bouteilles pour le transport de gaz en solution, en alignant la prescription relative à la pression d</w:t>
      </w:r>
      <w:r>
        <w:rPr>
          <w:lang w:val="fr-FR"/>
        </w:rPr>
        <w:t>’</w:t>
      </w:r>
      <w:r w:rsidRPr="00650B2E">
        <w:rPr>
          <w:lang w:val="fr-FR"/>
        </w:rPr>
        <w:t>éclatement sur la norme des États-Unis d</w:t>
      </w:r>
      <w:r>
        <w:rPr>
          <w:lang w:val="fr-FR"/>
        </w:rPr>
        <w:t>’</w:t>
      </w:r>
      <w:r w:rsidRPr="00650B2E">
        <w:rPr>
          <w:lang w:val="fr-FR"/>
        </w:rPr>
        <w:t>Amérique DOT 39 pour les bouteilles non rechargeables, en précisant mieux et en développant les prescriptions relatives à l</w:t>
      </w:r>
      <w:r>
        <w:rPr>
          <w:lang w:val="fr-FR"/>
        </w:rPr>
        <w:t>’</w:t>
      </w:r>
      <w:r w:rsidRPr="00650B2E">
        <w:rPr>
          <w:lang w:val="fr-FR"/>
        </w:rPr>
        <w:t xml:space="preserve">obtention des propriétés métallurgiques nécessaires, et en alignant les prescriptions relatives au marquage sur </w:t>
      </w:r>
      <w:r>
        <w:rPr>
          <w:lang w:val="fr-FR"/>
        </w:rPr>
        <w:t>celles</w:t>
      </w:r>
      <w:r w:rsidRPr="00650B2E">
        <w:rPr>
          <w:lang w:val="fr-FR"/>
        </w:rPr>
        <w:t xml:space="preserve"> de l</w:t>
      </w:r>
      <w:r>
        <w:rPr>
          <w:lang w:val="fr-FR"/>
        </w:rPr>
        <w:t>’</w:t>
      </w:r>
      <w:r w:rsidRPr="00650B2E">
        <w:rPr>
          <w:lang w:val="fr-FR"/>
        </w:rPr>
        <w:t>ONU. En outre, la norme ISO 11118:2015 intègre désormais la norme ISO pertinente pour les robinets (13340:2001). Il est donc nécessaire de fixer une échéance pour l</w:t>
      </w:r>
      <w:r>
        <w:rPr>
          <w:lang w:val="fr-FR"/>
        </w:rPr>
        <w:t>’</w:t>
      </w:r>
      <w:r w:rsidRPr="00650B2E">
        <w:rPr>
          <w:lang w:val="fr-FR"/>
        </w:rPr>
        <w:t>application de cette dernière, comme indiqué ci-dessus. La période de transition proposée pour les deux normes est de quatre ans, contre six ans habituellement. La raison en est que la fusion des deux normes constitue une avancée importante en termes de sécurité. Cette fusion garantira que l</w:t>
      </w:r>
      <w:r>
        <w:rPr>
          <w:lang w:val="fr-FR"/>
        </w:rPr>
        <w:t>’</w:t>
      </w:r>
      <w:r w:rsidRPr="00650B2E">
        <w:rPr>
          <w:lang w:val="fr-FR"/>
        </w:rPr>
        <w:t>interface robinet/bouteille sera homologuée pour l</w:t>
      </w:r>
      <w:r>
        <w:rPr>
          <w:lang w:val="fr-FR"/>
        </w:rPr>
        <w:t>’</w:t>
      </w:r>
      <w:r w:rsidRPr="00650B2E">
        <w:rPr>
          <w:lang w:val="fr-FR"/>
        </w:rPr>
        <w:t>ensemble robinet et bouteille effectivement utilisé; jusqu</w:t>
      </w:r>
      <w:r>
        <w:rPr>
          <w:lang w:val="fr-FR"/>
        </w:rPr>
        <w:t>’</w:t>
      </w:r>
      <w:r w:rsidRPr="00650B2E">
        <w:rPr>
          <w:lang w:val="fr-FR"/>
        </w:rPr>
        <w:t>à présent, l</w:t>
      </w:r>
      <w:r>
        <w:rPr>
          <w:lang w:val="fr-FR"/>
        </w:rPr>
        <w:t>’</w:t>
      </w:r>
      <w:r w:rsidRPr="00650B2E">
        <w:rPr>
          <w:lang w:val="fr-FR"/>
        </w:rPr>
        <w:t>épreuve figurait dans la norme pour les robinets et portait uniquement sur un ensemble considéré comme représentatif des bouteilles à utiliser avec le robinet en question. Conformément à la norme ISO 13340 et à la nouvelle norme ISO 11118:2015, le robinet doit empêcher la recharge de la bouteille. L</w:t>
      </w:r>
      <w:r>
        <w:rPr>
          <w:lang w:val="fr-FR"/>
        </w:rPr>
        <w:t>’</w:t>
      </w:r>
      <w:r w:rsidRPr="00650B2E">
        <w:rPr>
          <w:lang w:val="fr-FR"/>
        </w:rPr>
        <w:t>intégration de la norme applicable aux robinets dans la norme applicable aux bouteilles élimine également la possibilité de monter un robinet ordinaire (permettant la recharge) sur une bouteille non rechargeable dont la conformité a</w:t>
      </w:r>
      <w:r w:rsidR="00A90CA4">
        <w:rPr>
          <w:lang w:val="fr-FR"/>
        </w:rPr>
        <w:t>urait été évaluée sans robinet.</w:t>
      </w:r>
    </w:p>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Default="00D403C5" w:rsidP="00D414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B2E">
        <w:rPr>
          <w:lang w:val="fr-FR"/>
        </w:rPr>
        <w:lastRenderedPageBreak/>
        <w:tab/>
      </w:r>
      <w:r w:rsidRPr="00650B2E">
        <w:rPr>
          <w:lang w:val="fr-FR"/>
        </w:rPr>
        <w:tab/>
        <w:t>Proposition 2</w:t>
      </w:r>
    </w:p>
    <w:p w:rsidR="00A90CA4" w:rsidRPr="00A90CA4" w:rsidRDefault="00A90CA4" w:rsidP="00D41438">
      <w:pPr>
        <w:pStyle w:val="SingleTxt"/>
        <w:keepNext/>
        <w:spacing w:after="0" w:line="120" w:lineRule="exact"/>
        <w:rPr>
          <w:sz w:val="10"/>
          <w:lang w:val="fr-FR"/>
        </w:rPr>
      </w:pPr>
    </w:p>
    <w:p w:rsidR="00A90CA4" w:rsidRPr="00A90CA4" w:rsidRDefault="00A90CA4" w:rsidP="00D41438">
      <w:pPr>
        <w:pStyle w:val="SingleTxt"/>
        <w:keepNext/>
        <w:spacing w:after="0" w:line="120" w:lineRule="exact"/>
        <w:rPr>
          <w:sz w:val="10"/>
          <w:lang w:val="fr-FR"/>
        </w:rPr>
      </w:pPr>
    </w:p>
    <w:p w:rsidR="00D403C5" w:rsidRPr="00D41438" w:rsidRDefault="00D403C5" w:rsidP="00D41438">
      <w:pPr>
        <w:pStyle w:val="SingleTxt"/>
        <w:keepNext/>
        <w:numPr>
          <w:ilvl w:val="0"/>
          <w:numId w:val="10"/>
        </w:numPr>
        <w:ind w:left="1267" w:firstLine="0"/>
        <w:rPr>
          <w:lang w:val="fr-FR"/>
        </w:rPr>
      </w:pPr>
      <w:r w:rsidRPr="00D41438">
        <w:rPr>
          <w:lang w:val="fr-FR"/>
        </w:rPr>
        <w:t>Dans le tableau du 6.2.2.1.2, modifier la rubrique ISO 11120:1999 et ajouter une nouvelle rubrique ISO 111120:2015, comme indiqué ci-dessous.</w:t>
      </w:r>
      <w:r w:rsidRPr="00D41438">
        <w:rPr>
          <w:i/>
          <w:lang w:val="fr-FR"/>
        </w:rPr>
        <w:t xml:space="preserve"> </w:t>
      </w:r>
      <w:r w:rsidRPr="00D41438">
        <w:rPr>
          <w:lang w:val="fr-FR"/>
        </w:rPr>
        <w:t>Les ajouts sont soulignés.</w:t>
      </w:r>
    </w:p>
    <w:p w:rsidR="00D41438" w:rsidRPr="00D41438" w:rsidRDefault="00D41438" w:rsidP="00D41438">
      <w:pPr>
        <w:pStyle w:val="SingleTxt"/>
        <w:keepNext/>
        <w:spacing w:after="0" w:line="120" w:lineRule="exact"/>
        <w:rPr>
          <w:sz w:val="10"/>
          <w:lang w:val="fr-FR"/>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3969"/>
        <w:gridCol w:w="2103"/>
      </w:tblGrid>
      <w:tr w:rsidR="00D403C5" w:rsidRPr="00650B2E" w:rsidTr="00A90CA4">
        <w:tc>
          <w:tcPr>
            <w:tcW w:w="1416" w:type="dxa"/>
            <w:shd w:val="clear" w:color="auto" w:fill="auto"/>
          </w:tcPr>
          <w:p w:rsidR="00D403C5" w:rsidRPr="00650B2E" w:rsidRDefault="00D403C5" w:rsidP="00D41438">
            <w:pPr>
              <w:keepNext/>
              <w:rPr>
                <w:lang w:val="fr-FR"/>
              </w:rPr>
            </w:pPr>
            <w:r w:rsidRPr="00650B2E">
              <w:rPr>
                <w:lang w:val="fr-FR"/>
              </w:rPr>
              <w:t>ISO 11120: 1999</w:t>
            </w:r>
          </w:p>
        </w:tc>
        <w:tc>
          <w:tcPr>
            <w:tcW w:w="3969" w:type="dxa"/>
            <w:shd w:val="clear" w:color="auto" w:fill="auto"/>
          </w:tcPr>
          <w:p w:rsidR="00D403C5" w:rsidRPr="00650B2E" w:rsidRDefault="00D403C5" w:rsidP="00D41438">
            <w:pPr>
              <w:keepNext/>
              <w:widowControl w:val="0"/>
              <w:spacing w:line="240" w:lineRule="auto"/>
              <w:rPr>
                <w:lang w:val="fr-FR"/>
              </w:rPr>
            </w:pPr>
            <w:r w:rsidRPr="00650B2E">
              <w:rPr>
                <w:lang w:val="fr-FR"/>
              </w:rPr>
              <w:t>Bouteilles à gaz</w:t>
            </w:r>
            <w:r>
              <w:rPr>
                <w:lang w:val="fr-FR"/>
              </w:rPr>
              <w:t xml:space="preserve"> – </w:t>
            </w:r>
            <w:r w:rsidRPr="00650B2E">
              <w:rPr>
                <w:lang w:val="fr-FR"/>
              </w:rPr>
              <w:t>Tubes en acier sans soudure rechargeables d</w:t>
            </w:r>
            <w:r>
              <w:rPr>
                <w:lang w:val="fr-FR"/>
              </w:rPr>
              <w:t>’</w:t>
            </w:r>
            <w:r w:rsidRPr="00650B2E">
              <w:rPr>
                <w:lang w:val="fr-FR"/>
              </w:rPr>
              <w:t xml:space="preserve">une contenance en eau de 150 </w:t>
            </w:r>
            <w:r w:rsidRPr="00D41438">
              <w:rPr>
                <w:iCs/>
                <w:lang w:val="fr-FR"/>
              </w:rPr>
              <w:t>l</w:t>
            </w:r>
            <w:r w:rsidRPr="00650B2E">
              <w:rPr>
                <w:i/>
                <w:iCs/>
                <w:lang w:val="fr-FR"/>
              </w:rPr>
              <w:t xml:space="preserve"> </w:t>
            </w:r>
            <w:r w:rsidRPr="00650B2E">
              <w:rPr>
                <w:lang w:val="fr-FR"/>
              </w:rPr>
              <w:t xml:space="preserve">à 3 000 </w:t>
            </w:r>
            <w:r w:rsidRPr="00D41438">
              <w:rPr>
                <w:iCs/>
                <w:lang w:val="fr-FR"/>
              </w:rPr>
              <w:t xml:space="preserve">l </w:t>
            </w:r>
            <w:r>
              <w:rPr>
                <w:i/>
                <w:iCs/>
                <w:lang w:val="fr-FR"/>
              </w:rPr>
              <w:t xml:space="preserve">– </w:t>
            </w:r>
            <w:r w:rsidRPr="00650B2E">
              <w:rPr>
                <w:lang w:val="fr-FR"/>
              </w:rPr>
              <w:t>Conception, construction et essais</w:t>
            </w:r>
          </w:p>
          <w:p w:rsidR="00D403C5" w:rsidRPr="00650B2E" w:rsidRDefault="00D403C5" w:rsidP="00D41438">
            <w:pPr>
              <w:keepNext/>
              <w:widowControl w:val="0"/>
              <w:spacing w:after="120" w:line="240" w:lineRule="auto"/>
              <w:rPr>
                <w:i/>
                <w:lang w:val="fr-FR"/>
              </w:rPr>
            </w:pPr>
            <w:r w:rsidRPr="00650B2E">
              <w:rPr>
                <w:b/>
                <w:i/>
                <w:lang w:val="fr-FR"/>
              </w:rPr>
              <w:t>NOTA</w:t>
            </w:r>
            <w:r w:rsidR="00E55BBD">
              <w:rPr>
                <w:b/>
                <w:i/>
                <w:lang w:val="fr-FR"/>
              </w:rPr>
              <w:t> </w:t>
            </w:r>
            <w:r w:rsidRPr="00650B2E">
              <w:rPr>
                <w:b/>
                <w:i/>
                <w:lang w:val="fr-FR"/>
              </w:rPr>
              <w:t>:</w:t>
            </w:r>
            <w:r w:rsidRPr="00650B2E">
              <w:rPr>
                <w:i/>
                <w:lang w:val="fr-FR"/>
              </w:rPr>
              <w:t xml:space="preserve"> </w:t>
            </w:r>
            <w:r w:rsidRPr="00650B2E">
              <w:rPr>
                <w:i/>
                <w:iCs/>
                <w:lang w:val="fr-FR"/>
              </w:rPr>
              <w:t xml:space="preserve">La note relative au facteur F à la section 7.1 de ladite norme ne doit pas être appliquée aux tubes </w:t>
            </w:r>
            <w:r w:rsidR="00E55BBD">
              <w:rPr>
                <w:i/>
                <w:iCs/>
                <w:lang w:val="fr-FR"/>
              </w:rPr>
              <w:t>« </w:t>
            </w:r>
            <w:r w:rsidRPr="00650B2E">
              <w:rPr>
                <w:i/>
                <w:iCs/>
                <w:lang w:val="fr-FR"/>
              </w:rPr>
              <w:t>UN</w:t>
            </w:r>
            <w:r w:rsidR="00E55BBD">
              <w:rPr>
                <w:i/>
                <w:iCs/>
                <w:lang w:val="fr-FR"/>
              </w:rPr>
              <w:t> »</w:t>
            </w:r>
            <w:r w:rsidRPr="00650B2E">
              <w:rPr>
                <w:i/>
                <w:lang w:val="fr-FR"/>
              </w:rPr>
              <w:t>.</w:t>
            </w:r>
          </w:p>
        </w:tc>
        <w:tc>
          <w:tcPr>
            <w:tcW w:w="2103" w:type="dxa"/>
            <w:shd w:val="clear" w:color="auto" w:fill="auto"/>
          </w:tcPr>
          <w:p w:rsidR="00D403C5" w:rsidRPr="00650B2E" w:rsidRDefault="00D403C5" w:rsidP="00D41438">
            <w:pPr>
              <w:keepNext/>
              <w:rPr>
                <w:strike/>
                <w:lang w:val="fr-FR"/>
              </w:rPr>
            </w:pPr>
            <w:r w:rsidRPr="00650B2E">
              <w:rPr>
                <w:strike/>
                <w:lang w:val="fr-FR"/>
              </w:rPr>
              <w:t>Jusqu</w:t>
            </w:r>
            <w:r>
              <w:rPr>
                <w:strike/>
                <w:lang w:val="fr-FR"/>
              </w:rPr>
              <w:t>’</w:t>
            </w:r>
            <w:r w:rsidRPr="00650B2E">
              <w:rPr>
                <w:strike/>
                <w:lang w:val="fr-FR"/>
              </w:rPr>
              <w:t>à nouvel ordre</w:t>
            </w:r>
          </w:p>
          <w:p w:rsidR="00D403C5" w:rsidRPr="00650B2E" w:rsidRDefault="00D403C5" w:rsidP="00D41438">
            <w:pPr>
              <w:keepNext/>
              <w:rPr>
                <w:strike/>
                <w:lang w:val="fr-FR"/>
              </w:rPr>
            </w:pPr>
            <w:r w:rsidRPr="00650B2E">
              <w:rPr>
                <w:u w:val="single"/>
                <w:lang w:val="fr-FR"/>
              </w:rPr>
              <w:t>Jusqu</w:t>
            </w:r>
            <w:r>
              <w:rPr>
                <w:u w:val="single"/>
                <w:lang w:val="fr-FR"/>
              </w:rPr>
              <w:t>’</w:t>
            </w:r>
            <w:r w:rsidRPr="00650B2E">
              <w:rPr>
                <w:u w:val="single"/>
                <w:lang w:val="fr-FR"/>
              </w:rPr>
              <w:t>au 31 décembre 2022</w:t>
            </w:r>
          </w:p>
        </w:tc>
      </w:tr>
      <w:tr w:rsidR="00D403C5" w:rsidRPr="00650B2E" w:rsidTr="00A90CA4">
        <w:tc>
          <w:tcPr>
            <w:tcW w:w="1416" w:type="dxa"/>
            <w:shd w:val="clear" w:color="auto" w:fill="auto"/>
          </w:tcPr>
          <w:p w:rsidR="00D403C5" w:rsidRPr="00650B2E" w:rsidRDefault="00D403C5" w:rsidP="00D41438">
            <w:pPr>
              <w:keepNext/>
              <w:rPr>
                <w:u w:val="single"/>
                <w:lang w:val="fr-FR"/>
              </w:rPr>
            </w:pPr>
            <w:r w:rsidRPr="00650B2E">
              <w:rPr>
                <w:u w:val="single"/>
                <w:lang w:val="fr-FR"/>
              </w:rPr>
              <w:t>ISO 11120: 2015</w:t>
            </w:r>
          </w:p>
        </w:tc>
        <w:tc>
          <w:tcPr>
            <w:tcW w:w="3969" w:type="dxa"/>
            <w:shd w:val="clear" w:color="auto" w:fill="auto"/>
          </w:tcPr>
          <w:p w:rsidR="00D403C5" w:rsidRPr="00650B2E" w:rsidRDefault="00D403C5" w:rsidP="00D41438">
            <w:pPr>
              <w:keepNext/>
              <w:widowControl w:val="0"/>
              <w:spacing w:line="240" w:lineRule="auto"/>
              <w:rPr>
                <w:u w:val="single"/>
                <w:lang w:val="fr-FR"/>
              </w:rPr>
            </w:pPr>
            <w:r w:rsidRPr="00650B2E">
              <w:rPr>
                <w:u w:val="single"/>
                <w:lang w:val="fr-FR"/>
              </w:rPr>
              <w:t>Bouteilles à gaz – Tubes en acier sans soudure rechargeables d</w:t>
            </w:r>
            <w:r>
              <w:rPr>
                <w:u w:val="single"/>
                <w:lang w:val="fr-FR"/>
              </w:rPr>
              <w:t>’</w:t>
            </w:r>
            <w:r w:rsidRPr="00650B2E">
              <w:rPr>
                <w:u w:val="single"/>
                <w:lang w:val="fr-FR"/>
              </w:rPr>
              <w:t>une contenance en eau de 150 l à 3 000 l</w:t>
            </w:r>
            <w:r>
              <w:rPr>
                <w:u w:val="single"/>
                <w:lang w:val="fr-FR"/>
              </w:rPr>
              <w:t xml:space="preserve"> – </w:t>
            </w:r>
            <w:r w:rsidRPr="00650B2E">
              <w:rPr>
                <w:u w:val="single"/>
                <w:lang w:val="fr-FR"/>
              </w:rPr>
              <w:t>Conception, construction et essais </w:t>
            </w:r>
          </w:p>
        </w:tc>
        <w:tc>
          <w:tcPr>
            <w:tcW w:w="2103" w:type="dxa"/>
            <w:shd w:val="clear" w:color="auto" w:fill="auto"/>
          </w:tcPr>
          <w:p w:rsidR="00D403C5" w:rsidRPr="00650B2E" w:rsidRDefault="00D403C5" w:rsidP="00D41438">
            <w:pPr>
              <w:keepNext/>
              <w:rPr>
                <w:u w:val="single"/>
                <w:lang w:val="fr-FR"/>
              </w:rPr>
            </w:pPr>
            <w:r w:rsidRPr="00650B2E">
              <w:rPr>
                <w:u w:val="single"/>
                <w:lang w:val="fr-FR"/>
              </w:rPr>
              <w:t>Jusqu</w:t>
            </w:r>
            <w:r>
              <w:rPr>
                <w:u w:val="single"/>
                <w:lang w:val="fr-FR"/>
              </w:rPr>
              <w:t>’</w:t>
            </w:r>
            <w:r w:rsidRPr="00650B2E">
              <w:rPr>
                <w:u w:val="single"/>
                <w:lang w:val="fr-FR"/>
              </w:rPr>
              <w:t>à nouvel ordre</w:t>
            </w:r>
          </w:p>
          <w:p w:rsidR="00D403C5" w:rsidRPr="00650B2E" w:rsidRDefault="00D403C5" w:rsidP="00D41438">
            <w:pPr>
              <w:keepNext/>
              <w:rPr>
                <w:u w:val="single"/>
                <w:lang w:val="fr-FR"/>
              </w:rPr>
            </w:pPr>
          </w:p>
        </w:tc>
      </w:tr>
    </w:tbl>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Default="00D403C5" w:rsidP="00A90C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50B2E">
        <w:rPr>
          <w:lang w:val="fr-FR"/>
        </w:rPr>
        <w:tab/>
      </w:r>
      <w:r w:rsidR="00A90CA4">
        <w:rPr>
          <w:lang w:val="fr-FR"/>
        </w:rPr>
        <w:tab/>
      </w:r>
      <w:r w:rsidRPr="00650B2E">
        <w:rPr>
          <w:lang w:val="fr-FR"/>
        </w:rPr>
        <w:t>Justification de la proposition 2</w:t>
      </w:r>
    </w:p>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Pr="00650B2E" w:rsidRDefault="00D403C5" w:rsidP="00A90CA4">
      <w:pPr>
        <w:pStyle w:val="SingleTxt"/>
        <w:numPr>
          <w:ilvl w:val="0"/>
          <w:numId w:val="10"/>
        </w:numPr>
        <w:ind w:left="1267" w:firstLine="0"/>
        <w:rPr>
          <w:lang w:val="fr-FR"/>
        </w:rPr>
      </w:pPr>
      <w:r w:rsidRPr="00650B2E">
        <w:rPr>
          <w:lang w:val="fr-FR"/>
        </w:rPr>
        <w:t xml:space="preserve">La norme ISO 11120:2015 apporte les </w:t>
      </w:r>
      <w:r w:rsidRPr="00A90CA4">
        <w:rPr>
          <w:spacing w:val="0"/>
          <w:lang w:val="fr-FR"/>
        </w:rPr>
        <w:t>améliorations</w:t>
      </w:r>
      <w:r w:rsidRPr="00650B2E">
        <w:rPr>
          <w:lang w:val="fr-FR"/>
        </w:rPr>
        <w:t xml:space="preserve"> suivantes</w:t>
      </w:r>
      <w:r w:rsidR="00A90CA4">
        <w:rPr>
          <w:lang w:val="fr-FR"/>
        </w:rPr>
        <w:t> </w:t>
      </w:r>
      <w:r w:rsidRPr="00650B2E">
        <w:rPr>
          <w:lang w:val="fr-FR"/>
        </w:rPr>
        <w:t>:</w:t>
      </w:r>
    </w:p>
    <w:p w:rsidR="00D403C5" w:rsidRPr="00650B2E" w:rsidRDefault="00D403C5" w:rsidP="00A90CA4">
      <w:pPr>
        <w:pStyle w:val="Bullet1"/>
        <w:ind w:left="1743" w:hanging="130"/>
        <w:rPr>
          <w:lang w:val="fr-FR"/>
        </w:rPr>
      </w:pPr>
      <w:r>
        <w:rPr>
          <w:lang w:val="fr-FR"/>
        </w:rPr>
        <w:t>S</w:t>
      </w:r>
      <w:r w:rsidRPr="00650B2E">
        <w:rPr>
          <w:lang w:val="fr-FR"/>
        </w:rPr>
        <w:t>on champ d</w:t>
      </w:r>
      <w:r>
        <w:rPr>
          <w:lang w:val="fr-FR"/>
        </w:rPr>
        <w:t>’</w:t>
      </w:r>
      <w:r w:rsidRPr="00650B2E">
        <w:rPr>
          <w:lang w:val="fr-FR"/>
        </w:rPr>
        <w:t>application</w:t>
      </w:r>
      <w:r>
        <w:rPr>
          <w:lang w:val="fr-FR"/>
        </w:rPr>
        <w:t xml:space="preserve"> inclus les </w:t>
      </w:r>
      <w:r w:rsidRPr="000771FD">
        <w:rPr>
          <w:lang w:val="fr-FR"/>
        </w:rPr>
        <w:t>gaz liquéfiés</w:t>
      </w:r>
      <w:r>
        <w:rPr>
          <w:lang w:val="fr-FR"/>
        </w:rPr>
        <w:t>;</w:t>
      </w:r>
    </w:p>
    <w:p w:rsidR="00D403C5" w:rsidRPr="00650B2E" w:rsidRDefault="00D403C5" w:rsidP="00A90CA4">
      <w:pPr>
        <w:pStyle w:val="Bullet1"/>
        <w:ind w:left="1743" w:hanging="130"/>
        <w:rPr>
          <w:lang w:val="fr-FR"/>
        </w:rPr>
      </w:pPr>
      <w:r w:rsidRPr="00650B2E">
        <w:rPr>
          <w:lang w:val="fr-FR"/>
        </w:rPr>
        <w:t>Le contrôle par ultrasons du tube de base</w:t>
      </w:r>
      <w:r>
        <w:rPr>
          <w:lang w:val="fr-FR"/>
        </w:rPr>
        <w:t>,</w:t>
      </w:r>
      <w:r w:rsidRPr="00650B2E">
        <w:rPr>
          <w:lang w:val="fr-FR"/>
        </w:rPr>
        <w:t xml:space="preserve"> avant </w:t>
      </w:r>
      <w:r>
        <w:rPr>
          <w:lang w:val="fr-FR"/>
        </w:rPr>
        <w:t>le début du</w:t>
      </w:r>
      <w:r w:rsidRPr="00650B2E">
        <w:rPr>
          <w:lang w:val="fr-FR"/>
        </w:rPr>
        <w:t xml:space="preserve"> processus de fabrication</w:t>
      </w:r>
      <w:r>
        <w:rPr>
          <w:lang w:val="fr-FR"/>
        </w:rPr>
        <w:t>,</w:t>
      </w:r>
      <w:r w:rsidRPr="00650B2E">
        <w:rPr>
          <w:lang w:val="fr-FR"/>
        </w:rPr>
        <w:t xml:space="preserve"> est obligatoire;</w:t>
      </w:r>
    </w:p>
    <w:p w:rsidR="00D403C5" w:rsidRPr="00650B2E" w:rsidRDefault="00D403C5" w:rsidP="00A90CA4">
      <w:pPr>
        <w:pStyle w:val="Bullet1"/>
        <w:ind w:left="1743" w:hanging="130"/>
        <w:rPr>
          <w:lang w:val="fr-FR"/>
        </w:rPr>
      </w:pPr>
      <w:r w:rsidRPr="00650B2E">
        <w:rPr>
          <w:lang w:val="fr-FR"/>
        </w:rPr>
        <w:t>Les concentrations autorisées en phosphore et en soufre dans l</w:t>
      </w:r>
      <w:r>
        <w:rPr>
          <w:lang w:val="fr-FR"/>
        </w:rPr>
        <w:t>’</w:t>
      </w:r>
      <w:r w:rsidRPr="00650B2E">
        <w:rPr>
          <w:lang w:val="fr-FR"/>
        </w:rPr>
        <w:t>acier ont été abaissées, et l</w:t>
      </w:r>
      <w:r>
        <w:rPr>
          <w:lang w:val="fr-FR"/>
        </w:rPr>
        <w:t>’</w:t>
      </w:r>
      <w:r w:rsidRPr="00650B2E">
        <w:rPr>
          <w:lang w:val="fr-FR"/>
        </w:rPr>
        <w:t>acier au nickel-chrome-molybdène est autorisé;</w:t>
      </w:r>
    </w:p>
    <w:p w:rsidR="00D403C5" w:rsidRPr="00650B2E" w:rsidRDefault="00D403C5" w:rsidP="00A90CA4">
      <w:pPr>
        <w:pStyle w:val="Bullet1"/>
        <w:ind w:left="1743" w:hanging="130"/>
        <w:rPr>
          <w:lang w:val="fr-FR"/>
        </w:rPr>
      </w:pPr>
      <w:r w:rsidRPr="00650B2E">
        <w:rPr>
          <w:lang w:val="fr-FR"/>
        </w:rPr>
        <w:t>Une procédure d</w:t>
      </w:r>
      <w:r>
        <w:rPr>
          <w:lang w:val="fr-FR"/>
        </w:rPr>
        <w:t>’</w:t>
      </w:r>
      <w:r w:rsidRPr="00650B2E">
        <w:rPr>
          <w:lang w:val="fr-FR"/>
        </w:rPr>
        <w:t>homologation de type a été ajoutée;</w:t>
      </w:r>
    </w:p>
    <w:p w:rsidR="00D403C5" w:rsidRPr="00650B2E" w:rsidRDefault="00D403C5" w:rsidP="00A90CA4">
      <w:pPr>
        <w:pStyle w:val="Bullet1"/>
        <w:ind w:left="1743" w:hanging="130"/>
        <w:rPr>
          <w:lang w:val="fr-FR"/>
        </w:rPr>
      </w:pPr>
      <w:r w:rsidRPr="00650B2E">
        <w:rPr>
          <w:lang w:val="fr-FR"/>
        </w:rPr>
        <w:t xml:space="preserve">Les prescriptions relatives aux gaz </w:t>
      </w:r>
      <w:proofErr w:type="spellStart"/>
      <w:r w:rsidRPr="00650B2E">
        <w:rPr>
          <w:lang w:val="fr-FR"/>
        </w:rPr>
        <w:t>fragilisants</w:t>
      </w:r>
      <w:proofErr w:type="spellEnd"/>
      <w:r w:rsidRPr="00650B2E">
        <w:rPr>
          <w:lang w:val="fr-FR"/>
        </w:rPr>
        <w:t xml:space="preserve"> ont été révisées. </w:t>
      </w:r>
    </w:p>
    <w:p w:rsidR="00D403C5" w:rsidRDefault="00D403C5" w:rsidP="00A90CA4">
      <w:pPr>
        <w:pStyle w:val="SingleTxt"/>
        <w:rPr>
          <w:lang w:val="fr-FR"/>
        </w:rPr>
      </w:pPr>
      <w:r w:rsidRPr="00650B2E">
        <w:rPr>
          <w:lang w:val="fr-FR"/>
        </w:rPr>
        <w:t>Une période de transition standard de six ans est proposée.</w:t>
      </w:r>
    </w:p>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Default="00D403C5" w:rsidP="00A90CA4">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650B2E">
        <w:rPr>
          <w:lang w:val="fr-FR"/>
        </w:rPr>
        <w:tab/>
      </w:r>
      <w:r w:rsidRPr="00650B2E">
        <w:rPr>
          <w:lang w:val="fr-FR"/>
        </w:rPr>
        <w:tab/>
        <w:t>Proposition 3</w:t>
      </w:r>
    </w:p>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Pr="00650B2E" w:rsidRDefault="00D403C5" w:rsidP="00A90CA4">
      <w:pPr>
        <w:pStyle w:val="SingleTxt"/>
        <w:numPr>
          <w:ilvl w:val="0"/>
          <w:numId w:val="10"/>
        </w:numPr>
        <w:ind w:left="1267" w:firstLine="0"/>
        <w:rPr>
          <w:lang w:val="fr-FR"/>
        </w:rPr>
      </w:pPr>
      <w:r w:rsidRPr="00650B2E">
        <w:rPr>
          <w:lang w:val="fr-FR"/>
        </w:rPr>
        <w:t>Après le</w:t>
      </w:r>
      <w:r>
        <w:rPr>
          <w:lang w:val="fr-FR"/>
        </w:rPr>
        <w:t xml:space="preserve"> </w:t>
      </w:r>
      <w:r w:rsidRPr="00A90CA4">
        <w:rPr>
          <w:spacing w:val="0"/>
          <w:lang w:val="fr-FR"/>
        </w:rPr>
        <w:t>paragraphe</w:t>
      </w:r>
      <w:r w:rsidRPr="00650B2E">
        <w:rPr>
          <w:lang w:val="fr-FR"/>
        </w:rPr>
        <w:t xml:space="preserve"> 6.2.2.1.7, ajouter le nouveau paragraphe suivant :</w:t>
      </w:r>
    </w:p>
    <w:p w:rsidR="00D403C5" w:rsidRPr="00650B2E" w:rsidRDefault="00A90CA4" w:rsidP="00A90CA4">
      <w:pPr>
        <w:pStyle w:val="SingleTxt"/>
        <w:ind w:left="1742" w:hanging="475"/>
        <w:rPr>
          <w:lang w:val="fr-FR"/>
        </w:rPr>
      </w:pPr>
      <w:r>
        <w:rPr>
          <w:lang w:val="fr-FR"/>
        </w:rPr>
        <w:tab/>
        <w:t>« </w:t>
      </w:r>
      <w:r w:rsidR="00D403C5" w:rsidRPr="00650B2E">
        <w:rPr>
          <w:lang w:val="fr-FR"/>
        </w:rPr>
        <w:t>6.2.2.1.8</w:t>
      </w:r>
      <w:r w:rsidR="00D403C5" w:rsidRPr="00650B2E">
        <w:rPr>
          <w:lang w:val="fr-FR"/>
        </w:rPr>
        <w:tab/>
        <w:t>La norme ci-après s</w:t>
      </w:r>
      <w:r w:rsidR="00D403C5">
        <w:rPr>
          <w:lang w:val="fr-FR"/>
        </w:rPr>
        <w:t>’</w:t>
      </w:r>
      <w:r w:rsidR="00D403C5" w:rsidRPr="00650B2E">
        <w:rPr>
          <w:lang w:val="fr-FR"/>
        </w:rPr>
        <w:t>applique à la conception, à la construction ainsi qu</w:t>
      </w:r>
      <w:r w:rsidR="00D403C5">
        <w:rPr>
          <w:lang w:val="fr-FR"/>
        </w:rPr>
        <w:t>’</w:t>
      </w:r>
      <w:r w:rsidR="00D403C5" w:rsidRPr="00650B2E">
        <w:rPr>
          <w:lang w:val="fr-FR"/>
        </w:rPr>
        <w:t xml:space="preserve">aux contrôles et aux épreuves initiaux des fûts à pression </w:t>
      </w:r>
      <w:r w:rsidR="00D403C5">
        <w:rPr>
          <w:lang w:val="fr-FR"/>
        </w:rPr>
        <w:t>“</w:t>
      </w:r>
      <w:r w:rsidR="00D403C5" w:rsidRPr="00650B2E">
        <w:rPr>
          <w:lang w:val="fr-FR"/>
        </w:rPr>
        <w:t>UN</w:t>
      </w:r>
      <w:r w:rsidR="00D403C5">
        <w:rPr>
          <w:lang w:val="fr-FR"/>
        </w:rPr>
        <w:t>”</w:t>
      </w:r>
      <w:r w:rsidR="00D403C5" w:rsidRPr="00650B2E">
        <w:rPr>
          <w:lang w:val="fr-FR"/>
        </w:rPr>
        <w:t>, si ce n</w:t>
      </w:r>
      <w:r w:rsidR="00D403C5">
        <w:rPr>
          <w:lang w:val="fr-FR"/>
        </w:rPr>
        <w:t>’</w:t>
      </w:r>
      <w:r w:rsidR="00D403C5" w:rsidRPr="00650B2E">
        <w:rPr>
          <w:lang w:val="fr-FR"/>
        </w:rPr>
        <w:t>est que les prescriptions de contrôle relatives au système d</w:t>
      </w:r>
      <w:r w:rsidR="00D403C5">
        <w:rPr>
          <w:lang w:val="fr-FR"/>
        </w:rPr>
        <w:t>’</w:t>
      </w:r>
      <w:r w:rsidR="00D403C5" w:rsidRPr="00650B2E">
        <w:rPr>
          <w:lang w:val="fr-FR"/>
        </w:rPr>
        <w:t>évaluation de conformité et à l</w:t>
      </w:r>
      <w:r w:rsidR="00D403C5">
        <w:rPr>
          <w:lang w:val="fr-FR"/>
        </w:rPr>
        <w:t>’</w:t>
      </w:r>
      <w:r w:rsidR="00D403C5" w:rsidRPr="00650B2E">
        <w:rPr>
          <w:lang w:val="fr-FR"/>
        </w:rPr>
        <w:t>agrément doivent être conformes au 6.2.2.5</w:t>
      </w:r>
      <w:r>
        <w:rPr>
          <w:lang w:val="fr-FR"/>
        </w:rPr>
        <w:t> </w:t>
      </w:r>
      <w:r w:rsidR="00D403C5" w:rsidRPr="00650B2E">
        <w:rPr>
          <w:lang w:val="fr-FR"/>
        </w:rPr>
        <w:t>:</w:t>
      </w:r>
    </w:p>
    <w:tbl>
      <w:tblPr>
        <w:tblW w:w="0" w:type="auto"/>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573"/>
        <w:gridCol w:w="2043"/>
      </w:tblGrid>
      <w:tr w:rsidR="00D403C5" w:rsidRPr="00650B2E" w:rsidTr="00E55BBD">
        <w:tc>
          <w:tcPr>
            <w:tcW w:w="1413" w:type="dxa"/>
            <w:shd w:val="clear" w:color="auto" w:fill="auto"/>
            <w:vAlign w:val="center"/>
          </w:tcPr>
          <w:p w:rsidR="00D403C5" w:rsidRPr="00650B2E" w:rsidRDefault="00D403C5" w:rsidP="00783B46">
            <w:pPr>
              <w:jc w:val="center"/>
              <w:rPr>
                <w:b/>
                <w:lang w:val="fr-FR"/>
              </w:rPr>
            </w:pPr>
            <w:r w:rsidRPr="00650B2E">
              <w:rPr>
                <w:b/>
                <w:lang w:val="fr-FR"/>
              </w:rPr>
              <w:t>Référence</w:t>
            </w:r>
          </w:p>
        </w:tc>
        <w:tc>
          <w:tcPr>
            <w:tcW w:w="3573" w:type="dxa"/>
            <w:shd w:val="clear" w:color="auto" w:fill="auto"/>
            <w:vAlign w:val="center"/>
          </w:tcPr>
          <w:p w:rsidR="00D403C5" w:rsidRPr="00650B2E" w:rsidRDefault="00D403C5" w:rsidP="00783B46">
            <w:pPr>
              <w:jc w:val="center"/>
              <w:rPr>
                <w:b/>
                <w:lang w:val="fr-FR"/>
              </w:rPr>
            </w:pPr>
            <w:r w:rsidRPr="00650B2E">
              <w:rPr>
                <w:b/>
                <w:lang w:val="fr-FR"/>
              </w:rPr>
              <w:t>Titre</w:t>
            </w:r>
          </w:p>
        </w:tc>
        <w:tc>
          <w:tcPr>
            <w:tcW w:w="2043" w:type="dxa"/>
            <w:shd w:val="clear" w:color="auto" w:fill="auto"/>
            <w:vAlign w:val="center"/>
          </w:tcPr>
          <w:p w:rsidR="00D403C5" w:rsidRPr="00650B2E" w:rsidRDefault="00D403C5" w:rsidP="00783B46">
            <w:pPr>
              <w:jc w:val="center"/>
              <w:rPr>
                <w:b/>
                <w:lang w:val="fr-FR"/>
              </w:rPr>
            </w:pPr>
            <w:r w:rsidRPr="00650B2E">
              <w:rPr>
                <w:b/>
                <w:lang w:val="fr-FR"/>
              </w:rPr>
              <w:t>Applicable à la fabrication</w:t>
            </w:r>
          </w:p>
        </w:tc>
      </w:tr>
      <w:tr w:rsidR="00D403C5" w:rsidRPr="00650B2E" w:rsidTr="00E55BBD">
        <w:tc>
          <w:tcPr>
            <w:tcW w:w="1413" w:type="dxa"/>
            <w:shd w:val="clear" w:color="auto" w:fill="auto"/>
          </w:tcPr>
          <w:p w:rsidR="00D403C5" w:rsidRPr="00650B2E" w:rsidRDefault="00D403C5" w:rsidP="00783B46">
            <w:pPr>
              <w:rPr>
                <w:lang w:val="fr-FR"/>
              </w:rPr>
            </w:pPr>
            <w:r w:rsidRPr="00650B2E">
              <w:rPr>
                <w:lang w:val="fr-FR"/>
              </w:rPr>
              <w:t>ISO 21172-1: 2015</w:t>
            </w:r>
          </w:p>
        </w:tc>
        <w:tc>
          <w:tcPr>
            <w:tcW w:w="3573" w:type="dxa"/>
            <w:shd w:val="clear" w:color="auto" w:fill="auto"/>
          </w:tcPr>
          <w:p w:rsidR="00D403C5" w:rsidRPr="00650B2E" w:rsidRDefault="00D403C5" w:rsidP="00783B46">
            <w:pPr>
              <w:jc w:val="both"/>
              <w:rPr>
                <w:lang w:val="fr-FR"/>
              </w:rPr>
            </w:pPr>
            <w:r w:rsidRPr="00650B2E">
              <w:rPr>
                <w:lang w:val="fr-FR"/>
              </w:rPr>
              <w:t>Bouteilles à gaz – Fûts soudés de capacité inférieure ou égale à 3</w:t>
            </w:r>
            <w:r w:rsidR="00D41438">
              <w:rPr>
                <w:lang w:val="fr-FR"/>
              </w:rPr>
              <w:t> </w:t>
            </w:r>
            <w:r w:rsidRPr="00650B2E">
              <w:rPr>
                <w:lang w:val="fr-FR"/>
              </w:rPr>
              <w:t>000 litres destinés au transport des gazes</w:t>
            </w:r>
            <w:r>
              <w:rPr>
                <w:lang w:val="fr-FR"/>
              </w:rPr>
              <w:t xml:space="preserve"> – </w:t>
            </w:r>
            <w:r w:rsidR="00E55BBD">
              <w:rPr>
                <w:lang w:val="fr-FR"/>
              </w:rPr>
              <w:t>Partie 1 </w:t>
            </w:r>
            <w:r w:rsidRPr="00650B2E">
              <w:rPr>
                <w:lang w:val="fr-FR"/>
              </w:rPr>
              <w:t>: Capacité jusqu</w:t>
            </w:r>
            <w:r>
              <w:rPr>
                <w:lang w:val="fr-FR"/>
              </w:rPr>
              <w:t>’</w:t>
            </w:r>
            <w:r w:rsidRPr="00650B2E">
              <w:rPr>
                <w:lang w:val="fr-FR"/>
              </w:rPr>
              <w:t>à 1</w:t>
            </w:r>
            <w:r w:rsidR="00D41438">
              <w:rPr>
                <w:lang w:val="fr-FR"/>
              </w:rPr>
              <w:t> </w:t>
            </w:r>
            <w:r w:rsidRPr="00650B2E">
              <w:rPr>
                <w:lang w:val="fr-FR"/>
              </w:rPr>
              <w:t xml:space="preserve">000 litres </w:t>
            </w:r>
          </w:p>
        </w:tc>
        <w:tc>
          <w:tcPr>
            <w:tcW w:w="2043" w:type="dxa"/>
            <w:shd w:val="clear" w:color="auto" w:fill="auto"/>
          </w:tcPr>
          <w:p w:rsidR="00D403C5" w:rsidRPr="00650B2E" w:rsidRDefault="00D403C5" w:rsidP="00783B46">
            <w:pPr>
              <w:jc w:val="both"/>
              <w:rPr>
                <w:lang w:val="fr-FR"/>
              </w:rPr>
            </w:pPr>
            <w:r w:rsidRPr="00650B2E">
              <w:rPr>
                <w:lang w:val="fr-FR"/>
              </w:rPr>
              <w:t>Jusqu</w:t>
            </w:r>
            <w:r>
              <w:rPr>
                <w:lang w:val="fr-FR"/>
              </w:rPr>
              <w:t>’</w:t>
            </w:r>
            <w:r w:rsidRPr="00650B2E">
              <w:rPr>
                <w:lang w:val="fr-FR"/>
              </w:rPr>
              <w:t>à nouvel ordre</w:t>
            </w:r>
          </w:p>
        </w:tc>
      </w:tr>
    </w:tbl>
    <w:p w:rsidR="00D403C5" w:rsidRPr="00650B2E" w:rsidRDefault="00A90CA4" w:rsidP="004F0386">
      <w:pPr>
        <w:pStyle w:val="SingleTxt"/>
        <w:jc w:val="right"/>
        <w:rPr>
          <w:lang w:val="fr-FR"/>
        </w:rPr>
      </w:pPr>
      <w:r>
        <w:rPr>
          <w:lang w:val="fr-FR"/>
        </w:rPr>
        <w:t> »</w:t>
      </w:r>
      <w:r w:rsidR="00D403C5" w:rsidRPr="00650B2E">
        <w:rPr>
          <w:lang w:val="fr-FR"/>
        </w:rPr>
        <w:t>.</w:t>
      </w:r>
    </w:p>
    <w:p w:rsidR="00A90CA4" w:rsidRPr="00A90CA4" w:rsidRDefault="00A90CA4" w:rsidP="00A90CA4">
      <w:pPr>
        <w:pStyle w:val="SingleTxt"/>
        <w:spacing w:after="0" w:line="120" w:lineRule="exact"/>
        <w:rPr>
          <w:sz w:val="10"/>
          <w:lang w:val="fr-FR"/>
        </w:rPr>
      </w:pPr>
    </w:p>
    <w:p w:rsidR="00A90CA4" w:rsidRPr="00A90CA4" w:rsidRDefault="00A90CA4" w:rsidP="00A90CA4">
      <w:pPr>
        <w:pStyle w:val="SingleTxt"/>
        <w:spacing w:after="0" w:line="120" w:lineRule="exact"/>
        <w:rPr>
          <w:sz w:val="10"/>
          <w:lang w:val="fr-FR"/>
        </w:rPr>
      </w:pPr>
    </w:p>
    <w:p w:rsidR="00D403C5" w:rsidRDefault="00D403C5" w:rsidP="00D414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50B2E">
        <w:rPr>
          <w:lang w:val="fr-FR"/>
        </w:rPr>
        <w:tab/>
      </w:r>
      <w:r w:rsidRPr="00650B2E">
        <w:rPr>
          <w:lang w:val="fr-FR"/>
        </w:rPr>
        <w:tab/>
        <w:t>Justification de la proposition 3</w:t>
      </w:r>
    </w:p>
    <w:p w:rsidR="00A90CA4" w:rsidRPr="00A90CA4" w:rsidRDefault="00A90CA4" w:rsidP="00D41438">
      <w:pPr>
        <w:pStyle w:val="SingleTxt"/>
        <w:keepNext/>
        <w:spacing w:after="0" w:line="120" w:lineRule="exact"/>
        <w:rPr>
          <w:sz w:val="10"/>
          <w:lang w:val="fr-FR"/>
        </w:rPr>
      </w:pPr>
    </w:p>
    <w:p w:rsidR="00A90CA4" w:rsidRPr="00A90CA4" w:rsidRDefault="00A90CA4" w:rsidP="00D41438">
      <w:pPr>
        <w:pStyle w:val="SingleTxt"/>
        <w:keepNext/>
        <w:spacing w:after="0" w:line="120" w:lineRule="exact"/>
        <w:rPr>
          <w:sz w:val="10"/>
          <w:lang w:val="fr-FR"/>
        </w:rPr>
      </w:pPr>
    </w:p>
    <w:p w:rsidR="00D403C5" w:rsidRPr="00A90CA4" w:rsidRDefault="00D403C5" w:rsidP="00D41438">
      <w:pPr>
        <w:pStyle w:val="SingleTxt"/>
        <w:keepNext/>
        <w:numPr>
          <w:ilvl w:val="0"/>
          <w:numId w:val="10"/>
        </w:numPr>
        <w:ind w:left="1267" w:firstLine="0"/>
      </w:pPr>
      <w:r w:rsidRPr="00650B2E">
        <w:rPr>
          <w:lang w:val="fr-FR"/>
        </w:rPr>
        <w:t>Les fûts à pression sont l</w:t>
      </w:r>
      <w:r>
        <w:rPr>
          <w:lang w:val="fr-FR"/>
        </w:rPr>
        <w:t>’</w:t>
      </w:r>
      <w:r w:rsidRPr="00650B2E">
        <w:rPr>
          <w:lang w:val="fr-FR"/>
        </w:rPr>
        <w:t>un des quatre types de récipient à pression visés par l</w:t>
      </w:r>
      <w:r>
        <w:rPr>
          <w:lang w:val="fr-FR"/>
        </w:rPr>
        <w:t>’</w:t>
      </w:r>
      <w:r w:rsidRPr="00650B2E">
        <w:rPr>
          <w:lang w:val="fr-FR"/>
        </w:rPr>
        <w:t>instruction d</w:t>
      </w:r>
      <w:r>
        <w:rPr>
          <w:lang w:val="fr-FR"/>
        </w:rPr>
        <w:t>’</w:t>
      </w:r>
      <w:r w:rsidRPr="00650B2E">
        <w:rPr>
          <w:lang w:val="fr-FR"/>
        </w:rPr>
        <w:t>emballage P200</w:t>
      </w:r>
      <w:r>
        <w:rPr>
          <w:lang w:val="fr-FR"/>
        </w:rPr>
        <w:t>. Or</w:t>
      </w:r>
      <w:r w:rsidRPr="00650B2E">
        <w:rPr>
          <w:lang w:val="fr-FR"/>
        </w:rPr>
        <w:t>, jusqu</w:t>
      </w:r>
      <w:r>
        <w:rPr>
          <w:lang w:val="fr-FR"/>
        </w:rPr>
        <w:t>’</w:t>
      </w:r>
      <w:r w:rsidRPr="00650B2E">
        <w:rPr>
          <w:lang w:val="fr-FR"/>
        </w:rPr>
        <w:t xml:space="preserve">à présent, </w:t>
      </w:r>
      <w:r>
        <w:rPr>
          <w:lang w:val="fr-FR"/>
        </w:rPr>
        <w:t xml:space="preserve">ils </w:t>
      </w:r>
      <w:r w:rsidRPr="00650B2E">
        <w:rPr>
          <w:lang w:val="fr-FR"/>
        </w:rPr>
        <w:t>ne faisaient pas l</w:t>
      </w:r>
      <w:r>
        <w:rPr>
          <w:lang w:val="fr-FR"/>
        </w:rPr>
        <w:t>’</w:t>
      </w:r>
      <w:r w:rsidRPr="00650B2E">
        <w:rPr>
          <w:lang w:val="fr-FR"/>
        </w:rPr>
        <w:t>objet d</w:t>
      </w:r>
      <w:r>
        <w:rPr>
          <w:lang w:val="fr-FR"/>
        </w:rPr>
        <w:t>’</w:t>
      </w:r>
      <w:r w:rsidRPr="00650B2E">
        <w:rPr>
          <w:lang w:val="fr-FR"/>
        </w:rPr>
        <w:t xml:space="preserve">une norme ISO applicable à la conception, à la fabrication et aux essais. Cette proposition vient donc combler une lacune de longue date chez les récipients à pression </w:t>
      </w:r>
      <w:r w:rsidR="00E55BBD">
        <w:rPr>
          <w:lang w:val="fr-FR"/>
        </w:rPr>
        <w:t>« </w:t>
      </w:r>
      <w:r w:rsidRPr="00650B2E">
        <w:rPr>
          <w:lang w:val="fr-FR"/>
        </w:rPr>
        <w:t>UN</w:t>
      </w:r>
      <w:r w:rsidR="00E55BBD">
        <w:rPr>
          <w:lang w:val="fr-FR"/>
        </w:rPr>
        <w:t> »</w:t>
      </w:r>
      <w:r w:rsidRPr="00650B2E">
        <w:rPr>
          <w:lang w:val="fr-FR"/>
        </w:rPr>
        <w:t>. Seize pays, dont l</w:t>
      </w:r>
      <w:r>
        <w:rPr>
          <w:lang w:val="fr-FR"/>
        </w:rPr>
        <w:t>’</w:t>
      </w:r>
      <w:r w:rsidRPr="00650B2E">
        <w:rPr>
          <w:lang w:val="fr-FR"/>
        </w:rPr>
        <w:t>Afrique du Sud, l</w:t>
      </w:r>
      <w:r>
        <w:rPr>
          <w:lang w:val="fr-FR"/>
        </w:rPr>
        <w:t>’</w:t>
      </w:r>
      <w:r w:rsidRPr="00650B2E">
        <w:rPr>
          <w:lang w:val="fr-FR"/>
        </w:rPr>
        <w:t>Allemagne, l</w:t>
      </w:r>
      <w:r>
        <w:rPr>
          <w:lang w:val="fr-FR"/>
        </w:rPr>
        <w:t>’</w:t>
      </w:r>
      <w:r w:rsidRPr="00650B2E">
        <w:rPr>
          <w:lang w:val="fr-FR"/>
        </w:rPr>
        <w:t>Australie, le Brésil, le Canada, la Chine, les États-Unis d</w:t>
      </w:r>
      <w:r>
        <w:rPr>
          <w:lang w:val="fr-FR"/>
        </w:rPr>
        <w:t>’</w:t>
      </w:r>
      <w:r w:rsidRPr="00650B2E">
        <w:rPr>
          <w:lang w:val="fr-FR"/>
        </w:rPr>
        <w:t>Amérique, la France, l</w:t>
      </w:r>
      <w:r>
        <w:rPr>
          <w:lang w:val="fr-FR"/>
        </w:rPr>
        <w:t>’</w:t>
      </w:r>
      <w:r w:rsidRPr="00650B2E">
        <w:rPr>
          <w:lang w:val="fr-FR"/>
        </w:rPr>
        <w:t>Inde, le Japon, la République de Corée et le Royaume-Uni, ont adopté cette norme. Il n</w:t>
      </w:r>
      <w:r>
        <w:rPr>
          <w:lang w:val="fr-FR"/>
        </w:rPr>
        <w:t>’</w:t>
      </w:r>
      <w:r w:rsidRPr="00650B2E">
        <w:rPr>
          <w:lang w:val="fr-FR"/>
        </w:rPr>
        <w:t>y a eu aucune voix contre, et les 10 abstentions peuvent s</w:t>
      </w:r>
      <w:r>
        <w:rPr>
          <w:lang w:val="fr-FR"/>
        </w:rPr>
        <w:t>’</w:t>
      </w:r>
      <w:r w:rsidRPr="00650B2E">
        <w:rPr>
          <w:lang w:val="fr-FR"/>
        </w:rPr>
        <w:t>expliquer par le fait que ces membres de l</w:t>
      </w:r>
      <w:r>
        <w:rPr>
          <w:lang w:val="fr-FR"/>
        </w:rPr>
        <w:t>’</w:t>
      </w:r>
      <w:r w:rsidRPr="00650B2E">
        <w:rPr>
          <w:lang w:val="fr-FR"/>
        </w:rPr>
        <w:t>ISO ne disposaient pas d</w:t>
      </w:r>
      <w:r>
        <w:rPr>
          <w:lang w:val="fr-FR"/>
        </w:rPr>
        <w:t>’</w:t>
      </w:r>
      <w:r w:rsidRPr="00650B2E">
        <w:rPr>
          <w:lang w:val="fr-FR"/>
        </w:rPr>
        <w:t>experts ayant les compétences nécessaires.</w:t>
      </w:r>
    </w:p>
    <w:p w:rsidR="00A90CA4" w:rsidRPr="00A90CA4" w:rsidRDefault="00A90CA4" w:rsidP="00A90CA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90CA4" w:rsidRPr="00A90CA4" w:rsidSect="00C8562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10T18:01:00Z" w:initials="Start">
    <w:p w:rsidR="00C8562C" w:rsidRDefault="00C8562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NO&gt;&gt;N1519685F&lt;&lt;ODS JOB NO&gt;&gt;</w:t>
      </w:r>
    </w:p>
    <w:p w:rsidR="00C8562C" w:rsidRDefault="00C8562C">
      <w:pPr>
        <w:pStyle w:val="CommentText"/>
      </w:pPr>
      <w:r>
        <w:t>&lt;&lt;ODS DOC SYMBOL1&gt;&gt;ST/SG/AC.10/C.3/2015/39&lt;&lt;ODS DOC SYMBOL1&gt;&gt;</w:t>
      </w:r>
    </w:p>
    <w:p w:rsidR="00C8562C" w:rsidRDefault="00C8562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BAF" w:rsidRDefault="00E21BAF" w:rsidP="00F3330B">
      <w:pPr>
        <w:spacing w:line="240" w:lineRule="auto"/>
      </w:pPr>
      <w:r>
        <w:separator/>
      </w:r>
    </w:p>
  </w:endnote>
  <w:endnote w:type="continuationSeparator" w:id="0">
    <w:p w:rsidR="00E21BAF" w:rsidRDefault="00E21BA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8562C" w:rsidTr="00C8562C">
      <w:trPr>
        <w:jc w:val="center"/>
      </w:trPr>
      <w:tc>
        <w:tcPr>
          <w:tcW w:w="5126" w:type="dxa"/>
          <w:shd w:val="clear" w:color="auto" w:fill="auto"/>
        </w:tcPr>
        <w:p w:rsidR="00C8562C" w:rsidRPr="00C8562C" w:rsidRDefault="00C8562C" w:rsidP="00C8562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7EF0">
            <w:rPr>
              <w:b w:val="0"/>
              <w:w w:val="103"/>
              <w:sz w:val="14"/>
            </w:rPr>
            <w:t>GE.15-14772</w:t>
          </w:r>
          <w:r>
            <w:rPr>
              <w:b w:val="0"/>
              <w:w w:val="103"/>
              <w:sz w:val="14"/>
            </w:rPr>
            <w:fldChar w:fldCharType="end"/>
          </w:r>
        </w:p>
      </w:tc>
      <w:tc>
        <w:tcPr>
          <w:tcW w:w="5127" w:type="dxa"/>
          <w:shd w:val="clear" w:color="auto" w:fill="auto"/>
        </w:tcPr>
        <w:p w:rsidR="00C8562C" w:rsidRPr="00C8562C" w:rsidRDefault="00C8562C" w:rsidP="00C8562C">
          <w:pPr>
            <w:pStyle w:val="Footer"/>
            <w:rPr>
              <w:w w:val="103"/>
            </w:rPr>
          </w:pPr>
          <w:r>
            <w:rPr>
              <w:w w:val="103"/>
            </w:rPr>
            <w:fldChar w:fldCharType="begin"/>
          </w:r>
          <w:r>
            <w:rPr>
              <w:w w:val="103"/>
            </w:rPr>
            <w:instrText xml:space="preserve"> PAGE  \* Arabic  \* MERGEFORMAT </w:instrText>
          </w:r>
          <w:r>
            <w:rPr>
              <w:w w:val="103"/>
            </w:rPr>
            <w:fldChar w:fldCharType="separate"/>
          </w:r>
          <w:r w:rsidR="00F27EF0">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7EF0">
            <w:rPr>
              <w:noProof/>
              <w:w w:val="103"/>
            </w:rPr>
            <w:t>4</w:t>
          </w:r>
          <w:r>
            <w:rPr>
              <w:w w:val="103"/>
            </w:rPr>
            <w:fldChar w:fldCharType="end"/>
          </w:r>
        </w:p>
      </w:tc>
    </w:tr>
  </w:tbl>
  <w:p w:rsidR="00C8562C" w:rsidRPr="00C8562C" w:rsidRDefault="00C8562C" w:rsidP="00C85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8562C" w:rsidTr="00C8562C">
      <w:trPr>
        <w:jc w:val="center"/>
      </w:trPr>
      <w:tc>
        <w:tcPr>
          <w:tcW w:w="5126" w:type="dxa"/>
          <w:shd w:val="clear" w:color="auto" w:fill="auto"/>
        </w:tcPr>
        <w:p w:rsidR="00C8562C" w:rsidRPr="00C8562C" w:rsidRDefault="00C8562C" w:rsidP="00C8562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27EF0">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27EF0">
            <w:rPr>
              <w:noProof/>
              <w:w w:val="103"/>
            </w:rPr>
            <w:t>4</w:t>
          </w:r>
          <w:r>
            <w:rPr>
              <w:w w:val="103"/>
            </w:rPr>
            <w:fldChar w:fldCharType="end"/>
          </w:r>
        </w:p>
      </w:tc>
      <w:tc>
        <w:tcPr>
          <w:tcW w:w="5127" w:type="dxa"/>
          <w:shd w:val="clear" w:color="auto" w:fill="auto"/>
        </w:tcPr>
        <w:p w:rsidR="00C8562C" w:rsidRPr="00C8562C" w:rsidRDefault="00C8562C" w:rsidP="00C8562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27EF0">
            <w:rPr>
              <w:b w:val="0"/>
              <w:w w:val="103"/>
              <w:sz w:val="14"/>
            </w:rPr>
            <w:t>GE.15-14772</w:t>
          </w:r>
          <w:r>
            <w:rPr>
              <w:b w:val="0"/>
              <w:w w:val="103"/>
              <w:sz w:val="14"/>
            </w:rPr>
            <w:fldChar w:fldCharType="end"/>
          </w:r>
        </w:p>
      </w:tc>
    </w:tr>
  </w:tbl>
  <w:p w:rsidR="00C8562C" w:rsidRPr="00C8562C" w:rsidRDefault="00C8562C" w:rsidP="00C85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62C" w:rsidRDefault="00C8562C">
    <w:pPr>
      <w:pStyle w:val="Footer"/>
    </w:pPr>
    <w:r>
      <w:rPr>
        <w:noProof/>
        <w:lang w:val="en-GB" w:eastAsia="en-GB"/>
      </w:rPr>
      <w:drawing>
        <wp:anchor distT="0" distB="0" distL="114300" distR="114300" simplePos="0" relativeHeight="251658240" behindDoc="0" locked="0" layoutInCell="1" allowOverlap="1" wp14:anchorId="6B1665BA" wp14:editId="554976E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3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3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C8562C" w:rsidTr="00C8562C">
      <w:tc>
        <w:tcPr>
          <w:tcW w:w="3859" w:type="dxa"/>
        </w:tcPr>
        <w:p w:rsidR="00C8562C" w:rsidRDefault="00C8562C" w:rsidP="00C8562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27EF0">
            <w:rPr>
              <w:b w:val="0"/>
              <w:sz w:val="20"/>
            </w:rPr>
            <w:t>GE.15-14772 (F)</w:t>
          </w:r>
          <w:r>
            <w:rPr>
              <w:b w:val="0"/>
              <w:sz w:val="20"/>
            </w:rPr>
            <w:fldChar w:fldCharType="end"/>
          </w:r>
          <w:r w:rsidR="00A90CA4">
            <w:rPr>
              <w:b w:val="0"/>
              <w:sz w:val="20"/>
            </w:rPr>
            <w:t xml:space="preserve">    101115    11</w:t>
          </w:r>
          <w:r>
            <w:rPr>
              <w:b w:val="0"/>
              <w:sz w:val="20"/>
            </w:rPr>
            <w:t>1115</w:t>
          </w:r>
        </w:p>
        <w:p w:rsidR="00C8562C" w:rsidRPr="00C8562C" w:rsidRDefault="00C8562C" w:rsidP="00C8562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27EF0">
            <w:rPr>
              <w:rFonts w:ascii="Barcode 3 of 9 by request" w:hAnsi="Barcode 3 of 9 by request"/>
              <w:b w:val="0"/>
              <w:spacing w:val="0"/>
              <w:w w:val="100"/>
              <w:sz w:val="24"/>
            </w:rPr>
            <w:t>*1514772*</w:t>
          </w:r>
          <w:r>
            <w:rPr>
              <w:rFonts w:ascii="Barcode 3 of 9 by request" w:hAnsi="Barcode 3 of 9 by request"/>
              <w:b w:val="0"/>
              <w:spacing w:val="0"/>
              <w:w w:val="100"/>
              <w:sz w:val="24"/>
            </w:rPr>
            <w:fldChar w:fldCharType="end"/>
          </w:r>
        </w:p>
      </w:tc>
      <w:tc>
        <w:tcPr>
          <w:tcW w:w="5127" w:type="dxa"/>
        </w:tcPr>
        <w:p w:rsidR="00C8562C" w:rsidRDefault="00C8562C" w:rsidP="00C8562C">
          <w:pPr>
            <w:pStyle w:val="Footer"/>
            <w:spacing w:line="240" w:lineRule="atLeast"/>
            <w:jc w:val="right"/>
            <w:rPr>
              <w:b w:val="0"/>
              <w:sz w:val="20"/>
            </w:rPr>
          </w:pPr>
          <w:r>
            <w:rPr>
              <w:b w:val="0"/>
              <w:noProof/>
              <w:sz w:val="20"/>
              <w:lang w:val="en-GB" w:eastAsia="en-GB"/>
            </w:rPr>
            <w:drawing>
              <wp:inline distT="0" distB="0" distL="0" distR="0" wp14:anchorId="7E641A37" wp14:editId="614EB20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C8562C" w:rsidRPr="00C8562C" w:rsidRDefault="00C8562C" w:rsidP="00C8562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BAF" w:rsidRPr="004F0386" w:rsidRDefault="004F0386" w:rsidP="004F0386">
      <w:pPr>
        <w:pStyle w:val="Footer"/>
        <w:spacing w:after="80"/>
        <w:ind w:left="792"/>
        <w:rPr>
          <w:sz w:val="16"/>
        </w:rPr>
      </w:pPr>
      <w:r w:rsidRPr="004F0386">
        <w:rPr>
          <w:sz w:val="16"/>
        </w:rPr>
        <w:t>__________________</w:t>
      </w:r>
    </w:p>
  </w:footnote>
  <w:footnote w:type="continuationSeparator" w:id="0">
    <w:p w:rsidR="00E21BAF" w:rsidRPr="004F0386" w:rsidRDefault="004F0386" w:rsidP="004F0386">
      <w:pPr>
        <w:pStyle w:val="Footer"/>
        <w:spacing w:after="80"/>
        <w:ind w:left="792"/>
        <w:rPr>
          <w:sz w:val="16"/>
        </w:rPr>
      </w:pPr>
      <w:r w:rsidRPr="004F0386">
        <w:rPr>
          <w:sz w:val="16"/>
        </w:rPr>
        <w:t>__________________</w:t>
      </w:r>
    </w:p>
  </w:footnote>
  <w:footnote w:id="1">
    <w:p w:rsidR="00A90CA4" w:rsidRPr="00A90CA4" w:rsidRDefault="00A90CA4" w:rsidP="004F0386">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0C39B8">
        <w:t>Conformément au programme de travail du Sous-Comité pour la période 2015-2016 tel qu’approuvé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8562C" w:rsidTr="00C8562C">
      <w:trPr>
        <w:trHeight w:hRule="exact" w:val="864"/>
        <w:jc w:val="center"/>
      </w:trPr>
      <w:tc>
        <w:tcPr>
          <w:tcW w:w="4882" w:type="dxa"/>
          <w:shd w:val="clear" w:color="auto" w:fill="auto"/>
          <w:vAlign w:val="bottom"/>
        </w:tcPr>
        <w:p w:rsidR="00C8562C" w:rsidRPr="00C8562C" w:rsidRDefault="00C8562C" w:rsidP="00C8562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27EF0">
            <w:rPr>
              <w:b/>
              <w:color w:val="000000"/>
            </w:rPr>
            <w:t>ST/SG/AC.10/C.3/2015/39</w:t>
          </w:r>
          <w:r>
            <w:rPr>
              <w:b/>
              <w:color w:val="000000"/>
            </w:rPr>
            <w:fldChar w:fldCharType="end"/>
          </w:r>
        </w:p>
      </w:tc>
      <w:tc>
        <w:tcPr>
          <w:tcW w:w="5127" w:type="dxa"/>
          <w:shd w:val="clear" w:color="auto" w:fill="auto"/>
          <w:vAlign w:val="bottom"/>
        </w:tcPr>
        <w:p w:rsidR="00C8562C" w:rsidRDefault="00C8562C" w:rsidP="00C8562C">
          <w:pPr>
            <w:pStyle w:val="Header"/>
          </w:pPr>
        </w:p>
      </w:tc>
    </w:tr>
  </w:tbl>
  <w:p w:rsidR="00C8562C" w:rsidRPr="00C8562C" w:rsidRDefault="00C8562C" w:rsidP="00C8562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C8562C" w:rsidTr="00C8562C">
      <w:trPr>
        <w:trHeight w:hRule="exact" w:val="864"/>
        <w:jc w:val="center"/>
      </w:trPr>
      <w:tc>
        <w:tcPr>
          <w:tcW w:w="4882" w:type="dxa"/>
          <w:shd w:val="clear" w:color="auto" w:fill="auto"/>
          <w:vAlign w:val="bottom"/>
        </w:tcPr>
        <w:p w:rsidR="00C8562C" w:rsidRDefault="00C8562C" w:rsidP="00C8562C">
          <w:pPr>
            <w:pStyle w:val="Header"/>
          </w:pPr>
        </w:p>
      </w:tc>
      <w:tc>
        <w:tcPr>
          <w:tcW w:w="5127" w:type="dxa"/>
          <w:shd w:val="clear" w:color="auto" w:fill="auto"/>
          <w:vAlign w:val="bottom"/>
        </w:tcPr>
        <w:p w:rsidR="00C8562C" w:rsidRPr="00C8562C" w:rsidRDefault="00C8562C" w:rsidP="00C8562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27EF0">
            <w:rPr>
              <w:b/>
              <w:color w:val="000000"/>
            </w:rPr>
            <w:t>ST/SG/AC.10/C.3/2015/39</w:t>
          </w:r>
          <w:r>
            <w:rPr>
              <w:b/>
              <w:color w:val="000000"/>
            </w:rPr>
            <w:fldChar w:fldCharType="end"/>
          </w:r>
        </w:p>
      </w:tc>
    </w:tr>
  </w:tbl>
  <w:p w:rsidR="00C8562C" w:rsidRPr="00C8562C" w:rsidRDefault="00C8562C" w:rsidP="00C8562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C8562C" w:rsidTr="00C8562C">
      <w:trPr>
        <w:trHeight w:hRule="exact" w:val="864"/>
      </w:trPr>
      <w:tc>
        <w:tcPr>
          <w:tcW w:w="1267" w:type="dxa"/>
          <w:tcBorders>
            <w:bottom w:val="single" w:sz="4" w:space="0" w:color="auto"/>
          </w:tcBorders>
          <w:shd w:val="clear" w:color="auto" w:fill="auto"/>
          <w:vAlign w:val="bottom"/>
        </w:tcPr>
        <w:p w:rsidR="00C8562C" w:rsidRDefault="00C8562C" w:rsidP="00C8562C">
          <w:pPr>
            <w:pStyle w:val="Header"/>
            <w:spacing w:after="120"/>
          </w:pPr>
        </w:p>
      </w:tc>
      <w:tc>
        <w:tcPr>
          <w:tcW w:w="2059" w:type="dxa"/>
          <w:tcBorders>
            <w:bottom w:val="single" w:sz="4" w:space="0" w:color="auto"/>
          </w:tcBorders>
          <w:shd w:val="clear" w:color="auto" w:fill="auto"/>
          <w:vAlign w:val="bottom"/>
        </w:tcPr>
        <w:p w:rsidR="00C8562C" w:rsidRPr="00C8562C" w:rsidRDefault="00C8562C" w:rsidP="00C8562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C8562C" w:rsidRDefault="00C8562C" w:rsidP="00C8562C">
          <w:pPr>
            <w:pStyle w:val="Header"/>
            <w:spacing w:after="120"/>
          </w:pPr>
        </w:p>
      </w:tc>
      <w:tc>
        <w:tcPr>
          <w:tcW w:w="6653" w:type="dxa"/>
          <w:gridSpan w:val="4"/>
          <w:tcBorders>
            <w:bottom w:val="single" w:sz="4" w:space="0" w:color="auto"/>
          </w:tcBorders>
          <w:shd w:val="clear" w:color="auto" w:fill="auto"/>
          <w:vAlign w:val="bottom"/>
        </w:tcPr>
        <w:p w:rsidR="00C8562C" w:rsidRPr="00C8562C" w:rsidRDefault="00C8562C" w:rsidP="00C8562C">
          <w:pPr>
            <w:spacing w:after="80" w:line="240" w:lineRule="auto"/>
            <w:jc w:val="right"/>
            <w:rPr>
              <w:position w:val="-4"/>
            </w:rPr>
          </w:pPr>
          <w:r>
            <w:rPr>
              <w:position w:val="-4"/>
              <w:sz w:val="40"/>
            </w:rPr>
            <w:t>ST</w:t>
          </w:r>
          <w:r>
            <w:rPr>
              <w:position w:val="-4"/>
            </w:rPr>
            <w:t>/SG/AC.10/C.3/2015/39</w:t>
          </w:r>
        </w:p>
      </w:tc>
    </w:tr>
    <w:tr w:rsidR="00C8562C" w:rsidRPr="00C8562C" w:rsidTr="00C8562C">
      <w:trPr>
        <w:gridAfter w:val="1"/>
        <w:wAfter w:w="18" w:type="dxa"/>
        <w:trHeight w:hRule="exact" w:val="2880"/>
      </w:trPr>
      <w:tc>
        <w:tcPr>
          <w:tcW w:w="1267" w:type="dxa"/>
          <w:tcBorders>
            <w:top w:val="single" w:sz="4" w:space="0" w:color="auto"/>
            <w:bottom w:val="single" w:sz="12" w:space="0" w:color="auto"/>
          </w:tcBorders>
          <w:shd w:val="clear" w:color="auto" w:fill="auto"/>
        </w:tcPr>
        <w:p w:rsidR="00C8562C" w:rsidRPr="00C8562C" w:rsidRDefault="00C8562C" w:rsidP="00C8562C">
          <w:pPr>
            <w:pStyle w:val="Header"/>
            <w:spacing w:before="120" w:line="240" w:lineRule="auto"/>
            <w:ind w:left="-72"/>
            <w:jc w:val="center"/>
          </w:pPr>
          <w:r>
            <w:t xml:space="preserve">  </w:t>
          </w:r>
          <w:r>
            <w:rPr>
              <w:noProof/>
              <w:lang w:val="en-GB" w:eastAsia="en-GB"/>
            </w:rPr>
            <w:drawing>
              <wp:inline distT="0" distB="0" distL="0" distR="0" wp14:anchorId="696465C1" wp14:editId="4BA098E5">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8562C" w:rsidRPr="00C8562C" w:rsidRDefault="00C8562C" w:rsidP="00C8562C">
          <w:pPr>
            <w:pStyle w:val="XLarge"/>
            <w:spacing w:before="109"/>
          </w:pPr>
          <w:r>
            <w:t>Secrétariat</w:t>
          </w:r>
        </w:p>
      </w:tc>
      <w:tc>
        <w:tcPr>
          <w:tcW w:w="245" w:type="dxa"/>
          <w:tcBorders>
            <w:top w:val="single" w:sz="4" w:space="0" w:color="auto"/>
            <w:bottom w:val="single" w:sz="12" w:space="0" w:color="auto"/>
          </w:tcBorders>
          <w:shd w:val="clear" w:color="auto" w:fill="auto"/>
        </w:tcPr>
        <w:p w:rsidR="00C8562C" w:rsidRPr="00C8562C" w:rsidRDefault="00C8562C" w:rsidP="00C8562C">
          <w:pPr>
            <w:pStyle w:val="Header"/>
            <w:spacing w:before="109"/>
          </w:pPr>
        </w:p>
      </w:tc>
      <w:tc>
        <w:tcPr>
          <w:tcW w:w="3280" w:type="dxa"/>
          <w:tcBorders>
            <w:top w:val="single" w:sz="4" w:space="0" w:color="auto"/>
            <w:bottom w:val="single" w:sz="12" w:space="0" w:color="auto"/>
          </w:tcBorders>
          <w:shd w:val="clear" w:color="auto" w:fill="auto"/>
        </w:tcPr>
        <w:p w:rsidR="00C8562C" w:rsidRDefault="00C8562C" w:rsidP="00C8562C">
          <w:pPr>
            <w:pStyle w:val="Distribution"/>
            <w:rPr>
              <w:color w:val="000000"/>
            </w:rPr>
          </w:pPr>
          <w:r>
            <w:rPr>
              <w:color w:val="000000"/>
            </w:rPr>
            <w:t xml:space="preserve">Distr. </w:t>
          </w:r>
          <w:proofErr w:type="spellStart"/>
          <w:r>
            <w:rPr>
              <w:color w:val="000000"/>
            </w:rPr>
            <w:t>générale</w:t>
          </w:r>
          <w:proofErr w:type="spellEnd"/>
        </w:p>
        <w:p w:rsidR="00C8562C" w:rsidRDefault="00E55BBD" w:rsidP="00C8562C">
          <w:pPr>
            <w:pStyle w:val="Publication"/>
            <w:rPr>
              <w:color w:val="000000"/>
            </w:rPr>
          </w:pPr>
          <w:r>
            <w:rPr>
              <w:color w:val="000000"/>
            </w:rPr>
            <w:t>1</w:t>
          </w:r>
          <w:r w:rsidRPr="00E55BBD">
            <w:rPr>
              <w:color w:val="000000"/>
              <w:vertAlign w:val="superscript"/>
            </w:rPr>
            <w:t>er</w:t>
          </w:r>
          <w:r>
            <w:rPr>
              <w:color w:val="000000"/>
            </w:rPr>
            <w:t> </w:t>
          </w:r>
          <w:proofErr w:type="spellStart"/>
          <w:r>
            <w:rPr>
              <w:color w:val="000000"/>
            </w:rPr>
            <w:t>septembre</w:t>
          </w:r>
          <w:proofErr w:type="spellEnd"/>
          <w:r w:rsidR="00C8562C">
            <w:rPr>
              <w:color w:val="000000"/>
            </w:rPr>
            <w:t xml:space="preserve"> 2015</w:t>
          </w:r>
        </w:p>
        <w:p w:rsidR="00C8562C" w:rsidRDefault="00C8562C" w:rsidP="00C8562C">
          <w:pPr>
            <w:rPr>
              <w:lang w:val="en-US"/>
            </w:rPr>
          </w:pPr>
          <w:proofErr w:type="spellStart"/>
          <w:r>
            <w:rPr>
              <w:lang w:val="en-US"/>
            </w:rPr>
            <w:t>Français</w:t>
          </w:r>
          <w:proofErr w:type="spellEnd"/>
        </w:p>
        <w:p w:rsidR="00C8562C" w:rsidRPr="00C8562C" w:rsidRDefault="00C8562C" w:rsidP="00C8562C">
          <w:pPr>
            <w:pStyle w:val="Original"/>
            <w:rPr>
              <w:color w:val="000000"/>
            </w:rPr>
          </w:pPr>
          <w:r>
            <w:rPr>
              <w:color w:val="000000"/>
            </w:rPr>
            <w:t xml:space="preserve">Original : </w:t>
          </w:r>
          <w:proofErr w:type="spellStart"/>
          <w:r>
            <w:rPr>
              <w:color w:val="000000"/>
            </w:rPr>
            <w:t>anglais</w:t>
          </w:r>
          <w:proofErr w:type="spellEnd"/>
        </w:p>
      </w:tc>
    </w:tr>
  </w:tbl>
  <w:p w:rsidR="00C8562C" w:rsidRPr="00C8562C" w:rsidRDefault="00C8562C" w:rsidP="00C8562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0499D"/>
    <w:multiLevelType w:val="singleLevel"/>
    <w:tmpl w:val="0409000F"/>
    <w:lvl w:ilvl="0">
      <w:start w:val="1"/>
      <w:numFmt w:val="decimal"/>
      <w:lvlText w:val="%1."/>
      <w:lvlJc w:val="left"/>
      <w:pPr>
        <w:ind w:left="720" w:hanging="36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846C77"/>
    <w:multiLevelType w:val="singleLevel"/>
    <w:tmpl w:val="0409000F"/>
    <w:lvl w:ilvl="0">
      <w:start w:val="1"/>
      <w:numFmt w:val="decimal"/>
      <w:lvlText w:val="%1."/>
      <w:lvlJc w:val="left"/>
      <w:pPr>
        <w:ind w:left="720" w:hanging="360"/>
      </w:p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87454"/>
    <w:multiLevelType w:val="hybridMultilevel"/>
    <w:tmpl w:val="CA78D100"/>
    <w:lvl w:ilvl="0" w:tplc="0104460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0"/>
  </w:num>
  <w:num w:numId="6">
    <w:abstractNumId w:val="9"/>
  </w:num>
  <w:num w:numId="7">
    <w:abstractNumId w:val="5"/>
  </w:num>
  <w:num w:numId="8">
    <w:abstractNumId w:val="6"/>
  </w:num>
  <w:num w:numId="9">
    <w:abstractNumId w:val="8"/>
  </w:num>
  <w:num w:numId="10">
    <w:abstractNumId w:val="4"/>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772*"/>
    <w:docVar w:name="CreationDt" w:val="11/10/2015 6:01: PM"/>
    <w:docVar w:name="DocCategory" w:val="Doc"/>
    <w:docVar w:name="DocType" w:val="Final"/>
    <w:docVar w:name="DutyStation" w:val="Geneva"/>
    <w:docVar w:name="FooterJN" w:val="GE.15-14772"/>
    <w:docVar w:name="jobn" w:val="GE.15-14772 (F)"/>
    <w:docVar w:name="jobnDT" w:val="GE.15-14772 (F)   101115"/>
    <w:docVar w:name="jobnDTDT" w:val="GE.15-14772 (F)   101115   101115"/>
    <w:docVar w:name="JobNo" w:val="GE.1514772F"/>
    <w:docVar w:name="JobNo2" w:val="GE.1519685F"/>
    <w:docVar w:name="LocalDrive" w:val="0"/>
    <w:docVar w:name="OandT" w:val="OKRZESIK"/>
    <w:docVar w:name="PaperSize" w:val="A4"/>
    <w:docVar w:name="sss1" w:val="ST/SG/AC.10/C.3/2015/39"/>
    <w:docVar w:name="sss2" w:val="-"/>
    <w:docVar w:name="Symbol1" w:val="ST/SG/AC.10/C.3/2015/39"/>
    <w:docVar w:name="Symbol2" w:val="-"/>
  </w:docVars>
  <w:rsids>
    <w:rsidRoot w:val="00E21BAF"/>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2AD"/>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C77F6"/>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A70E7"/>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0386"/>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4310"/>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649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0CA4"/>
    <w:rsid w:val="00A96709"/>
    <w:rsid w:val="00A967C7"/>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D6AFF"/>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562C"/>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03C5"/>
    <w:rsid w:val="00D41438"/>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47AC"/>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1BAF"/>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5BBD"/>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27EF0"/>
    <w:rsid w:val="00F31671"/>
    <w:rsid w:val="00F3240D"/>
    <w:rsid w:val="00F328DE"/>
    <w:rsid w:val="00F3330B"/>
    <w:rsid w:val="00F357CB"/>
    <w:rsid w:val="00F35CA0"/>
    <w:rsid w:val="00F36A57"/>
    <w:rsid w:val="00F4019F"/>
    <w:rsid w:val="00F405BB"/>
    <w:rsid w:val="00F4328A"/>
    <w:rsid w:val="00F44706"/>
    <w:rsid w:val="00F4472F"/>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8562C"/>
    <w:rPr>
      <w:sz w:val="16"/>
      <w:szCs w:val="16"/>
    </w:rPr>
  </w:style>
  <w:style w:type="paragraph" w:styleId="CommentText">
    <w:name w:val="annotation text"/>
    <w:basedOn w:val="Normal"/>
    <w:link w:val="CommentTextChar"/>
    <w:uiPriority w:val="99"/>
    <w:semiHidden/>
    <w:unhideWhenUsed/>
    <w:rsid w:val="00C8562C"/>
    <w:pPr>
      <w:spacing w:line="240" w:lineRule="auto"/>
    </w:pPr>
    <w:rPr>
      <w:szCs w:val="20"/>
    </w:rPr>
  </w:style>
  <w:style w:type="character" w:customStyle="1" w:styleId="CommentTextChar">
    <w:name w:val="Comment Text Char"/>
    <w:basedOn w:val="DefaultParagraphFont"/>
    <w:link w:val="CommentText"/>
    <w:uiPriority w:val="99"/>
    <w:semiHidden/>
    <w:rsid w:val="00C8562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8562C"/>
    <w:rPr>
      <w:b/>
      <w:bCs/>
    </w:rPr>
  </w:style>
  <w:style w:type="character" w:customStyle="1" w:styleId="CommentSubjectChar">
    <w:name w:val="Comment Subject Char"/>
    <w:basedOn w:val="CommentTextChar"/>
    <w:link w:val="CommentSubject"/>
    <w:uiPriority w:val="99"/>
    <w:semiHidden/>
    <w:rsid w:val="00C8562C"/>
    <w:rPr>
      <w:rFonts w:ascii="Times New Roman" w:hAnsi="Times New Roman"/>
      <w:b/>
      <w:bCs/>
      <w:spacing w:val="4"/>
      <w:w w:val="103"/>
      <w:kern w:val="14"/>
      <w:lang w:val="fr-CA"/>
    </w:rPr>
  </w:style>
  <w:style w:type="paragraph" w:customStyle="1" w:styleId="HChG">
    <w:name w:val="_ H _Ch_G"/>
    <w:basedOn w:val="Normal"/>
    <w:next w:val="Normal"/>
    <w:link w:val="HChGChar"/>
    <w:qFormat/>
    <w:rsid w:val="00D403C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D403C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Bullet1G">
    <w:name w:val="_Bullet 1_G"/>
    <w:basedOn w:val="Normal"/>
    <w:qFormat/>
    <w:rsid w:val="00D403C5"/>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H1GChar">
    <w:name w:val="_ H_1_G Char"/>
    <w:link w:val="H1G"/>
    <w:rsid w:val="00D403C5"/>
    <w:rPr>
      <w:rFonts w:ascii="Times New Roman" w:eastAsia="Calibri" w:hAnsi="Times New Roman"/>
      <w:b/>
      <w:sz w:val="24"/>
      <w:lang w:val="fr-CH"/>
    </w:rPr>
  </w:style>
  <w:style w:type="paragraph" w:customStyle="1" w:styleId="Default">
    <w:name w:val="Default"/>
    <w:rsid w:val="00D403C5"/>
    <w:pPr>
      <w:widowControl w:val="0"/>
      <w:autoSpaceDE w:val="0"/>
      <w:autoSpaceDN w:val="0"/>
      <w:adjustRightInd w:val="0"/>
    </w:pPr>
    <w:rPr>
      <w:rFonts w:ascii="Times New Roman" w:eastAsia="Times New Roman" w:hAnsi="Times New Roman"/>
      <w:color w:val="000000"/>
      <w:sz w:val="24"/>
      <w:szCs w:val="24"/>
    </w:rPr>
  </w:style>
  <w:style w:type="character" w:customStyle="1" w:styleId="HChGChar">
    <w:name w:val="_ H _Ch_G Char"/>
    <w:link w:val="HChG"/>
    <w:locked/>
    <w:rsid w:val="00D403C5"/>
    <w:rPr>
      <w:rFonts w:ascii="Times New Roman" w:eastAsia="Calibri" w:hAnsi="Times New Roman"/>
      <w:b/>
      <w:sz w:val="28"/>
      <w:lang w:val="fr-CH"/>
    </w:rPr>
  </w:style>
  <w:style w:type="paragraph" w:customStyle="1" w:styleId="SingleTxtG">
    <w:name w:val="_ Single Txt_G"/>
    <w:basedOn w:val="Normal"/>
    <w:link w:val="SingleTxtGChar"/>
    <w:qFormat/>
    <w:rsid w:val="00D403C5"/>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SingleTxtGChar">
    <w:name w:val="_ Single Txt_G Char"/>
    <w:link w:val="SingleTxtG"/>
    <w:rsid w:val="00D403C5"/>
    <w:rPr>
      <w:rFonts w:ascii="Times New Roman" w:eastAsia="Calibri" w:hAnsi="Times New Roman"/>
      <w:sz w:val="24"/>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C8562C"/>
    <w:rPr>
      <w:sz w:val="16"/>
      <w:szCs w:val="16"/>
    </w:rPr>
  </w:style>
  <w:style w:type="paragraph" w:styleId="CommentText">
    <w:name w:val="annotation text"/>
    <w:basedOn w:val="Normal"/>
    <w:link w:val="CommentTextChar"/>
    <w:uiPriority w:val="99"/>
    <w:semiHidden/>
    <w:unhideWhenUsed/>
    <w:rsid w:val="00C8562C"/>
    <w:pPr>
      <w:spacing w:line="240" w:lineRule="auto"/>
    </w:pPr>
    <w:rPr>
      <w:szCs w:val="20"/>
    </w:rPr>
  </w:style>
  <w:style w:type="character" w:customStyle="1" w:styleId="CommentTextChar">
    <w:name w:val="Comment Text Char"/>
    <w:basedOn w:val="DefaultParagraphFont"/>
    <w:link w:val="CommentText"/>
    <w:uiPriority w:val="99"/>
    <w:semiHidden/>
    <w:rsid w:val="00C8562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C8562C"/>
    <w:rPr>
      <w:b/>
      <w:bCs/>
    </w:rPr>
  </w:style>
  <w:style w:type="character" w:customStyle="1" w:styleId="CommentSubjectChar">
    <w:name w:val="Comment Subject Char"/>
    <w:basedOn w:val="CommentTextChar"/>
    <w:link w:val="CommentSubject"/>
    <w:uiPriority w:val="99"/>
    <w:semiHidden/>
    <w:rsid w:val="00C8562C"/>
    <w:rPr>
      <w:rFonts w:ascii="Times New Roman" w:hAnsi="Times New Roman"/>
      <w:b/>
      <w:bCs/>
      <w:spacing w:val="4"/>
      <w:w w:val="103"/>
      <w:kern w:val="14"/>
      <w:lang w:val="fr-CA"/>
    </w:rPr>
  </w:style>
  <w:style w:type="paragraph" w:customStyle="1" w:styleId="HChG">
    <w:name w:val="_ H _Ch_G"/>
    <w:basedOn w:val="Normal"/>
    <w:next w:val="Normal"/>
    <w:link w:val="HChGChar"/>
    <w:qFormat/>
    <w:rsid w:val="00D403C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D403C5"/>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Bullet1G">
    <w:name w:val="_Bullet 1_G"/>
    <w:basedOn w:val="Normal"/>
    <w:qFormat/>
    <w:rsid w:val="00D403C5"/>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character" w:customStyle="1" w:styleId="H1GChar">
    <w:name w:val="_ H_1_G Char"/>
    <w:link w:val="H1G"/>
    <w:rsid w:val="00D403C5"/>
    <w:rPr>
      <w:rFonts w:ascii="Times New Roman" w:eastAsia="Calibri" w:hAnsi="Times New Roman"/>
      <w:b/>
      <w:sz w:val="24"/>
      <w:lang w:val="fr-CH"/>
    </w:rPr>
  </w:style>
  <w:style w:type="paragraph" w:customStyle="1" w:styleId="Default">
    <w:name w:val="Default"/>
    <w:rsid w:val="00D403C5"/>
    <w:pPr>
      <w:widowControl w:val="0"/>
      <w:autoSpaceDE w:val="0"/>
      <w:autoSpaceDN w:val="0"/>
      <w:adjustRightInd w:val="0"/>
    </w:pPr>
    <w:rPr>
      <w:rFonts w:ascii="Times New Roman" w:eastAsia="Times New Roman" w:hAnsi="Times New Roman"/>
      <w:color w:val="000000"/>
      <w:sz w:val="24"/>
      <w:szCs w:val="24"/>
    </w:rPr>
  </w:style>
  <w:style w:type="character" w:customStyle="1" w:styleId="HChGChar">
    <w:name w:val="_ H _Ch_G Char"/>
    <w:link w:val="HChG"/>
    <w:locked/>
    <w:rsid w:val="00D403C5"/>
    <w:rPr>
      <w:rFonts w:ascii="Times New Roman" w:eastAsia="Calibri" w:hAnsi="Times New Roman"/>
      <w:b/>
      <w:sz w:val="28"/>
      <w:lang w:val="fr-CH"/>
    </w:rPr>
  </w:style>
  <w:style w:type="paragraph" w:customStyle="1" w:styleId="SingleTxtG">
    <w:name w:val="_ Single Txt_G"/>
    <w:basedOn w:val="Normal"/>
    <w:link w:val="SingleTxtGChar"/>
    <w:qFormat/>
    <w:rsid w:val="00D403C5"/>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SingleTxtGChar">
    <w:name w:val="_ Single Txt_G Char"/>
    <w:link w:val="SingleTxtG"/>
    <w:rsid w:val="00D403C5"/>
    <w:rPr>
      <w:rFonts w:ascii="Times New Roman" w:eastAsia="Calibri" w:hAnsi="Times New Roman"/>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B13D-349E-40A5-A8A9-0A88F060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Laurence Berthet</cp:lastModifiedBy>
  <cp:revision>3</cp:revision>
  <cp:lastPrinted>2015-11-11T14:56:00Z</cp:lastPrinted>
  <dcterms:created xsi:type="dcterms:W3CDTF">2015-11-11T14:56:00Z</dcterms:created>
  <dcterms:modified xsi:type="dcterms:W3CDTF">2015-11-11T14:56:00Z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1514772F</vt:lpwstr>
  </property>
  <property fmtid="{D5CDD505-2E9C-101B-9397-08002B2CF9AE}" pid="3" name="ODSRefJobNo">
    <vt:lpwstr>1519685F</vt:lpwstr>
  </property>
  <property fmtid="{D5CDD505-2E9C-101B-9397-08002B2CF9AE}" pid="4" name="Symbol1">
    <vt:lpwstr>ST/SG/AC.10/C.3/2015/39</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10 novembre 2015</vt:lpwstr>
  </property>
  <property fmtid="{D5CDD505-2E9C-101B-9397-08002B2CF9AE}" pid="12" name="Original">
    <vt:lpwstr>anglais</vt:lpwstr>
  </property>
  <property fmtid="{D5CDD505-2E9C-101B-9397-08002B2CF9AE}" pid="13" name="Release Date">
    <vt:lpwstr>101115</vt:lpwstr>
  </property>
</Properties>
</file>