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806316" w:rsidRPr="00ED498F" w:rsidTr="00D55A71">
        <w:tc>
          <w:tcPr>
            <w:tcW w:w="4395" w:type="dxa"/>
          </w:tcPr>
          <w:p w:rsidR="00E244B8" w:rsidRDefault="00806316" w:rsidP="00806316">
            <w:pPr>
              <w:pStyle w:val="Header"/>
              <w:rPr>
                <w:lang w:val="en-GB"/>
              </w:rPr>
            </w:pPr>
            <w:r w:rsidRPr="00E244B8">
              <w:rPr>
                <w:lang w:val="en-GB"/>
              </w:rPr>
              <w:t xml:space="preserve">Submitted by </w:t>
            </w:r>
            <w:r w:rsidR="00E244B8">
              <w:rPr>
                <w:lang w:val="en-GB"/>
              </w:rPr>
              <w:t>the expert from</w:t>
            </w:r>
          </w:p>
          <w:p w:rsidR="00806316" w:rsidRPr="00E244B8" w:rsidRDefault="00806316" w:rsidP="00806316">
            <w:pPr>
              <w:pStyle w:val="Header"/>
              <w:rPr>
                <w:lang w:val="en-GB"/>
              </w:rPr>
            </w:pPr>
            <w:r w:rsidRPr="00E244B8">
              <w:rPr>
                <w:lang w:val="en-GB"/>
              </w:rPr>
              <w:t>the Netherlands</w:t>
            </w:r>
          </w:p>
        </w:tc>
        <w:tc>
          <w:tcPr>
            <w:tcW w:w="4961" w:type="dxa"/>
          </w:tcPr>
          <w:p w:rsidR="00806316" w:rsidRPr="00E244B8" w:rsidRDefault="00806316" w:rsidP="00E244B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44B8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Informal document</w:t>
            </w:r>
            <w:r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24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GRSG-10</w:t>
            </w:r>
            <w:r w:rsidR="00ED498F" w:rsidRPr="00E24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  <w:r w:rsidRPr="00E24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E24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07</w:t>
            </w:r>
            <w:r w:rsidR="00E24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="00D55A71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(106</w:t>
            </w:r>
            <w:r w:rsidRPr="00E244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GRSG, </w:t>
            </w:r>
            <w:r w:rsidR="00D55A71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5-9 May</w:t>
            </w:r>
            <w:r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5A71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proofErr w:type="gramStart"/>
            <w:r w:rsidR="002036D5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proofErr w:type="gramEnd"/>
            <w:r w:rsid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agenda item </w:t>
            </w:r>
            <w:r w:rsidR="00831481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63540C"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244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2036D5" w:rsidRPr="00E244B8" w:rsidRDefault="00746741" w:rsidP="00991EEC">
      <w:pPr>
        <w:pStyle w:val="HChG"/>
        <w:tabs>
          <w:tab w:val="clear" w:pos="851"/>
        </w:tabs>
        <w:ind w:left="567" w:firstLine="0"/>
        <w:jc w:val="center"/>
        <w:rPr>
          <w:b w:val="0"/>
        </w:rPr>
      </w:pPr>
      <w:r w:rsidRPr="00E244B8">
        <w:rPr>
          <w:b w:val="0"/>
        </w:rPr>
        <w:t>UN Regulation No. 110 – CNG</w:t>
      </w:r>
      <w:r w:rsidR="00E244B8">
        <w:rPr>
          <w:b w:val="0"/>
        </w:rPr>
        <w:t>/LNG</w:t>
      </w:r>
      <w:r w:rsidR="009E20ED" w:rsidRPr="00E244B8">
        <w:rPr>
          <w:b w:val="0"/>
        </w:rPr>
        <w:t xml:space="preserve"> vehicles</w:t>
      </w:r>
    </w:p>
    <w:p w:rsidR="00984F33" w:rsidRPr="00E244B8" w:rsidRDefault="00991EEC" w:rsidP="00991EEC">
      <w:pPr>
        <w:pStyle w:val="HChG"/>
        <w:tabs>
          <w:tab w:val="clear" w:pos="851"/>
        </w:tabs>
        <w:ind w:left="567" w:firstLine="0"/>
        <w:jc w:val="center"/>
        <w:rPr>
          <w:sz w:val="22"/>
          <w:szCs w:val="22"/>
          <w:lang w:val="fr-CH"/>
        </w:rPr>
      </w:pPr>
      <w:r w:rsidRPr="00E244B8">
        <w:rPr>
          <w:b w:val="0"/>
          <w:sz w:val="22"/>
          <w:szCs w:val="22"/>
          <w:lang w:val="fr-CH"/>
        </w:rPr>
        <w:t xml:space="preserve">(This document </w:t>
      </w:r>
      <w:proofErr w:type="spellStart"/>
      <w:r w:rsidRPr="00E244B8">
        <w:rPr>
          <w:b w:val="0"/>
          <w:sz w:val="22"/>
          <w:szCs w:val="22"/>
          <w:lang w:val="fr-CH"/>
        </w:rPr>
        <w:t>supersedes</w:t>
      </w:r>
      <w:proofErr w:type="spellEnd"/>
      <w:r w:rsidRPr="00E244B8">
        <w:rPr>
          <w:b w:val="0"/>
          <w:sz w:val="22"/>
          <w:szCs w:val="22"/>
          <w:lang w:val="fr-CH"/>
        </w:rPr>
        <w:t xml:space="preserve"> </w:t>
      </w:r>
      <w:proofErr w:type="spellStart"/>
      <w:r w:rsidRPr="00E244B8">
        <w:rPr>
          <w:b w:val="0"/>
          <w:sz w:val="22"/>
          <w:szCs w:val="22"/>
          <w:lang w:val="fr-CH"/>
        </w:rPr>
        <w:t>informal</w:t>
      </w:r>
      <w:proofErr w:type="spellEnd"/>
      <w:r w:rsidRPr="00E244B8">
        <w:rPr>
          <w:b w:val="0"/>
          <w:sz w:val="22"/>
          <w:szCs w:val="22"/>
          <w:lang w:val="fr-CH"/>
        </w:rPr>
        <w:t xml:space="preserve"> document GRSG-105-10)</w:t>
      </w:r>
    </w:p>
    <w:p w:rsidR="009C6592" w:rsidRDefault="00E244B8" w:rsidP="009C6592">
      <w:pPr>
        <w:spacing w:before="240"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I.</w:t>
      </w:r>
      <w:r w:rsidR="002036D5">
        <w:rPr>
          <w:rFonts w:ascii="Times New Roman" w:hAnsi="Times New Roman"/>
          <w:b/>
          <w:lang w:val="en-US"/>
        </w:rPr>
        <w:tab/>
      </w:r>
      <w:r w:rsidR="009C6592">
        <w:rPr>
          <w:rFonts w:ascii="Times New Roman" w:hAnsi="Times New Roman"/>
          <w:b/>
          <w:lang w:val="en-US"/>
        </w:rPr>
        <w:t>Proposal</w:t>
      </w:r>
    </w:p>
    <w:p w:rsidR="00CF40BB" w:rsidRDefault="00CF40BB" w:rsidP="009C6592">
      <w:pPr>
        <w:spacing w:before="240" w:after="0" w:line="240" w:lineRule="auto"/>
        <w:rPr>
          <w:rFonts w:ascii="Times New Roman" w:hAnsi="Times New Roman"/>
          <w:lang w:val="en-US"/>
        </w:rPr>
      </w:pPr>
      <w:r w:rsidRPr="00B86EE5">
        <w:rPr>
          <w:rFonts w:ascii="Times New Roman" w:hAnsi="Times New Roman"/>
          <w:b/>
          <w:lang w:val="en-US"/>
        </w:rPr>
        <w:t>Regulation</w:t>
      </w:r>
      <w:r w:rsidR="0063540C">
        <w:rPr>
          <w:rFonts w:ascii="Times New Roman" w:hAnsi="Times New Roman"/>
          <w:b/>
          <w:lang w:val="en-US"/>
        </w:rPr>
        <w:t xml:space="preserve"> No.</w:t>
      </w:r>
      <w:r w:rsidRPr="00B86EE5">
        <w:rPr>
          <w:rFonts w:ascii="Times New Roman" w:hAnsi="Times New Roman"/>
          <w:b/>
          <w:lang w:val="en-US"/>
        </w:rPr>
        <w:t xml:space="preserve"> 110</w:t>
      </w:r>
      <w:r>
        <w:rPr>
          <w:rFonts w:ascii="Times New Roman" w:hAnsi="Times New Roman"/>
          <w:lang w:val="en-US"/>
        </w:rPr>
        <w:t>, to be amended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as follows</w:t>
      </w:r>
      <w:proofErr w:type="gramStart"/>
      <w:r>
        <w:rPr>
          <w:rFonts w:ascii="Times New Roman" w:hAnsi="Times New Roman"/>
          <w:lang w:val="en-US"/>
        </w:rPr>
        <w:t>:</w:t>
      </w:r>
      <w:proofErr w:type="gramEnd"/>
      <w:r w:rsidR="00681940">
        <w:rPr>
          <w:rFonts w:ascii="Times New Roman" w:hAnsi="Times New Roman"/>
          <w:lang w:val="en-US"/>
        </w:rPr>
        <w:br/>
      </w:r>
      <w:r w:rsidR="009C7689">
        <w:rPr>
          <w:rFonts w:ascii="Times New Roman" w:hAnsi="Times New Roman"/>
          <w:lang w:val="en-US"/>
        </w:rPr>
        <w:t>Replace paragraph 17.5.2</w:t>
      </w:r>
      <w:r w:rsidR="00E244B8">
        <w:rPr>
          <w:rFonts w:ascii="Times New Roman" w:hAnsi="Times New Roman"/>
          <w:lang w:val="en-US"/>
        </w:rPr>
        <w:t>.</w:t>
      </w:r>
      <w:r w:rsidR="009C7689">
        <w:rPr>
          <w:rFonts w:ascii="Times New Roman" w:hAnsi="Times New Roman"/>
          <w:lang w:val="en-US"/>
        </w:rPr>
        <w:t xml:space="preserve"> </w:t>
      </w:r>
      <w:proofErr w:type="gramStart"/>
      <w:r w:rsidR="009C7689">
        <w:rPr>
          <w:rFonts w:ascii="Times New Roman" w:hAnsi="Times New Roman"/>
          <w:lang w:val="en-US"/>
        </w:rPr>
        <w:t>and</w:t>
      </w:r>
      <w:proofErr w:type="gramEnd"/>
      <w:r w:rsidR="009C7689">
        <w:rPr>
          <w:rFonts w:ascii="Times New Roman" w:hAnsi="Times New Roman"/>
          <w:lang w:val="en-US"/>
        </w:rPr>
        <w:t xml:space="preserve"> 17.5.2.1</w:t>
      </w:r>
      <w:r w:rsidR="00E244B8">
        <w:rPr>
          <w:rFonts w:ascii="Times New Roman" w:hAnsi="Times New Roman"/>
          <w:lang w:val="en-US"/>
        </w:rPr>
        <w:t xml:space="preserve">. </w:t>
      </w:r>
      <w:proofErr w:type="gramStart"/>
      <w:r w:rsidR="00E244B8">
        <w:rPr>
          <w:rFonts w:ascii="Times New Roman" w:hAnsi="Times New Roman"/>
          <w:lang w:val="en-US"/>
        </w:rPr>
        <w:t>by</w:t>
      </w:r>
      <w:proofErr w:type="gramEnd"/>
      <w:r w:rsidR="00E244B8">
        <w:rPr>
          <w:rFonts w:ascii="Times New Roman" w:hAnsi="Times New Roman"/>
          <w:lang w:val="en-US"/>
        </w:rPr>
        <w:t>:</w:t>
      </w:r>
    </w:p>
    <w:p w:rsidR="00CF40BB" w:rsidRPr="000D6F8C" w:rsidRDefault="00E244B8" w:rsidP="00CF40BB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lang w:val="en-US"/>
        </w:rPr>
        <w:t>"</w:t>
      </w:r>
      <w:r w:rsidR="00CF40BB" w:rsidRPr="000D6F8C">
        <w:rPr>
          <w:rFonts w:ascii="Times New Roman" w:hAnsi="Times New Roman"/>
          <w:b/>
          <w:lang w:val="en-US"/>
        </w:rPr>
        <w:t>17.5.2.</w:t>
      </w:r>
      <w:r w:rsidR="00CF40BB" w:rsidRPr="000D6F8C">
        <w:rPr>
          <w:rFonts w:ascii="Times New Roman" w:hAnsi="Times New Roman"/>
          <w:b/>
          <w:lang w:val="en-US"/>
        </w:rPr>
        <w:tab/>
      </w:r>
      <w:r w:rsidR="00CF40BB" w:rsidRPr="000D6F8C">
        <w:rPr>
          <w:rFonts w:ascii="Times New Roman" w:hAnsi="Times New Roman"/>
          <w:b/>
          <w:u w:val="single"/>
          <w:lang w:val="en-US"/>
        </w:rPr>
        <w:t>Pressure relief device</w:t>
      </w:r>
    </w:p>
    <w:p w:rsidR="009D2C33" w:rsidRDefault="009D2C33" w:rsidP="009D2C33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/>
          <w:b/>
          <w:lang w:val="en-US"/>
        </w:rPr>
      </w:pPr>
      <w:r w:rsidRPr="000D6F8C">
        <w:rPr>
          <w:rFonts w:ascii="Times New Roman" w:hAnsi="Times New Roman"/>
          <w:b/>
          <w:lang w:val="en-US"/>
        </w:rPr>
        <w:t>17.5.2.1.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The CNG</w:t>
      </w:r>
      <w:r w:rsidRPr="00E17F34">
        <w:rPr>
          <w:rFonts w:ascii="Times New Roman" w:hAnsi="Times New Roman"/>
          <w:b/>
          <w:lang w:val="en-US"/>
        </w:rPr>
        <w:t xml:space="preserve"> gas discharge from pressure relief device </w:t>
      </w:r>
      <w:r>
        <w:rPr>
          <w:rFonts w:ascii="Times New Roman" w:hAnsi="Times New Roman"/>
          <w:b/>
          <w:lang w:val="en-US"/>
        </w:rPr>
        <w:t xml:space="preserve">(temperature triggered) </w:t>
      </w:r>
      <w:r w:rsidR="00E244B8">
        <w:rPr>
          <w:rFonts w:ascii="Times New Roman" w:hAnsi="Times New Roman"/>
          <w:b/>
          <w:lang w:val="en-US"/>
        </w:rPr>
        <w:t>shall not be directed:</w:t>
      </w:r>
    </w:p>
    <w:p w:rsidR="009D2C33" w:rsidRDefault="00E244B8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(a)</w:t>
      </w:r>
      <w:r w:rsidR="009D2C33">
        <w:rPr>
          <w:rFonts w:ascii="Times New Roman" w:hAnsi="Times New Roman"/>
          <w:b/>
          <w:lang w:val="en-US"/>
        </w:rPr>
        <w:tab/>
      </w:r>
      <w:proofErr w:type="gramStart"/>
      <w:r w:rsidR="009D2C33" w:rsidRPr="00E17F34">
        <w:rPr>
          <w:rFonts w:ascii="Times New Roman" w:hAnsi="Times New Roman"/>
          <w:b/>
          <w:lang w:val="en-US"/>
        </w:rPr>
        <w:t>towards</w:t>
      </w:r>
      <w:proofErr w:type="gramEnd"/>
      <w:r w:rsidR="009D2C33" w:rsidRPr="00E17F34">
        <w:rPr>
          <w:rFonts w:ascii="Times New Roman" w:hAnsi="Times New Roman"/>
          <w:b/>
          <w:lang w:val="en-US"/>
        </w:rPr>
        <w:t xml:space="preserve"> exposed electrical terminals, exposed electrical switches or other ignition sources;</w:t>
      </w:r>
    </w:p>
    <w:p w:rsidR="009D2C33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>(b)</w:t>
      </w:r>
      <w:r>
        <w:rPr>
          <w:rFonts w:ascii="Times New Roman" w:hAnsi="Times New Roman"/>
          <w:b/>
          <w:lang w:val="en-US"/>
        </w:rPr>
        <w:tab/>
      </w:r>
      <w:proofErr w:type="gramStart"/>
      <w:r w:rsidRPr="00E17F34">
        <w:rPr>
          <w:rFonts w:ascii="Times New Roman" w:hAnsi="Times New Roman"/>
          <w:b/>
          <w:lang w:val="en-US"/>
        </w:rPr>
        <w:t>into</w:t>
      </w:r>
      <w:proofErr w:type="gramEnd"/>
      <w:r w:rsidRPr="00E17F34">
        <w:rPr>
          <w:rFonts w:ascii="Times New Roman" w:hAnsi="Times New Roman"/>
          <w:b/>
          <w:lang w:val="en-US"/>
        </w:rPr>
        <w:t xml:space="preserve"> or towards the vehicle passenger or luggage compartments;</w:t>
      </w:r>
    </w:p>
    <w:p w:rsidR="009D2C33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>(c)</w:t>
      </w:r>
      <w:r>
        <w:rPr>
          <w:rFonts w:ascii="Times New Roman" w:hAnsi="Times New Roman"/>
          <w:b/>
          <w:lang w:val="en-US"/>
        </w:rPr>
        <w:tab/>
      </w:r>
      <w:proofErr w:type="gramStart"/>
      <w:r w:rsidR="00116A76" w:rsidRPr="00E17F34">
        <w:rPr>
          <w:rFonts w:ascii="Times New Roman" w:hAnsi="Times New Roman"/>
          <w:b/>
          <w:lang w:val="en-US"/>
        </w:rPr>
        <w:t>towards</w:t>
      </w:r>
      <w:proofErr w:type="gramEnd"/>
      <w:r w:rsidR="00116A76" w:rsidRPr="00E17F34">
        <w:rPr>
          <w:rFonts w:ascii="Times New Roman" w:hAnsi="Times New Roman"/>
          <w:b/>
          <w:lang w:val="en-US"/>
        </w:rPr>
        <w:t xml:space="preserve"> any class 0 component;</w:t>
      </w:r>
    </w:p>
    <w:p w:rsidR="009D2C33" w:rsidRPr="00E244B8" w:rsidRDefault="009D2C33" w:rsidP="00E244B8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>(d)</w:t>
      </w:r>
      <w:r>
        <w:rPr>
          <w:rFonts w:ascii="Times New Roman" w:hAnsi="Times New Roman"/>
          <w:b/>
          <w:lang w:val="en-US"/>
        </w:rPr>
        <w:tab/>
      </w:r>
      <w:proofErr w:type="gramStart"/>
      <w:r w:rsidR="00116A76" w:rsidRPr="00E17F34">
        <w:rPr>
          <w:rFonts w:ascii="Times New Roman" w:hAnsi="Times New Roman"/>
          <w:b/>
          <w:lang w:val="en-US"/>
        </w:rPr>
        <w:t>forward</w:t>
      </w:r>
      <w:proofErr w:type="gramEnd"/>
      <w:r w:rsidR="00116A76" w:rsidRPr="00E17F34">
        <w:rPr>
          <w:rFonts w:ascii="Times New Roman" w:hAnsi="Times New Roman"/>
          <w:b/>
          <w:lang w:val="en-US"/>
        </w:rPr>
        <w:t xml:space="preserve"> from the vehicle, or horizontally from the back or sides of the vehicle.</w:t>
      </w:r>
    </w:p>
    <w:p w:rsidR="009D2C33" w:rsidRPr="00CF40BB" w:rsidRDefault="009D2C33" w:rsidP="00E14A73">
      <w:pPr>
        <w:tabs>
          <w:tab w:val="left" w:pos="1418"/>
        </w:tabs>
        <w:spacing w:before="240" w:after="0" w:line="240" w:lineRule="auto"/>
        <w:ind w:left="1418" w:hanging="1418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17.5.2.2.</w:t>
      </w:r>
      <w:r>
        <w:rPr>
          <w:rFonts w:ascii="Times New Roman" w:hAnsi="Times New Roman"/>
          <w:b/>
          <w:lang w:val="en-US"/>
        </w:rPr>
        <w:tab/>
      </w:r>
      <w:r w:rsidR="00C95F6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 xml:space="preserve">n case the container(s) is (are) fitted inside the vehicle </w:t>
      </w:r>
      <w:r w:rsidR="00E14A73" w:rsidRPr="00E14A73">
        <w:rPr>
          <w:rFonts w:ascii="Times New Roman" w:hAnsi="Times New Roman"/>
          <w:b/>
          <w:lang w:val="en-US"/>
        </w:rPr>
        <w:t>the pressure relief device (temperature triggered) shall</w:t>
      </w:r>
      <w:r w:rsidR="00C95F63">
        <w:rPr>
          <w:rFonts w:ascii="Times New Roman" w:hAnsi="Times New Roman"/>
          <w:b/>
          <w:lang w:val="en-US"/>
        </w:rPr>
        <w:t>,</w:t>
      </w:r>
      <w:r w:rsidR="00E14A73" w:rsidRPr="00E14A73">
        <w:rPr>
          <w:rFonts w:ascii="Times New Roman" w:hAnsi="Times New Roman"/>
          <w:b/>
          <w:lang w:val="en-US"/>
        </w:rPr>
        <w:t xml:space="preserve"> </w:t>
      </w:r>
      <w:r w:rsidR="00C95F63">
        <w:rPr>
          <w:rFonts w:ascii="Times New Roman" w:hAnsi="Times New Roman"/>
          <w:b/>
          <w:lang w:val="en-US"/>
        </w:rPr>
        <w:t xml:space="preserve">in addition to the provisions of paragraph 15.5.2.1., </w:t>
      </w:r>
      <w:r w:rsidR="00E14A73" w:rsidRPr="00E14A73">
        <w:rPr>
          <w:rFonts w:ascii="Times New Roman" w:hAnsi="Times New Roman"/>
          <w:b/>
          <w:lang w:val="en-US"/>
        </w:rPr>
        <w:t>be fitted to the fuel container(s) in such a manner that it can discharge the CNG into an atmospheric outlet that vents outside the vehicle.</w:t>
      </w:r>
      <w:r w:rsidR="00E244B8">
        <w:rPr>
          <w:rFonts w:ascii="Times New Roman" w:hAnsi="Times New Roman"/>
          <w:lang w:val="en-US"/>
        </w:rPr>
        <w:t>"</w:t>
      </w:r>
    </w:p>
    <w:p w:rsidR="006455C9" w:rsidRPr="006455C9" w:rsidRDefault="006455C9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455C9" w:rsidRDefault="00E95204" w:rsidP="006455C9">
      <w:pPr>
        <w:spacing w:after="0" w:line="240" w:lineRule="auto"/>
        <w:rPr>
          <w:rFonts w:ascii="Times New Roman" w:hAnsi="Times New Roman"/>
          <w:b/>
          <w:lang w:val="en-US"/>
        </w:rPr>
      </w:pPr>
      <w:r w:rsidRPr="00E95204">
        <w:rPr>
          <w:rFonts w:ascii="Times New Roman" w:hAnsi="Times New Roman"/>
          <w:b/>
          <w:lang w:val="en-US"/>
        </w:rPr>
        <w:t>II.</w:t>
      </w:r>
      <w:r w:rsidRPr="00E95204">
        <w:rPr>
          <w:rFonts w:ascii="Times New Roman" w:hAnsi="Times New Roman"/>
          <w:b/>
          <w:lang w:val="en-US"/>
        </w:rPr>
        <w:tab/>
        <w:t>Justification</w:t>
      </w:r>
    </w:p>
    <w:p w:rsidR="00E95204" w:rsidRDefault="00E95204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D2231" w:rsidRDefault="00F87CFD" w:rsidP="006455C9">
      <w:pPr>
        <w:spacing w:after="0" w:line="240" w:lineRule="auto"/>
        <w:rPr>
          <w:rFonts w:ascii="Times New Roman" w:hAnsi="Times New Roman"/>
          <w:lang w:val="en-US"/>
        </w:rPr>
      </w:pPr>
      <w:r w:rsidRPr="009C7689">
        <w:rPr>
          <w:rFonts w:ascii="Times New Roman" w:hAnsi="Times New Roman"/>
          <w:lang w:val="en-US"/>
        </w:rPr>
        <w:t xml:space="preserve">The existing provisions for buses and coaches are focusing on a rapid evacuation of the vehicle in cases of emergency. A fire accident in the Netherlands however showed that nevertheless a serious risk remains for other road users and the surroundings of the vehicle. In the accident concerned the pressure relief device produced a horizontal jet flame during several minutes which could have serious consequences for other road users and the area around the vehicle. The </w:t>
      </w:r>
      <w:proofErr w:type="gramStart"/>
      <w:r w:rsidR="00E244B8">
        <w:rPr>
          <w:rFonts w:ascii="Times New Roman" w:hAnsi="Times New Roman"/>
          <w:lang w:val="en-US"/>
        </w:rPr>
        <w:t xml:space="preserve">experts from the </w:t>
      </w:r>
      <w:r w:rsidRPr="009C7689">
        <w:rPr>
          <w:rFonts w:ascii="Times New Roman" w:hAnsi="Times New Roman"/>
          <w:lang w:val="en-US"/>
        </w:rPr>
        <w:t>Netherlands considers</w:t>
      </w:r>
      <w:proofErr w:type="gramEnd"/>
      <w:r w:rsidRPr="009C7689">
        <w:rPr>
          <w:rFonts w:ascii="Times New Roman" w:hAnsi="Times New Roman"/>
          <w:lang w:val="en-US"/>
        </w:rPr>
        <w:t xml:space="preserve"> it necessary to regulate the direction of discharging the pressure relief devices of the CNG containers. </w:t>
      </w:r>
      <w:r w:rsidR="00E244B8">
        <w:rPr>
          <w:rFonts w:ascii="Times New Roman" w:hAnsi="Times New Roman"/>
          <w:lang w:val="en-US"/>
        </w:rPr>
        <w:t>The l</w:t>
      </w:r>
      <w:r w:rsidR="009C7689" w:rsidRPr="009C7689">
        <w:rPr>
          <w:rFonts w:ascii="Times New Roman" w:hAnsi="Times New Roman"/>
          <w:lang w:val="en-US"/>
        </w:rPr>
        <w:t>imitation of discharging direction of CNG containers</w:t>
      </w:r>
      <w:r w:rsidR="00E244B8">
        <w:rPr>
          <w:rFonts w:ascii="Times New Roman" w:hAnsi="Times New Roman"/>
          <w:lang w:val="en-US"/>
        </w:rPr>
        <w:t>,</w:t>
      </w:r>
      <w:r w:rsidR="009C7689" w:rsidRPr="009C7689">
        <w:rPr>
          <w:rFonts w:ascii="Times New Roman" w:hAnsi="Times New Roman"/>
          <w:lang w:val="en-US"/>
        </w:rPr>
        <w:t xml:space="preserve"> as proposed above for paragraph 17.5.2.1</w:t>
      </w:r>
      <w:r w:rsidR="00E244B8">
        <w:rPr>
          <w:rFonts w:ascii="Times New Roman" w:hAnsi="Times New Roman"/>
          <w:lang w:val="en-US"/>
        </w:rPr>
        <w:t>.,</w:t>
      </w:r>
      <w:r w:rsidR="009C7689" w:rsidRPr="009C7689">
        <w:rPr>
          <w:rFonts w:ascii="Times New Roman" w:hAnsi="Times New Roman"/>
          <w:lang w:val="en-US"/>
        </w:rPr>
        <w:t xml:space="preserve"> is based on existing provisions within Regulation (EU) No. 79/2009 on hydrogen vehicles.</w:t>
      </w:r>
    </w:p>
    <w:p w:rsidR="00BD2231" w:rsidRDefault="00BD2231" w:rsidP="006455C9">
      <w:pPr>
        <w:spacing w:after="0" w:line="240" w:lineRule="auto"/>
        <w:rPr>
          <w:rFonts w:ascii="Times New Roman" w:hAnsi="Times New Roman"/>
          <w:lang w:val="en-US"/>
        </w:rPr>
      </w:pPr>
    </w:p>
    <w:p w:rsidR="009C6E85" w:rsidRDefault="00BD2231" w:rsidP="006455C9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In addition</w:t>
      </w:r>
      <w:r w:rsidR="00E244B8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the </w:t>
      </w:r>
      <w:r w:rsidR="00E244B8">
        <w:rPr>
          <w:rFonts w:ascii="Times New Roman" w:hAnsi="Times New Roman"/>
          <w:lang w:val="en-US"/>
        </w:rPr>
        <w:t xml:space="preserve">current text of </w:t>
      </w:r>
      <w:r>
        <w:rPr>
          <w:rFonts w:ascii="Times New Roman" w:hAnsi="Times New Roman"/>
          <w:lang w:val="en-US"/>
        </w:rPr>
        <w:t>paragraph 17.5.2.1</w:t>
      </w:r>
      <w:r w:rsidR="00E244B8"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requires</w:t>
      </w:r>
      <w:proofErr w:type="gramEnd"/>
      <w:r>
        <w:rPr>
          <w:rFonts w:ascii="Times New Roman" w:hAnsi="Times New Roman"/>
          <w:lang w:val="en-US"/>
        </w:rPr>
        <w:t xml:space="preserve"> that the PRD discharges in the gas tight housing</w:t>
      </w:r>
      <w:r w:rsidR="00E244B8">
        <w:rPr>
          <w:rFonts w:ascii="Times New Roman" w:hAnsi="Times New Roman"/>
          <w:lang w:val="en-US"/>
        </w:rPr>
        <w:t>. Therefore, t</w:t>
      </w:r>
      <w:r w:rsidR="00E244B8" w:rsidRPr="00E244B8">
        <w:rPr>
          <w:rFonts w:ascii="Times New Roman" w:hAnsi="Times New Roman"/>
          <w:lang w:val="en-US"/>
        </w:rPr>
        <w:t>he expert</w:t>
      </w:r>
      <w:r w:rsidR="00E244B8">
        <w:rPr>
          <w:rFonts w:ascii="Times New Roman" w:hAnsi="Times New Roman"/>
          <w:lang w:val="en-US"/>
        </w:rPr>
        <w:t>s</w:t>
      </w:r>
      <w:r w:rsidR="00E244B8" w:rsidRPr="00E244B8">
        <w:rPr>
          <w:rFonts w:ascii="Times New Roman" w:hAnsi="Times New Roman"/>
          <w:lang w:val="en-US"/>
        </w:rPr>
        <w:t xml:space="preserve"> from the Netherlands</w:t>
      </w:r>
      <w:r>
        <w:rPr>
          <w:rFonts w:ascii="Times New Roman" w:hAnsi="Times New Roman"/>
          <w:lang w:val="en-US"/>
        </w:rPr>
        <w:t xml:space="preserve"> believe that the gas tight housing is not appropriate for CNG vehicles and should be amended by an</w:t>
      </w:r>
      <w:r w:rsidR="009C6E85">
        <w:rPr>
          <w:rFonts w:ascii="Times New Roman" w:hAnsi="Times New Roman"/>
          <w:lang w:val="en-US"/>
        </w:rPr>
        <w:t>other provision dealing with the situation where the container is fitted inside the vehicle.</w:t>
      </w:r>
    </w:p>
    <w:p w:rsidR="009C6E85" w:rsidRDefault="009C6E85" w:rsidP="006455C9">
      <w:pPr>
        <w:spacing w:after="0" w:line="240" w:lineRule="auto"/>
        <w:rPr>
          <w:rFonts w:ascii="Times New Roman" w:hAnsi="Times New Roman"/>
          <w:lang w:val="en-US"/>
        </w:rPr>
      </w:pPr>
    </w:p>
    <w:p w:rsidR="00F87CFD" w:rsidRPr="009C7689" w:rsidRDefault="00E244B8" w:rsidP="006455C9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Pr="009C7689">
        <w:rPr>
          <w:rFonts w:ascii="Times New Roman" w:hAnsi="Times New Roman"/>
          <w:lang w:val="en-US"/>
        </w:rPr>
        <w:t>hese measures</w:t>
      </w:r>
      <w:r w:rsidR="00F87CFD" w:rsidRPr="009C7689">
        <w:rPr>
          <w:rFonts w:ascii="Times New Roman" w:hAnsi="Times New Roman"/>
          <w:lang w:val="en-US"/>
        </w:rPr>
        <w:t xml:space="preserve"> should focus on new type approval of vehicles; retrofitting is regarded to belong to the national responsibility of the countries.</w:t>
      </w:r>
    </w:p>
    <w:p w:rsidR="009C6592" w:rsidRDefault="009C6592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E2B8B" w:rsidRPr="008C5A4F" w:rsidRDefault="00A20BFC">
      <w:pPr>
        <w:rPr>
          <w:lang w:val="en-US"/>
        </w:rPr>
      </w:pPr>
      <w:r>
        <w:rPr>
          <w:lang w:val="en-US"/>
        </w:rPr>
        <w:t>22 April 2014</w:t>
      </w:r>
    </w:p>
    <w:sectPr w:rsidR="00EE2B8B" w:rsidRPr="008C5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8" w:rsidRDefault="007C65F8" w:rsidP="008C5A4F">
      <w:pPr>
        <w:spacing w:after="0" w:line="240" w:lineRule="auto"/>
      </w:pPr>
      <w:r>
        <w:separator/>
      </w:r>
    </w:p>
  </w:endnote>
  <w:endnote w:type="continuationSeparator" w:id="0">
    <w:p w:rsidR="007C65F8" w:rsidRDefault="007C65F8" w:rsidP="008C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204" w:rsidRDefault="00E95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204" w:rsidRDefault="00E95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8" w:rsidRDefault="007C65F8" w:rsidP="008C5A4F">
      <w:pPr>
        <w:spacing w:after="0" w:line="240" w:lineRule="auto"/>
      </w:pPr>
      <w:r>
        <w:separator/>
      </w:r>
    </w:p>
  </w:footnote>
  <w:footnote w:type="continuationSeparator" w:id="0">
    <w:p w:rsidR="007C65F8" w:rsidRDefault="007C65F8" w:rsidP="008C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27"/>
    <w:rsid w:val="00037B84"/>
    <w:rsid w:val="0009017B"/>
    <w:rsid w:val="000C5BB9"/>
    <w:rsid w:val="000D5300"/>
    <w:rsid w:val="000D6F8C"/>
    <w:rsid w:val="0011406F"/>
    <w:rsid w:val="00116A76"/>
    <w:rsid w:val="00122748"/>
    <w:rsid w:val="001268ED"/>
    <w:rsid w:val="00145DED"/>
    <w:rsid w:val="00163756"/>
    <w:rsid w:val="00201E50"/>
    <w:rsid w:val="002036D5"/>
    <w:rsid w:val="002429BC"/>
    <w:rsid w:val="00254389"/>
    <w:rsid w:val="00287E43"/>
    <w:rsid w:val="002D4346"/>
    <w:rsid w:val="002F75C8"/>
    <w:rsid w:val="00300227"/>
    <w:rsid w:val="003129F7"/>
    <w:rsid w:val="00363A38"/>
    <w:rsid w:val="00384B15"/>
    <w:rsid w:val="00387AAD"/>
    <w:rsid w:val="00397CDD"/>
    <w:rsid w:val="003A71D3"/>
    <w:rsid w:val="003C5EC8"/>
    <w:rsid w:val="003C693E"/>
    <w:rsid w:val="0040504C"/>
    <w:rsid w:val="00416DFD"/>
    <w:rsid w:val="00470F5C"/>
    <w:rsid w:val="00474190"/>
    <w:rsid w:val="00486625"/>
    <w:rsid w:val="00493642"/>
    <w:rsid w:val="004C2851"/>
    <w:rsid w:val="004C76FB"/>
    <w:rsid w:val="004D7A30"/>
    <w:rsid w:val="00541983"/>
    <w:rsid w:val="005648E5"/>
    <w:rsid w:val="005F6529"/>
    <w:rsid w:val="0063540C"/>
    <w:rsid w:val="00641226"/>
    <w:rsid w:val="006455C9"/>
    <w:rsid w:val="00681940"/>
    <w:rsid w:val="006A22BC"/>
    <w:rsid w:val="006D0777"/>
    <w:rsid w:val="006E4491"/>
    <w:rsid w:val="006F1B95"/>
    <w:rsid w:val="006F2CD8"/>
    <w:rsid w:val="00736A72"/>
    <w:rsid w:val="00746741"/>
    <w:rsid w:val="00787394"/>
    <w:rsid w:val="007B3747"/>
    <w:rsid w:val="007B757D"/>
    <w:rsid w:val="007C65F8"/>
    <w:rsid w:val="00806316"/>
    <w:rsid w:val="00811CD2"/>
    <w:rsid w:val="00821445"/>
    <w:rsid w:val="00831481"/>
    <w:rsid w:val="008569A4"/>
    <w:rsid w:val="008C5A4F"/>
    <w:rsid w:val="008C62A6"/>
    <w:rsid w:val="009545EB"/>
    <w:rsid w:val="00984F33"/>
    <w:rsid w:val="00990C40"/>
    <w:rsid w:val="00991EEC"/>
    <w:rsid w:val="009C6592"/>
    <w:rsid w:val="009C6E85"/>
    <w:rsid w:val="009C7689"/>
    <w:rsid w:val="009D2C33"/>
    <w:rsid w:val="009E20ED"/>
    <w:rsid w:val="00A20BFC"/>
    <w:rsid w:val="00AB3A8F"/>
    <w:rsid w:val="00AF49D6"/>
    <w:rsid w:val="00AF62BE"/>
    <w:rsid w:val="00B01CF4"/>
    <w:rsid w:val="00B27EA9"/>
    <w:rsid w:val="00B41B53"/>
    <w:rsid w:val="00B44D1F"/>
    <w:rsid w:val="00B65C28"/>
    <w:rsid w:val="00B669B4"/>
    <w:rsid w:val="00B673FB"/>
    <w:rsid w:val="00B86EE5"/>
    <w:rsid w:val="00BD2231"/>
    <w:rsid w:val="00BE1353"/>
    <w:rsid w:val="00BF5AB9"/>
    <w:rsid w:val="00C41EAC"/>
    <w:rsid w:val="00C95F63"/>
    <w:rsid w:val="00CF40BB"/>
    <w:rsid w:val="00D15E80"/>
    <w:rsid w:val="00D55A71"/>
    <w:rsid w:val="00D6414D"/>
    <w:rsid w:val="00DB3D0C"/>
    <w:rsid w:val="00DD0E06"/>
    <w:rsid w:val="00DF5956"/>
    <w:rsid w:val="00DF7E29"/>
    <w:rsid w:val="00E14A73"/>
    <w:rsid w:val="00E17F34"/>
    <w:rsid w:val="00E244B8"/>
    <w:rsid w:val="00E2455C"/>
    <w:rsid w:val="00E863E0"/>
    <w:rsid w:val="00E95204"/>
    <w:rsid w:val="00E966CE"/>
    <w:rsid w:val="00EC08D8"/>
    <w:rsid w:val="00EC4C00"/>
    <w:rsid w:val="00ED2B84"/>
    <w:rsid w:val="00ED498F"/>
    <w:rsid w:val="00EE2B8B"/>
    <w:rsid w:val="00F528A4"/>
    <w:rsid w:val="00F552F2"/>
    <w:rsid w:val="00F87CFD"/>
    <w:rsid w:val="00FB3393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4F"/>
    <w:rPr>
      <w:sz w:val="20"/>
      <w:szCs w:val="20"/>
    </w:rPr>
  </w:style>
  <w:style w:type="character" w:styleId="FootnoteReference">
    <w:name w:val="footnote reference"/>
    <w:aliases w:val="4_G"/>
    <w:rsid w:val="008C5A4F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8063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063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ChG">
    <w:name w:val="_ H _Ch_G"/>
    <w:basedOn w:val="Normal"/>
    <w:next w:val="Normal"/>
    <w:link w:val="HChGChar"/>
    <w:rsid w:val="0074674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74674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4F"/>
    <w:rPr>
      <w:sz w:val="20"/>
      <w:szCs w:val="20"/>
    </w:rPr>
  </w:style>
  <w:style w:type="character" w:styleId="FootnoteReference">
    <w:name w:val="footnote reference"/>
    <w:aliases w:val="4_G"/>
    <w:rsid w:val="008C5A4F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8063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063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ChG">
    <w:name w:val="_ H _Ch_G"/>
    <w:basedOn w:val="Normal"/>
    <w:next w:val="Normal"/>
    <w:link w:val="HChGChar"/>
    <w:rsid w:val="0074674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74674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Jongenelen, Harry</dc:creator>
  <cp:lastModifiedBy>2013/100</cp:lastModifiedBy>
  <cp:revision>2</cp:revision>
  <cp:lastPrinted>2013-09-30T11:18:00Z</cp:lastPrinted>
  <dcterms:created xsi:type="dcterms:W3CDTF">2014-04-22T13:57:00Z</dcterms:created>
  <dcterms:modified xsi:type="dcterms:W3CDTF">2014-04-22T13:57:00Z</dcterms:modified>
</cp:coreProperties>
</file>