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E4CAC" w:rsidRPr="0079106A" w:rsidTr="0055760B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9E4CAC" w:rsidRPr="0079106A" w:rsidRDefault="009E4CAC" w:rsidP="00887055">
            <w:pPr>
              <w:suppressAutoHyphens/>
              <w:spacing w:after="0" w:line="240" w:lineRule="atLeast"/>
              <w:jc w:val="right"/>
              <w:rPr>
                <w:sz w:val="20"/>
                <w:szCs w:val="20"/>
                <w:lang w:val="en-GB"/>
              </w:rPr>
            </w:pPr>
            <w:r w:rsidRPr="0079106A">
              <w:rPr>
                <w:b/>
                <w:sz w:val="40"/>
                <w:szCs w:val="40"/>
                <w:lang w:val="en-GB"/>
              </w:rPr>
              <w:t>INF.</w:t>
            </w:r>
            <w:r w:rsidR="00887055">
              <w:rPr>
                <w:b/>
                <w:sz w:val="40"/>
                <w:szCs w:val="40"/>
                <w:lang w:val="en-GB"/>
              </w:rPr>
              <w:t>7</w:t>
            </w:r>
          </w:p>
        </w:tc>
      </w:tr>
      <w:tr w:rsidR="009E4CAC" w:rsidRPr="00A02528" w:rsidTr="0055760B">
        <w:trPr>
          <w:cantSplit/>
          <w:trHeight w:hRule="exact" w:val="2414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9"/>
            </w:tblGrid>
            <w:tr w:rsidR="009E4CAC" w:rsidRPr="00A02528" w:rsidTr="0055760B">
              <w:trPr>
                <w:cantSplit/>
                <w:trHeight w:hRule="exact" w:val="2974"/>
              </w:trPr>
              <w:tc>
                <w:tcPr>
                  <w:tcW w:w="9639" w:type="dxa"/>
                </w:tcPr>
                <w:p w:rsidR="009E4CAC" w:rsidRPr="0079106A" w:rsidRDefault="009E4CAC" w:rsidP="0055760B">
                  <w:pPr>
                    <w:suppressAutoHyphens/>
                    <w:spacing w:before="120" w:after="0" w:line="240" w:lineRule="atLeast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79106A">
                    <w:rPr>
                      <w:b/>
                      <w:sz w:val="28"/>
                      <w:szCs w:val="28"/>
                      <w:lang w:val="en-GB"/>
                    </w:rPr>
                    <w:t>Economic Commission for Europe</w:t>
                  </w:r>
                </w:p>
                <w:p w:rsidR="009E4CAC" w:rsidRPr="0079106A" w:rsidRDefault="009E4CAC" w:rsidP="0055760B">
                  <w:pPr>
                    <w:suppressAutoHyphens/>
                    <w:spacing w:before="120" w:after="0" w:line="240" w:lineRule="atLeast"/>
                    <w:rPr>
                      <w:sz w:val="28"/>
                      <w:szCs w:val="28"/>
                      <w:lang w:val="en-GB"/>
                    </w:rPr>
                  </w:pPr>
                  <w:r w:rsidRPr="0079106A">
                    <w:rPr>
                      <w:sz w:val="28"/>
                      <w:szCs w:val="28"/>
                      <w:lang w:val="en-GB"/>
                    </w:rPr>
                    <w:t>Inland Transport Committee</w:t>
                  </w:r>
                </w:p>
                <w:p w:rsidR="009E4CAC" w:rsidRPr="0079106A" w:rsidRDefault="009E4CAC" w:rsidP="0055760B">
                  <w:pPr>
                    <w:tabs>
                      <w:tab w:val="left" w:pos="7938"/>
                    </w:tabs>
                    <w:suppressAutoHyphens/>
                    <w:spacing w:before="120" w:after="0" w:line="240" w:lineRule="atLeast"/>
                    <w:rPr>
                      <w:b/>
                      <w:szCs w:val="24"/>
                      <w:lang w:val="en-GB"/>
                    </w:rPr>
                  </w:pPr>
                  <w:r w:rsidRPr="0079106A">
                    <w:rPr>
                      <w:b/>
                      <w:szCs w:val="24"/>
                      <w:lang w:val="en-GB"/>
                    </w:rPr>
                    <w:t xml:space="preserve">Working Party on the Transport of Perishable Foodstuffs                          </w:t>
                  </w:r>
                  <w:r>
                    <w:rPr>
                      <w:b/>
                      <w:szCs w:val="24"/>
                      <w:lang w:val="en-GB"/>
                    </w:rPr>
                    <w:t xml:space="preserve">    </w:t>
                  </w:r>
                  <w:r w:rsidRPr="0079106A">
                    <w:rPr>
                      <w:b/>
                      <w:szCs w:val="24"/>
                      <w:lang w:val="en-GB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>2</w:t>
                  </w:r>
                  <w:r w:rsidR="00B20E35">
                    <w:rPr>
                      <w:b/>
                      <w:sz w:val="20"/>
                      <w:szCs w:val="20"/>
                      <w:lang w:val="en-GB"/>
                    </w:rPr>
                    <w:t>4</w:t>
                  </w:r>
                  <w:bookmarkStart w:id="0" w:name="_GoBack"/>
                  <w:bookmarkEnd w:id="0"/>
                  <w:r w:rsidRPr="00ED7C22"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September </w:t>
                  </w:r>
                  <w:r w:rsidRPr="00ED7C22">
                    <w:rPr>
                      <w:b/>
                      <w:sz w:val="20"/>
                      <w:szCs w:val="20"/>
                      <w:lang w:val="en-GB"/>
                    </w:rPr>
                    <w:t>2014</w:t>
                  </w:r>
                </w:p>
                <w:p w:rsidR="009E4CAC" w:rsidRPr="0079106A" w:rsidRDefault="009E4CAC" w:rsidP="0055760B">
                  <w:pPr>
                    <w:suppressAutoHyphens/>
                    <w:spacing w:before="120" w:after="0" w:line="240" w:lineRule="atLeast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79106A">
                    <w:rPr>
                      <w:b/>
                      <w:sz w:val="20"/>
                      <w:szCs w:val="20"/>
                      <w:lang w:val="en-GB"/>
                    </w:rPr>
                    <w:t>Seventieth session</w:t>
                  </w:r>
                </w:p>
                <w:p w:rsidR="009E4CAC" w:rsidRPr="0079106A" w:rsidRDefault="009E4CAC" w:rsidP="0055760B">
                  <w:pPr>
                    <w:suppressAutoHyphens/>
                    <w:spacing w:after="0" w:line="240" w:lineRule="atLeast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79106A">
                    <w:rPr>
                      <w:sz w:val="20"/>
                      <w:szCs w:val="20"/>
                      <w:lang w:val="en-GB"/>
                    </w:rPr>
                    <w:t>Geneva, 7-10 October 2014</w:t>
                  </w:r>
                  <w:r w:rsidRPr="0079106A">
                    <w:rPr>
                      <w:sz w:val="20"/>
                      <w:szCs w:val="20"/>
                      <w:lang w:val="en-GB"/>
                    </w:rPr>
                    <w:br/>
                  </w:r>
                  <w:r w:rsidRPr="0079106A">
                    <w:rPr>
                      <w:b/>
                      <w:sz w:val="20"/>
                      <w:szCs w:val="20"/>
                      <w:lang w:val="en-GB"/>
                    </w:rPr>
                    <w:t xml:space="preserve">Item </w:t>
                  </w: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2 (a) 2. </w:t>
                  </w:r>
                  <w:r w:rsidRPr="0079106A">
                    <w:rPr>
                      <w:b/>
                      <w:sz w:val="20"/>
                      <w:szCs w:val="20"/>
                      <w:lang w:val="en-GB"/>
                    </w:rPr>
                    <w:t xml:space="preserve"> of the provisional agenda</w:t>
                  </w:r>
                </w:p>
                <w:p w:rsidR="009E4CAC" w:rsidRPr="0079106A" w:rsidRDefault="009E4CAC" w:rsidP="0055760B">
                  <w:pPr>
                    <w:suppressAutoHyphens/>
                    <w:spacing w:after="0" w:line="240" w:lineRule="atLeast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Inland Transport Committee</w:t>
                  </w:r>
                  <w:r w:rsidRPr="0079106A">
                    <w:rPr>
                      <w:sz w:val="20"/>
                      <w:szCs w:val="20"/>
                      <w:lang w:val="en-GB"/>
                    </w:rPr>
                    <w:br/>
                  </w:r>
                </w:p>
              </w:tc>
            </w:tr>
            <w:tr w:rsidR="009E4CAC" w:rsidRPr="00A02528" w:rsidTr="0055760B">
              <w:trPr>
                <w:cantSplit/>
                <w:trHeight w:hRule="exact" w:val="2974"/>
              </w:trPr>
              <w:tc>
                <w:tcPr>
                  <w:tcW w:w="9639" w:type="dxa"/>
                </w:tcPr>
                <w:p w:rsidR="009E4CAC" w:rsidRPr="0079106A" w:rsidRDefault="009E4CAC" w:rsidP="0055760B">
                  <w:pPr>
                    <w:suppressAutoHyphens/>
                    <w:spacing w:before="120" w:after="0" w:line="240" w:lineRule="atLeast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79106A">
                    <w:rPr>
                      <w:b/>
                      <w:sz w:val="28"/>
                      <w:szCs w:val="28"/>
                      <w:lang w:val="en-GB"/>
                    </w:rPr>
                    <w:t xml:space="preserve">             </w:t>
                  </w:r>
                </w:p>
              </w:tc>
            </w:tr>
            <w:tr w:rsidR="009E4CAC" w:rsidRPr="00A02528" w:rsidTr="0055760B">
              <w:trPr>
                <w:cantSplit/>
                <w:trHeight w:hRule="exact" w:val="2974"/>
              </w:trPr>
              <w:tc>
                <w:tcPr>
                  <w:tcW w:w="9639" w:type="dxa"/>
                </w:tcPr>
                <w:p w:rsidR="009E4CAC" w:rsidRPr="0079106A" w:rsidRDefault="009E4CAC" w:rsidP="0055760B">
                  <w:pPr>
                    <w:suppressAutoHyphens/>
                    <w:spacing w:before="120" w:after="0" w:line="240" w:lineRule="atLeast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9E4CAC" w:rsidRPr="0079106A" w:rsidRDefault="009E4CAC" w:rsidP="0055760B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b/>
                <w:sz w:val="28"/>
                <w:szCs w:val="20"/>
                <w:lang w:val="en-US"/>
              </w:rPr>
            </w:pPr>
          </w:p>
          <w:p w:rsidR="009E4CAC" w:rsidRPr="0079106A" w:rsidRDefault="009E4CAC" w:rsidP="0055760B">
            <w:pPr>
              <w:suppressAutoHyphens/>
              <w:spacing w:before="120" w:after="0" w:line="240" w:lineRule="atLeast"/>
              <w:ind w:right="425"/>
              <w:rPr>
                <w:sz w:val="20"/>
                <w:szCs w:val="20"/>
                <w:lang w:val="en-GB"/>
              </w:rPr>
            </w:pPr>
          </w:p>
        </w:tc>
      </w:tr>
    </w:tbl>
    <w:p w:rsidR="009E4CAC" w:rsidRPr="009E4CAC" w:rsidRDefault="009E4CAC" w:rsidP="009E4CAC">
      <w:pPr>
        <w:spacing w:after="0"/>
        <w:rPr>
          <w:i/>
          <w:lang w:val="en-US"/>
        </w:rPr>
      </w:pPr>
      <w:r w:rsidRPr="009E4CAC">
        <w:rPr>
          <w:i/>
          <w:lang w:val="en-US"/>
        </w:rPr>
        <w:t>From Inland Transport Committee (ECE/TRANS/240), Paragraphs 81-86</w:t>
      </w:r>
    </w:p>
    <w:p w:rsidR="009E4CAC" w:rsidRPr="009E4CAC" w:rsidRDefault="009E4CAC" w:rsidP="009E4CAC">
      <w:pPr>
        <w:spacing w:after="0"/>
        <w:rPr>
          <w:lang w:val="en-US"/>
        </w:rPr>
      </w:pPr>
      <w:r>
        <w:rPr>
          <w:lang w:val="en-US"/>
        </w:rPr>
        <w:t>…</w:t>
      </w:r>
    </w:p>
    <w:p w:rsidR="009E4CAC" w:rsidRPr="002E5A81" w:rsidRDefault="009E4CAC" w:rsidP="009E4CAC">
      <w:pPr>
        <w:pStyle w:val="H1G"/>
        <w:spacing w:before="0" w:after="100" w:afterAutospacing="1"/>
        <w:rPr>
          <w:szCs w:val="24"/>
        </w:rPr>
      </w:pPr>
      <w:r w:rsidRPr="002E5A81">
        <w:rPr>
          <w:szCs w:val="24"/>
        </w:rPr>
        <w:tab/>
        <w:t>J.</w:t>
      </w:r>
      <w:r w:rsidRPr="002E5A81">
        <w:rPr>
          <w:szCs w:val="24"/>
        </w:rPr>
        <w:tab/>
        <w:t>Transport of perishable foodstuffs</w:t>
      </w:r>
    </w:p>
    <w:p w:rsidR="009E4CAC" w:rsidRPr="002E5A81" w:rsidRDefault="009E4CAC" w:rsidP="009E4CAC">
      <w:pPr>
        <w:pStyle w:val="SingleTxtG"/>
      </w:pPr>
      <w:r w:rsidRPr="00241F5E">
        <w:rPr>
          <w:bCs/>
          <w:i/>
        </w:rPr>
        <w:t>Documentation</w:t>
      </w:r>
      <w:r w:rsidRPr="002E5A81">
        <w:rPr>
          <w:bCs/>
          <w:i/>
        </w:rPr>
        <w:t>:</w:t>
      </w:r>
      <w:r w:rsidRPr="002E5A81">
        <w:t xml:space="preserve"> ECE/TRANS/WP.11/228 </w:t>
      </w:r>
    </w:p>
    <w:p w:rsidR="009E4CAC" w:rsidRDefault="009E4CAC" w:rsidP="009E4CAC">
      <w:pPr>
        <w:pStyle w:val="SingleTxtG"/>
      </w:pPr>
      <w:r>
        <w:t>81.</w:t>
      </w:r>
      <w:r>
        <w:tab/>
      </w:r>
      <w:r w:rsidR="00B27A04">
        <w:tab/>
      </w:r>
      <w:proofErr w:type="spellStart"/>
      <w:r w:rsidRPr="00E87A55">
        <w:t>Mr.</w:t>
      </w:r>
      <w:proofErr w:type="spellEnd"/>
      <w:r w:rsidRPr="00E87A55">
        <w:t xml:space="preserve"> </w:t>
      </w:r>
      <w:proofErr w:type="spellStart"/>
      <w:r w:rsidRPr="00E87A55">
        <w:t>Telmo</w:t>
      </w:r>
      <w:proofErr w:type="spellEnd"/>
      <w:r w:rsidRPr="00E87A55">
        <w:t xml:space="preserve"> </w:t>
      </w:r>
      <w:proofErr w:type="spellStart"/>
      <w:r w:rsidRPr="00E87A55">
        <w:t>Nobre</w:t>
      </w:r>
      <w:proofErr w:type="spellEnd"/>
      <w:r w:rsidRPr="00E87A55">
        <w:t xml:space="preserve"> (</w:t>
      </w:r>
      <w:smartTag w:uri="urn:schemas-microsoft-com:office:smarttags" w:element="country-region">
        <w:smartTag w:uri="urn:schemas-microsoft-com:office:smarttags" w:element="place">
          <w:r w:rsidRPr="00E87A55">
            <w:t>Portugal</w:t>
          </w:r>
        </w:smartTag>
      </w:smartTag>
      <w:r w:rsidRPr="00E87A55">
        <w:t>), Chair of the Working Party on the Transport of Perishable Foodstuffs (WP.11) informed the Committee about the main achievements of WP.11 in 201</w:t>
      </w:r>
      <w:r>
        <w:t>3</w:t>
      </w:r>
      <w:r w:rsidRPr="00E87A55">
        <w:t>.</w:t>
      </w:r>
    </w:p>
    <w:p w:rsidR="009E4CAC" w:rsidRPr="00FA5F13" w:rsidRDefault="009E4CAC" w:rsidP="009E4CAC">
      <w:pPr>
        <w:pStyle w:val="SingleTxtG"/>
      </w:pPr>
      <w:r>
        <w:t>82</w:t>
      </w:r>
      <w:r w:rsidR="00B27A04">
        <w:tab/>
      </w:r>
      <w:r>
        <w:t>.</w:t>
      </w:r>
      <w:r>
        <w:tab/>
      </w:r>
      <w:r w:rsidRPr="00FA5F13">
        <w:t xml:space="preserve">The Committee </w:t>
      </w:r>
      <w:r>
        <w:rPr>
          <w:b/>
        </w:rPr>
        <w:t xml:space="preserve">noted </w:t>
      </w:r>
      <w:r w:rsidRPr="00241F5E">
        <w:t>that</w:t>
      </w:r>
      <w:r>
        <w:rPr>
          <w:b/>
        </w:rPr>
        <w:t xml:space="preserve"> </w:t>
      </w:r>
      <w:r w:rsidRPr="00FA5F13">
        <w:t xml:space="preserve">proposed amendments to the Agreement on the International Carriage of Perishable Foodstuffs and on the Special Equipment to be Used for such Carriage (ATP) adopted at the sixty-eighth session of WP.11 </w:t>
      </w:r>
      <w:r w:rsidRPr="00FA5F13">
        <w:rPr>
          <w:bCs/>
        </w:rPr>
        <w:t xml:space="preserve">in </w:t>
      </w:r>
      <w:r>
        <w:rPr>
          <w:bCs/>
        </w:rPr>
        <w:t xml:space="preserve">October </w:t>
      </w:r>
      <w:r w:rsidRPr="00FA5F13">
        <w:rPr>
          <w:bCs/>
        </w:rPr>
        <w:t>2012</w:t>
      </w:r>
      <w:r>
        <w:rPr>
          <w:bCs/>
        </w:rPr>
        <w:t>,</w:t>
      </w:r>
      <w:r w:rsidRPr="00830B05">
        <w:rPr>
          <w:bCs/>
        </w:rPr>
        <w:t xml:space="preserve"> introducing revisions to the ATP certificate of compliance</w:t>
      </w:r>
      <w:r w:rsidRPr="00FA5F13">
        <w:rPr>
          <w:bCs/>
        </w:rPr>
        <w:t xml:space="preserve"> (ECE/TRANS/WP.11/226, Annex I)</w:t>
      </w:r>
      <w:r w:rsidRPr="00830B05">
        <w:rPr>
          <w:bCs/>
        </w:rPr>
        <w:t xml:space="preserve"> would, barring an objection,</w:t>
      </w:r>
      <w:r>
        <w:rPr>
          <w:bCs/>
        </w:rPr>
        <w:t xml:space="preserve"> be considered accepted in June</w:t>
      </w:r>
      <w:r w:rsidRPr="00830B05">
        <w:rPr>
          <w:bCs/>
        </w:rPr>
        <w:t xml:space="preserve"> 2014</w:t>
      </w:r>
      <w:r w:rsidRPr="00FA5F13">
        <w:rPr>
          <w:bCs/>
        </w:rPr>
        <w:t>.</w:t>
      </w:r>
    </w:p>
    <w:p w:rsidR="009E4CAC" w:rsidRPr="00FA5F13" w:rsidRDefault="009E4CAC" w:rsidP="009E4CAC">
      <w:pPr>
        <w:pStyle w:val="SingleTxtG"/>
      </w:pPr>
      <w:r>
        <w:rPr>
          <w:bCs/>
        </w:rPr>
        <w:t>83.</w:t>
      </w:r>
      <w:r>
        <w:rPr>
          <w:bCs/>
        </w:rPr>
        <w:tab/>
      </w:r>
      <w:r w:rsidR="00B27A04">
        <w:rPr>
          <w:bCs/>
        </w:rPr>
        <w:tab/>
      </w:r>
      <w:r w:rsidRPr="00FA5F13">
        <w:rPr>
          <w:bCs/>
        </w:rPr>
        <w:t xml:space="preserve">The Committee </w:t>
      </w:r>
      <w:r w:rsidRPr="00FA5F13">
        <w:rPr>
          <w:b/>
          <w:bCs/>
        </w:rPr>
        <w:t>note</w:t>
      </w:r>
      <w:r>
        <w:rPr>
          <w:b/>
          <w:bCs/>
        </w:rPr>
        <w:t>d</w:t>
      </w:r>
      <w:r w:rsidRPr="00FA5F13">
        <w:rPr>
          <w:bCs/>
        </w:rPr>
        <w:t xml:space="preserve"> that following the entry into force of amendments dealing with the testing of new multi-compartment</w:t>
      </w:r>
      <w:r>
        <w:rPr>
          <w:bCs/>
        </w:rPr>
        <w:t>,</w:t>
      </w:r>
      <w:r w:rsidRPr="00FA5F13">
        <w:rPr>
          <w:bCs/>
        </w:rPr>
        <w:t xml:space="preserve"> multi-temperature equipment on 23 September 2013, the secretariat </w:t>
      </w:r>
      <w:r>
        <w:rPr>
          <w:bCs/>
        </w:rPr>
        <w:t xml:space="preserve">had </w:t>
      </w:r>
      <w:r w:rsidRPr="00FA5F13">
        <w:rPr>
          <w:bCs/>
        </w:rPr>
        <w:t>issued a new consolidated text of ATP as a United Nations sales publication (ECE/TRANS/232).</w:t>
      </w:r>
    </w:p>
    <w:p w:rsidR="009E4CAC" w:rsidRPr="00FA5F13" w:rsidRDefault="009E4CAC" w:rsidP="009E4CAC">
      <w:pPr>
        <w:pStyle w:val="SingleTxtG"/>
      </w:pPr>
      <w:r>
        <w:rPr>
          <w:bCs/>
        </w:rPr>
        <w:t>84</w:t>
      </w:r>
      <w:r w:rsidR="00B27A04">
        <w:rPr>
          <w:bCs/>
        </w:rPr>
        <w:tab/>
      </w:r>
      <w:r>
        <w:rPr>
          <w:bCs/>
        </w:rPr>
        <w:t>.</w:t>
      </w:r>
      <w:r>
        <w:rPr>
          <w:bCs/>
        </w:rPr>
        <w:tab/>
      </w:r>
      <w:r w:rsidRPr="00FA5F13">
        <w:rPr>
          <w:bCs/>
        </w:rPr>
        <w:t xml:space="preserve">The Committee also </w:t>
      </w:r>
      <w:r w:rsidRPr="00FA5F13">
        <w:rPr>
          <w:b/>
          <w:bCs/>
        </w:rPr>
        <w:t>note</w:t>
      </w:r>
      <w:r>
        <w:rPr>
          <w:b/>
          <w:bCs/>
        </w:rPr>
        <w:t>d</w:t>
      </w:r>
      <w:r w:rsidRPr="00FA5F13">
        <w:rPr>
          <w:bCs/>
        </w:rPr>
        <w:t xml:space="preserve"> that at its sixty-ninth session (8–11 October 2013), </w:t>
      </w:r>
      <w:r w:rsidRPr="00FA5F13">
        <w:t xml:space="preserve">WP.11 </w:t>
      </w:r>
      <w:r>
        <w:t xml:space="preserve">had </w:t>
      </w:r>
      <w:r w:rsidRPr="00FA5F13">
        <w:t>adopted two new classes of heated ATP equipment to take account of conditions in countries where winter temperatures routinely f</w:t>
      </w:r>
      <w:r>
        <w:t>e</w:t>
      </w:r>
      <w:r w:rsidRPr="00FA5F13">
        <w:t xml:space="preserve">ll below -20°C and where heating </w:t>
      </w:r>
      <w:r>
        <w:t>was</w:t>
      </w:r>
      <w:r w:rsidRPr="00FA5F13">
        <w:t xml:space="preserve"> required to keep cargoes of food at the correct temperature</w:t>
      </w:r>
      <w:r w:rsidRPr="00FA5F13">
        <w:rPr>
          <w:bCs/>
        </w:rPr>
        <w:t xml:space="preserve"> (ECE/TRANS/WP.11/228, Annex I). </w:t>
      </w:r>
      <w:r w:rsidRPr="00830B05">
        <w:rPr>
          <w:bCs/>
        </w:rPr>
        <w:t xml:space="preserve">The Committee </w:t>
      </w:r>
      <w:r w:rsidRPr="00830B05">
        <w:rPr>
          <w:b/>
          <w:bCs/>
        </w:rPr>
        <w:t>noted</w:t>
      </w:r>
      <w:r w:rsidRPr="00830B05">
        <w:rPr>
          <w:bCs/>
        </w:rPr>
        <w:t xml:space="preserve"> </w:t>
      </w:r>
      <w:r>
        <w:rPr>
          <w:bCs/>
        </w:rPr>
        <w:t xml:space="preserve">that </w:t>
      </w:r>
      <w:r w:rsidRPr="00FA5F13">
        <w:rPr>
          <w:bCs/>
        </w:rPr>
        <w:t xml:space="preserve">WP.11 </w:t>
      </w:r>
      <w:r>
        <w:rPr>
          <w:bCs/>
        </w:rPr>
        <w:t xml:space="preserve">had </w:t>
      </w:r>
      <w:r w:rsidRPr="00FA5F13">
        <w:rPr>
          <w:bCs/>
        </w:rPr>
        <w:t xml:space="preserve">also adopted proposed amendments </w:t>
      </w:r>
      <w:r>
        <w:rPr>
          <w:bCs/>
        </w:rPr>
        <w:t xml:space="preserve">to the ATP </w:t>
      </w:r>
      <w:r w:rsidRPr="00FA5F13">
        <w:rPr>
          <w:bCs/>
        </w:rPr>
        <w:t xml:space="preserve">and comments for inclusion in the ATP Handbook on acceptable minor interior changes to insulated equipment which </w:t>
      </w:r>
      <w:r>
        <w:rPr>
          <w:bCs/>
        </w:rPr>
        <w:t>did</w:t>
      </w:r>
      <w:r w:rsidRPr="00FA5F13">
        <w:rPr>
          <w:bCs/>
        </w:rPr>
        <w:t xml:space="preserve"> not require the equipment to undergo retesting (ECE/TRANS/WP.11/228, Annex III).</w:t>
      </w:r>
    </w:p>
    <w:p w:rsidR="009E4CAC" w:rsidRPr="007A0F2E" w:rsidRDefault="009E4CAC" w:rsidP="009E4CAC">
      <w:pPr>
        <w:pStyle w:val="SingleTxtG"/>
      </w:pPr>
      <w:r>
        <w:t>85.</w:t>
      </w:r>
      <w:r w:rsidR="00B27A04">
        <w:tab/>
      </w:r>
      <w:r>
        <w:tab/>
      </w:r>
      <w:r w:rsidRPr="00FA5F13">
        <w:t xml:space="preserve">The Committee </w:t>
      </w:r>
      <w:r w:rsidRPr="00241F5E">
        <w:rPr>
          <w:b/>
        </w:rPr>
        <w:t>was</w:t>
      </w:r>
      <w:r>
        <w:t xml:space="preserve"> </w:t>
      </w:r>
      <w:r w:rsidRPr="00FA5F13">
        <w:rPr>
          <w:b/>
        </w:rPr>
        <w:t>informed</w:t>
      </w:r>
      <w:r w:rsidRPr="00FA5F13">
        <w:t xml:space="preserve"> that WP.11 </w:t>
      </w:r>
      <w:r>
        <w:t xml:space="preserve">had </w:t>
      </w:r>
      <w:r w:rsidRPr="00FA5F13">
        <w:t xml:space="preserve">modified its rules of procedure (ECE/TRANS/WP.11/222/Add.1) by requiring that proposals to amend ATP should, where relevant, include an assessment of the environmental impact of the proposal in addition to </w:t>
      </w:r>
      <w:r>
        <w:t xml:space="preserve">the </w:t>
      </w:r>
      <w:r w:rsidRPr="00FA5F13">
        <w:t>cost, feasibility and enforceability implications (</w:t>
      </w:r>
      <w:r w:rsidRPr="00FA5F13">
        <w:rPr>
          <w:bCs/>
        </w:rPr>
        <w:t xml:space="preserve">ECE/TRANS/WP.11/228, Annex </w:t>
      </w:r>
      <w:r w:rsidRPr="00FA5F13">
        <w:t>IV).</w:t>
      </w:r>
    </w:p>
    <w:p w:rsidR="009E4CAC" w:rsidRPr="00FA5F13" w:rsidRDefault="009E4CAC" w:rsidP="009E4CAC">
      <w:pPr>
        <w:pStyle w:val="SingleTxtG"/>
      </w:pPr>
      <w:r>
        <w:rPr>
          <w:bCs/>
        </w:rPr>
        <w:t>86</w:t>
      </w:r>
      <w:r w:rsidRPr="00F4703C">
        <w:rPr>
          <w:bCs/>
        </w:rPr>
        <w:t>.</w:t>
      </w:r>
      <w:r w:rsidR="00B27A04">
        <w:rPr>
          <w:bCs/>
        </w:rPr>
        <w:tab/>
      </w:r>
      <w:r w:rsidRPr="00F4703C">
        <w:rPr>
          <w:bCs/>
        </w:rPr>
        <w:tab/>
      </w:r>
      <w:r w:rsidRPr="00392DD0">
        <w:rPr>
          <w:bCs/>
        </w:rPr>
        <w:t>The Committee</w:t>
      </w:r>
      <w:r>
        <w:rPr>
          <w:b/>
          <w:bCs/>
        </w:rPr>
        <w:t xml:space="preserve"> n</w:t>
      </w:r>
      <w:r w:rsidRPr="00D6402C">
        <w:rPr>
          <w:b/>
          <w:bCs/>
        </w:rPr>
        <w:t>oted</w:t>
      </w:r>
      <w:r w:rsidRPr="00D6402C">
        <w:t xml:space="preserve"> that to match the amendment procedure laid down in the ATP itself, decisions by WP.11 on draft amendments to the ATP </w:t>
      </w:r>
      <w:r>
        <w:t>were</w:t>
      </w:r>
      <w:r w:rsidRPr="00D6402C">
        <w:t xml:space="preserve"> taken by unanimity; further </w:t>
      </w:r>
      <w:r w:rsidRPr="00D6402C">
        <w:rPr>
          <w:b/>
          <w:bCs/>
        </w:rPr>
        <w:t>noted</w:t>
      </w:r>
      <w:r w:rsidRPr="00D6402C">
        <w:t xml:space="preserve"> that there </w:t>
      </w:r>
      <w:r>
        <w:t>was</w:t>
      </w:r>
      <w:r w:rsidRPr="00D6402C">
        <w:t xml:space="preserve"> a need to ensure the</w:t>
      </w:r>
      <w:r>
        <w:t xml:space="preserve"> </w:t>
      </w:r>
      <w:r w:rsidRPr="00D6402C">
        <w:t xml:space="preserve">proper evolution of the </w:t>
      </w:r>
      <w:r>
        <w:t>ATP</w:t>
      </w:r>
      <w:r w:rsidRPr="00D6402C">
        <w:t xml:space="preserve">; </w:t>
      </w:r>
      <w:r w:rsidRPr="00D6402C">
        <w:rPr>
          <w:b/>
          <w:bCs/>
        </w:rPr>
        <w:t>invited</w:t>
      </w:r>
      <w:r w:rsidRPr="00D6402C">
        <w:t xml:space="preserve"> WP.11 to assess whether there </w:t>
      </w:r>
      <w:r>
        <w:t>was</w:t>
      </w:r>
      <w:r w:rsidRPr="00D6402C">
        <w:t xml:space="preserve"> a need to reconsider its decision-making procedure; </w:t>
      </w:r>
      <w:r w:rsidRPr="00D6402C">
        <w:rPr>
          <w:b/>
        </w:rPr>
        <w:t>urged</w:t>
      </w:r>
      <w:r w:rsidRPr="00D6402C">
        <w:t xml:space="preserve"> Contracting Parties to refrain wherever possible from objections to amendments that hinder</w:t>
      </w:r>
      <w:r>
        <w:t>ed</w:t>
      </w:r>
      <w:r w:rsidRPr="00D6402C">
        <w:t xml:space="preserve"> the satisfactory development of the </w:t>
      </w:r>
      <w:r>
        <w:t>ATP</w:t>
      </w:r>
      <w:r w:rsidRPr="00D6402C">
        <w:t xml:space="preserve">; and </w:t>
      </w:r>
      <w:r w:rsidRPr="00D6402C">
        <w:rPr>
          <w:b/>
          <w:bCs/>
        </w:rPr>
        <w:t>encouraged</w:t>
      </w:r>
      <w:r w:rsidRPr="00D6402C">
        <w:t xml:space="preserve"> WP.11 to consider the possibility of extending the scope of the Agreement, for example by adding an annex which could be applied by Contracting Parties on a voluntary basis</w:t>
      </w:r>
      <w:r>
        <w:t>.</w:t>
      </w:r>
    </w:p>
    <w:p w:rsidR="009E4CAC" w:rsidRDefault="009E4CAC">
      <w:pPr>
        <w:rPr>
          <w:lang w:val="en-GB"/>
        </w:rPr>
      </w:pPr>
      <w:r>
        <w:rPr>
          <w:lang w:val="en-GB"/>
        </w:rPr>
        <w:t>…</w:t>
      </w:r>
    </w:p>
    <w:p w:rsidR="009E4CAC" w:rsidRPr="00A02528" w:rsidRDefault="009E4CAC" w:rsidP="00A02528">
      <w:pPr>
        <w:pStyle w:val="SingleTxtG"/>
        <w:spacing w:before="240" w:after="0"/>
        <w:jc w:val="center"/>
        <w:rPr>
          <w:rFonts w:eastAsia="PMingLiU"/>
          <w:u w:val="single"/>
          <w:lang w:val="en-US" w:eastAsia="ar-SA"/>
        </w:rPr>
      </w:pPr>
      <w:r>
        <w:rPr>
          <w:rFonts w:eastAsia="PMingLiU"/>
          <w:u w:val="single"/>
          <w:lang w:val="en-US" w:eastAsia="ar-SA"/>
        </w:rPr>
        <w:tab/>
      </w:r>
      <w:r>
        <w:rPr>
          <w:rFonts w:eastAsia="PMingLiU"/>
          <w:u w:val="single"/>
          <w:lang w:val="en-US" w:eastAsia="ar-SA"/>
        </w:rPr>
        <w:tab/>
      </w:r>
      <w:r>
        <w:rPr>
          <w:rFonts w:eastAsia="PMingLiU"/>
          <w:u w:val="single"/>
          <w:lang w:val="en-US" w:eastAsia="ar-SA"/>
        </w:rPr>
        <w:tab/>
      </w:r>
    </w:p>
    <w:sectPr w:rsidR="009E4CAC" w:rsidRPr="00A02528" w:rsidSect="009E4CAC">
      <w:pgSz w:w="11906" w:h="16838"/>
      <w:pgMar w:top="1474" w:right="113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AC"/>
    <w:rsid w:val="0001202D"/>
    <w:rsid w:val="00086598"/>
    <w:rsid w:val="000B7EF6"/>
    <w:rsid w:val="000C3ACB"/>
    <w:rsid w:val="000D13F4"/>
    <w:rsid w:val="000D6740"/>
    <w:rsid w:val="001328D7"/>
    <w:rsid w:val="00132AC2"/>
    <w:rsid w:val="001B40DE"/>
    <w:rsid w:val="001D205D"/>
    <w:rsid w:val="001E6367"/>
    <w:rsid w:val="001E6FF0"/>
    <w:rsid w:val="002069B1"/>
    <w:rsid w:val="00226E65"/>
    <w:rsid w:val="00231316"/>
    <w:rsid w:val="00241061"/>
    <w:rsid w:val="002509B9"/>
    <w:rsid w:val="00255492"/>
    <w:rsid w:val="002634C4"/>
    <w:rsid w:val="00264606"/>
    <w:rsid w:val="002B0D28"/>
    <w:rsid w:val="002D002F"/>
    <w:rsid w:val="002D7385"/>
    <w:rsid w:val="00314DBD"/>
    <w:rsid w:val="00350CB7"/>
    <w:rsid w:val="00357D61"/>
    <w:rsid w:val="00365C79"/>
    <w:rsid w:val="00376FB4"/>
    <w:rsid w:val="00381ADE"/>
    <w:rsid w:val="00393A41"/>
    <w:rsid w:val="003B3C5E"/>
    <w:rsid w:val="003C0600"/>
    <w:rsid w:val="003C640E"/>
    <w:rsid w:val="003C6B44"/>
    <w:rsid w:val="003E0829"/>
    <w:rsid w:val="003F1B10"/>
    <w:rsid w:val="004379E2"/>
    <w:rsid w:val="00442EE2"/>
    <w:rsid w:val="00483236"/>
    <w:rsid w:val="004A160F"/>
    <w:rsid w:val="004D5101"/>
    <w:rsid w:val="004D775F"/>
    <w:rsid w:val="005111D5"/>
    <w:rsid w:val="0055605D"/>
    <w:rsid w:val="005D2445"/>
    <w:rsid w:val="005D6DDC"/>
    <w:rsid w:val="005E75C7"/>
    <w:rsid w:val="006006FE"/>
    <w:rsid w:val="00611C2A"/>
    <w:rsid w:val="00611DBA"/>
    <w:rsid w:val="0062405B"/>
    <w:rsid w:val="006269BB"/>
    <w:rsid w:val="00633FF7"/>
    <w:rsid w:val="006454D0"/>
    <w:rsid w:val="00660A46"/>
    <w:rsid w:val="00664D38"/>
    <w:rsid w:val="006B4001"/>
    <w:rsid w:val="006B69F2"/>
    <w:rsid w:val="006C7D14"/>
    <w:rsid w:val="006F64E4"/>
    <w:rsid w:val="00735E9E"/>
    <w:rsid w:val="00756169"/>
    <w:rsid w:val="00764138"/>
    <w:rsid w:val="00786BD6"/>
    <w:rsid w:val="00790343"/>
    <w:rsid w:val="007A4AC8"/>
    <w:rsid w:val="007B7653"/>
    <w:rsid w:val="007F48D5"/>
    <w:rsid w:val="00805BBA"/>
    <w:rsid w:val="00807BCD"/>
    <w:rsid w:val="00810A06"/>
    <w:rsid w:val="00816C3C"/>
    <w:rsid w:val="00847C62"/>
    <w:rsid w:val="00865E2E"/>
    <w:rsid w:val="00874B9F"/>
    <w:rsid w:val="0088043D"/>
    <w:rsid w:val="00887055"/>
    <w:rsid w:val="00891145"/>
    <w:rsid w:val="008C0667"/>
    <w:rsid w:val="008C5631"/>
    <w:rsid w:val="008D312F"/>
    <w:rsid w:val="00913618"/>
    <w:rsid w:val="0092383C"/>
    <w:rsid w:val="00930239"/>
    <w:rsid w:val="00934863"/>
    <w:rsid w:val="00970CE1"/>
    <w:rsid w:val="009E4CAC"/>
    <w:rsid w:val="00A02528"/>
    <w:rsid w:val="00A32492"/>
    <w:rsid w:val="00A63093"/>
    <w:rsid w:val="00A9288E"/>
    <w:rsid w:val="00AA44DD"/>
    <w:rsid w:val="00AA5907"/>
    <w:rsid w:val="00AD03AE"/>
    <w:rsid w:val="00AD51D4"/>
    <w:rsid w:val="00AE1A83"/>
    <w:rsid w:val="00AF09D0"/>
    <w:rsid w:val="00B162BD"/>
    <w:rsid w:val="00B20E35"/>
    <w:rsid w:val="00B27A04"/>
    <w:rsid w:val="00B378D5"/>
    <w:rsid w:val="00B6162C"/>
    <w:rsid w:val="00B73356"/>
    <w:rsid w:val="00B80AB8"/>
    <w:rsid w:val="00B84031"/>
    <w:rsid w:val="00B87680"/>
    <w:rsid w:val="00BA08FE"/>
    <w:rsid w:val="00BB0591"/>
    <w:rsid w:val="00BC5F0B"/>
    <w:rsid w:val="00C05D7B"/>
    <w:rsid w:val="00C10DB8"/>
    <w:rsid w:val="00C27724"/>
    <w:rsid w:val="00C31ED3"/>
    <w:rsid w:val="00C502C9"/>
    <w:rsid w:val="00C556C7"/>
    <w:rsid w:val="00C707C7"/>
    <w:rsid w:val="00C92F6D"/>
    <w:rsid w:val="00CA39A0"/>
    <w:rsid w:val="00CF11E3"/>
    <w:rsid w:val="00D26BDC"/>
    <w:rsid w:val="00D34750"/>
    <w:rsid w:val="00D3758F"/>
    <w:rsid w:val="00D46E67"/>
    <w:rsid w:val="00D716AC"/>
    <w:rsid w:val="00D76232"/>
    <w:rsid w:val="00DC11B8"/>
    <w:rsid w:val="00DC45C9"/>
    <w:rsid w:val="00DC6D6A"/>
    <w:rsid w:val="00DF4638"/>
    <w:rsid w:val="00E0563E"/>
    <w:rsid w:val="00E24ED5"/>
    <w:rsid w:val="00E25884"/>
    <w:rsid w:val="00E25D76"/>
    <w:rsid w:val="00E35342"/>
    <w:rsid w:val="00E40DCB"/>
    <w:rsid w:val="00E83A3C"/>
    <w:rsid w:val="00E9614E"/>
    <w:rsid w:val="00ED37AD"/>
    <w:rsid w:val="00F14849"/>
    <w:rsid w:val="00F2712C"/>
    <w:rsid w:val="00F3164E"/>
    <w:rsid w:val="00F36EFE"/>
    <w:rsid w:val="00F402AA"/>
    <w:rsid w:val="00F45ECD"/>
    <w:rsid w:val="00F63968"/>
    <w:rsid w:val="00F65A2F"/>
    <w:rsid w:val="00F86AC1"/>
    <w:rsid w:val="00F96CF4"/>
    <w:rsid w:val="00FA1800"/>
    <w:rsid w:val="00FB2FEB"/>
    <w:rsid w:val="00FC3E53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9E4CA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9E4C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9E4CA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9E4CA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9E4CA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9E4CA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ISQ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Telmo Nobre</dc:creator>
  <cp:lastModifiedBy>Christopher Smith</cp:lastModifiedBy>
  <cp:revision>3</cp:revision>
  <dcterms:created xsi:type="dcterms:W3CDTF">2014-09-23T14:12:00Z</dcterms:created>
  <dcterms:modified xsi:type="dcterms:W3CDTF">2014-09-24T07:03:00Z</dcterms:modified>
</cp:coreProperties>
</file>