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1AD" w:rsidRPr="00B24C59" w:rsidRDefault="00F571AD" w:rsidP="00A87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  <w:r w:rsidRPr="00B24C5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СПЕЦИАЛЬНАЯ ПРОГРАММА ООН ДЛЯ ЭКОНОМИК ЦЕНТРАЛЬНОЙ АЗИИ (СПЕКА)</w:t>
      </w:r>
    </w:p>
    <w:p w:rsidR="00F571AD" w:rsidRDefault="00F571AD" w:rsidP="00A87009">
      <w:pPr>
        <w:pStyle w:val="NormalWeb"/>
        <w:spacing w:before="0" w:beforeAutospacing="0" w:after="0" w:afterAutospacing="0"/>
        <w:jc w:val="right"/>
        <w:rPr>
          <w:lang w:val="ru-RU"/>
        </w:rPr>
      </w:pPr>
    </w:p>
    <w:p w:rsidR="00A87009" w:rsidRPr="00A87009" w:rsidRDefault="00F54216" w:rsidP="00A87009">
      <w:pPr>
        <w:spacing w:after="0" w:line="240" w:lineRule="auto"/>
        <w:ind w:left="-142" w:right="-143"/>
        <w:jc w:val="center"/>
        <w:rPr>
          <w:b/>
          <w:sz w:val="28"/>
          <w:szCs w:val="28"/>
          <w:lang w:val="ru-RU"/>
        </w:rPr>
      </w:pPr>
      <w:r w:rsidRPr="00A87009">
        <w:rPr>
          <w:rFonts w:ascii="Times New Roman" w:eastAsia="DengXian Light" w:hAnsi="Times New Roman" w:cs="Times New Roman"/>
          <w:b/>
          <w:sz w:val="28"/>
          <w:szCs w:val="28"/>
          <w:lang w:val="ru-RU"/>
        </w:rPr>
        <w:t xml:space="preserve">ЧЕТЫРНАДЦАТАЯ СЕССИЯ </w:t>
      </w:r>
      <w:r w:rsidR="00A87009" w:rsidRPr="00A87009">
        <w:rPr>
          <w:rFonts w:ascii="Times New Roman" w:eastAsia="DengXian Light" w:hAnsi="Times New Roman" w:cs="Times New Roman"/>
          <w:b/>
          <w:sz w:val="28"/>
          <w:szCs w:val="28"/>
          <w:lang w:val="ru-RU"/>
        </w:rPr>
        <w:t>РУКОВОДЯЩЕНР СОВЕТА СПЕА</w:t>
      </w:r>
      <w:r w:rsidRPr="00A87009">
        <w:rPr>
          <w:rFonts w:ascii="Times New Roman" w:eastAsia="DengXian Light" w:hAnsi="Times New Roman" w:cs="Times New Roman"/>
          <w:b/>
          <w:sz w:val="28"/>
          <w:szCs w:val="28"/>
          <w:lang w:val="ru-RU"/>
        </w:rPr>
        <w:br/>
      </w:r>
    </w:p>
    <w:p w:rsidR="00F54216" w:rsidRPr="00A87009" w:rsidRDefault="00F54216" w:rsidP="00A87009">
      <w:pPr>
        <w:spacing w:after="0" w:line="240" w:lineRule="auto"/>
        <w:ind w:left="-142" w:right="-143"/>
        <w:jc w:val="center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A87009">
        <w:rPr>
          <w:rFonts w:asciiTheme="majorBidi" w:hAnsiTheme="majorBidi" w:cstheme="majorBidi"/>
          <w:b/>
          <w:sz w:val="24"/>
          <w:szCs w:val="24"/>
          <w:lang w:val="ru-RU"/>
        </w:rPr>
        <w:t>(Ашгабат, Туркменистан, 19 ноября 2019 г.)</w:t>
      </w:r>
    </w:p>
    <w:p w:rsidR="00F54216" w:rsidRPr="00A87009" w:rsidRDefault="00F54216" w:rsidP="00A87009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lang w:val="ru-RU"/>
        </w:rPr>
      </w:pPr>
    </w:p>
    <w:p w:rsidR="00A87009" w:rsidRPr="00B24C59" w:rsidRDefault="00A87009" w:rsidP="00A87009">
      <w:pPr>
        <w:pStyle w:val="NormalWeb"/>
        <w:spacing w:before="0" w:beforeAutospacing="0" w:after="0" w:afterAutospacing="0"/>
        <w:jc w:val="center"/>
        <w:rPr>
          <w:b/>
          <w:bCs/>
          <w:lang w:val="ru-RU"/>
        </w:rPr>
      </w:pPr>
    </w:p>
    <w:p w:rsidR="007B5E55" w:rsidRPr="00A87009" w:rsidRDefault="007B5E55" w:rsidP="00A87009">
      <w:pPr>
        <w:pStyle w:val="HTMLPreformatted"/>
        <w:jc w:val="center"/>
        <w:rPr>
          <w:rFonts w:ascii="Times New Roman Bold" w:hAnsi="Times New Roman Bold" w:cs="Times New Roman Bold"/>
          <w:b/>
          <w:bCs/>
          <w:caps/>
          <w:sz w:val="28"/>
          <w:szCs w:val="28"/>
          <w:lang w:val="ru-RU"/>
        </w:rPr>
      </w:pPr>
      <w:r w:rsidRPr="00A87009">
        <w:rPr>
          <w:rFonts w:ascii="Times New Roman Bold" w:hAnsi="Times New Roman Bold" w:cs="Times New Roman Bold"/>
          <w:b/>
          <w:bCs/>
          <w:caps/>
          <w:sz w:val="28"/>
          <w:szCs w:val="28"/>
          <w:lang w:val="ru-RU"/>
        </w:rPr>
        <w:t>Принципы устойчивой торговли</w:t>
      </w:r>
    </w:p>
    <w:p w:rsidR="00A87009" w:rsidRPr="00A87009" w:rsidRDefault="00A87009" w:rsidP="00A87009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B5E55" w:rsidRPr="00A87009" w:rsidRDefault="007B5E55" w:rsidP="00A87009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:rsidR="007B5E55" w:rsidRPr="00A87009" w:rsidRDefault="00A87009" w:rsidP="00A87009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Деятельность ООН </w:t>
      </w:r>
      <w:r w:rsidRPr="00A87009">
        <w:rPr>
          <w:lang w:val="ru-RU"/>
        </w:rPr>
        <w:t xml:space="preserve">и стран-участниц </w:t>
      </w:r>
      <w:r w:rsidR="007B5E55" w:rsidRPr="00A87009">
        <w:rPr>
          <w:lang w:val="ru-RU"/>
        </w:rPr>
        <w:t xml:space="preserve">по </w:t>
      </w:r>
      <w:r>
        <w:rPr>
          <w:lang w:val="ru-RU"/>
        </w:rPr>
        <w:t>достижению</w:t>
      </w:r>
      <w:r w:rsidR="007B5E55" w:rsidRPr="00A87009">
        <w:rPr>
          <w:lang w:val="ru-RU"/>
        </w:rPr>
        <w:t xml:space="preserve"> ЦУР все больше концентрируется на неотложной необходимости обеспечения того, чтобы экономический рост, охрана окружающей среды и социальная интеграция рассматривались как часть комплексной повестки дня в области развития. В этом смысле торговля понимается как двигатель устойчивого развития.</w:t>
      </w:r>
    </w:p>
    <w:p w:rsidR="007B5E55" w:rsidRPr="00A87009" w:rsidRDefault="007B5E55" w:rsidP="00A87009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:rsidR="007B5E55" w:rsidRPr="00A87009" w:rsidRDefault="007B5E55" w:rsidP="00A87009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A87009">
        <w:rPr>
          <w:lang w:val="ru-RU"/>
        </w:rPr>
        <w:t xml:space="preserve">Связь между торговлей и устойчивым развитием четко подчеркивается в основных программных документах. Цели устойчивого развития (например, целевая задача 17.10) Повестки дня в области устойчивого развития на период до 2030 года (сентябрь 2015 года) и </w:t>
      </w:r>
      <w:proofErr w:type="spellStart"/>
      <w:r w:rsidRPr="00A87009">
        <w:rPr>
          <w:lang w:val="ru-RU"/>
        </w:rPr>
        <w:t>Аддис-Абебская</w:t>
      </w:r>
      <w:proofErr w:type="spellEnd"/>
      <w:r w:rsidRPr="00A87009">
        <w:rPr>
          <w:lang w:val="ru-RU"/>
        </w:rPr>
        <w:t xml:space="preserve"> программа действий третьей Международной конференции по финансированию развития (июль 2015 года)</w:t>
      </w:r>
      <w:r w:rsidRPr="00A87009">
        <w:rPr>
          <w:vertAlign w:val="superscript"/>
          <w:lang w:val="ru-RU"/>
        </w:rPr>
        <w:footnoteReference w:id="1"/>
      </w:r>
      <w:r w:rsidRPr="00A87009">
        <w:rPr>
          <w:lang w:val="ru-RU"/>
        </w:rPr>
        <w:t xml:space="preserve"> определяют международную торговлю как «двигатель для всеобъемлющего экономического роста и сокращение бедности». Оба документа четко поощряют создание «универсальной, основанной на правилах, открытой, прозрачной, предсказуемой, всеобъемлющей, недискриминационной и справедливой многосторонней торговой системы в рамках Всемирной торговой организации (ВТО)» в качестве инструмента для достижения роста и развития во всем мире. Повестка дня в области устойчивого развития на период до 2030 года четко определяет необходимость нового мышления, сочетающего экономический рост и процветание с необходимостью принятия мер по предотвращению ухудшения состояния окружающей среды, параллельно человеческому и социальному развитию. Торговля играет важную роль в более эффективном распределении глобальных ресурсов для достижения этих целей. Общеевропейские стратегические рамки для оздоровления экономики (Батуми, 10 июня 2016г.) поощряет в своей приоритетной области деятельности 6 развитие «зеленой и справедливой торговли»</w:t>
      </w:r>
      <w:r w:rsidR="00133231" w:rsidRPr="00A87009">
        <w:rPr>
          <w:lang w:val="ru-RU"/>
        </w:rPr>
        <w:t>.</w:t>
      </w:r>
      <w:r w:rsidRPr="00A87009">
        <w:rPr>
          <w:rStyle w:val="FootnoteReference"/>
          <w:rFonts w:eastAsiaTheme="minorHAnsi"/>
          <w:lang w:val="ru-RU"/>
        </w:rPr>
        <w:t xml:space="preserve"> </w:t>
      </w:r>
      <w:r w:rsidRPr="00A87009">
        <w:rPr>
          <w:rStyle w:val="FootnoteReference"/>
          <w:rFonts w:eastAsiaTheme="minorHAnsi"/>
          <w:lang w:val="ru-RU"/>
        </w:rPr>
        <w:footnoteReference w:id="2"/>
      </w:r>
    </w:p>
    <w:p w:rsidR="007B5E55" w:rsidRPr="00A87009" w:rsidRDefault="007B5E55" w:rsidP="00A87009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:rsidR="007B5E55" w:rsidRPr="00A87009" w:rsidRDefault="007B5E55" w:rsidP="00A87009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A87009">
        <w:rPr>
          <w:lang w:val="ru-RU"/>
        </w:rPr>
        <w:t xml:space="preserve">Учитывая правильную политику и регулирование, международная торговля имеет потенциал, позволяющий странам извлекать выгоду из инвестиций и интеграции в региональные и глобальные производственно-сбытовые цепочки, которые содействуют устойчивому развитию. Переход к инклюзивной «зеленой» экономике расширяет торговые возможности, открывая новые экспортные рынки для таких экологических товаров и услуг. Спрос возрастает на </w:t>
      </w:r>
      <w:proofErr w:type="spellStart"/>
      <w:r w:rsidRPr="00A87009">
        <w:rPr>
          <w:lang w:val="ru-RU"/>
        </w:rPr>
        <w:t>ресурсо</w:t>
      </w:r>
      <w:proofErr w:type="spellEnd"/>
      <w:r w:rsidRPr="00A87009">
        <w:rPr>
          <w:lang w:val="ru-RU"/>
        </w:rPr>
        <w:t xml:space="preserve">- и энергоэффективные методы производства и переработки, а также на сертифицированную экологически безопасную продукцию в связи с быстрым ростом рынка сбыта данной продукции. </w:t>
      </w:r>
      <w:r w:rsidRPr="00A87009">
        <w:rPr>
          <w:lang w:val="ru-RU"/>
        </w:rPr>
        <w:lastRenderedPageBreak/>
        <w:t>«Экономические успехи должны быть достигнуты благодаря тому, чтобы сделать торговлю более социально и экономически устойчивой. Растущая торговля экологическими товарами и услугами, а также распространение стандартов устойчивости и озеленение глобальных цепочек создания стоимости могут существенно влиять на» рынки труда, производство и схемы трансграничной торговли.</w:t>
      </w:r>
      <w:r w:rsidRPr="00A87009">
        <w:rPr>
          <w:rStyle w:val="FootnoteReference"/>
          <w:rFonts w:eastAsiaTheme="minorHAnsi"/>
          <w:lang w:val="ru-RU"/>
        </w:rPr>
        <w:footnoteReference w:id="3"/>
      </w:r>
    </w:p>
    <w:p w:rsidR="007B5E55" w:rsidRPr="00A87009" w:rsidRDefault="007B5E55" w:rsidP="00A87009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:rsidR="007B5E55" w:rsidRPr="00A87009" w:rsidRDefault="007B5E55" w:rsidP="00A87009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A87009">
        <w:rPr>
          <w:lang w:val="ru-RU"/>
        </w:rPr>
        <w:t>В современном мире, находясь перед лицом наиболее серьезных вызовов в виде изменения климата и социального развития, Правительства стран-участниц Специальной программы Организации Объединенных Наций для стран Центральной Азии (СПЕКА)</w:t>
      </w:r>
      <w:r w:rsidRPr="00A87009">
        <w:rPr>
          <w:rStyle w:val="FootnoteReference"/>
          <w:rFonts w:eastAsiaTheme="minorHAnsi"/>
          <w:lang w:val="ru-RU"/>
        </w:rPr>
        <w:footnoteReference w:id="4"/>
      </w:r>
      <w:r w:rsidRPr="00A87009">
        <w:rPr>
          <w:lang w:val="ru-RU"/>
        </w:rPr>
        <w:t xml:space="preserve"> должны продолжить работы над принятием и претворением в жизнь правил для ответственных, экологически обоснованных торговых практик. Важно как включить устойчивое развитие в торговую политику на всех уровнях, так и должным образом отразить устойчивое развитие в стремлении стран к увеличению объемов торговли и диверсификации экспорта. Переход к торговле, ориентированной на устойчивое развитие, может быть как выгодно, так и прибыльно для экономик субрегиона СПЕКА. По этой причине, страны-участницы СПЕКА могут рассмотреть следующие, согласованные с целями в области устойчивого развития, принципы развития региональной торговли, на предмет их включения в национальные планы по устойчивому развитию. </w:t>
      </w:r>
    </w:p>
    <w:p w:rsidR="007B5E55" w:rsidRPr="00A87009" w:rsidRDefault="007B5E55" w:rsidP="00A87009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:rsidR="007B5E55" w:rsidRPr="00A87009" w:rsidRDefault="007B5E55" w:rsidP="00A87009">
      <w:pPr>
        <w:pStyle w:val="NormalWeb"/>
        <w:spacing w:before="0" w:beforeAutospacing="0" w:after="0" w:afterAutospacing="0"/>
        <w:jc w:val="both"/>
        <w:rPr>
          <w:b/>
          <w:lang w:val="ru-RU"/>
        </w:rPr>
      </w:pPr>
      <w:r w:rsidRPr="00A87009">
        <w:rPr>
          <w:b/>
          <w:lang w:val="ru-RU"/>
        </w:rPr>
        <w:t>Принципы устойчивой торговли</w:t>
      </w:r>
    </w:p>
    <w:p w:rsidR="007B5E55" w:rsidRPr="00A87009" w:rsidRDefault="007B5E55" w:rsidP="00A87009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:rsidR="007B5E55" w:rsidRPr="00A87009" w:rsidRDefault="007B5E55" w:rsidP="00A87009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A87009">
        <w:rPr>
          <w:lang w:val="ru-RU"/>
        </w:rPr>
        <w:t>Международная торговля имеет потенциал для содействия достижению ряда целей устойчивого развития (ЦУР), особенно если в ее развитии соблюдается ряд принципов, как следует:</w:t>
      </w:r>
    </w:p>
    <w:p w:rsidR="007B5E55" w:rsidRPr="00A87009" w:rsidRDefault="007B5E55" w:rsidP="00A87009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:rsidR="007B5E55" w:rsidRPr="00A87009" w:rsidRDefault="007B5E55" w:rsidP="00A8700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>Включить торговлю в национальные и отраслевые стратегии для достижения ЦУР, а также включать соответствующие ЦУР в стратегии развития торговли;</w:t>
      </w:r>
    </w:p>
    <w:p w:rsidR="007B5E55" w:rsidRPr="00A87009" w:rsidRDefault="007B5E55" w:rsidP="00A8700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 xml:space="preserve">Поощрять долгосрочные инвестиции в производственные мощности, включая диверсификацию и инновацию производства и торговли, приведение их в соответствие с требованиями устойчивого развития; </w:t>
      </w:r>
    </w:p>
    <w:p w:rsidR="007B5E55" w:rsidRPr="00A87009" w:rsidRDefault="007B5E55" w:rsidP="00A8700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>Принять надлежащею нормативную базу, с тем чтобы торговля могла способствовать переходу к более устойчивому и справедливому росту и к «зеленой» экономике путем содействия обмену экологически предпочтительными товарами и услугами путем повышения ресурсо</w:t>
      </w:r>
      <w:r w:rsidR="00A87009">
        <w:rPr>
          <w:rFonts w:ascii="Times New Roman" w:hAnsi="Times New Roman" w:cs="Times New Roman"/>
          <w:sz w:val="24"/>
          <w:szCs w:val="24"/>
          <w:lang w:val="ru-RU"/>
        </w:rPr>
        <w:t xml:space="preserve">сбережению </w:t>
      </w:r>
      <w:r w:rsidRPr="00A87009">
        <w:rPr>
          <w:rFonts w:ascii="Times New Roman" w:hAnsi="Times New Roman" w:cs="Times New Roman"/>
          <w:sz w:val="24"/>
          <w:szCs w:val="24"/>
          <w:lang w:val="ru-RU"/>
        </w:rPr>
        <w:t>и энергоэффективности и путем создания экономических возможностей и возможностей найти работу для всех;</w:t>
      </w:r>
    </w:p>
    <w:p w:rsidR="007B5E55" w:rsidRPr="00A87009" w:rsidRDefault="007B5E55" w:rsidP="00A8700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>Далее разрабатывать правила для экологически чистой торговли;</w:t>
      </w:r>
    </w:p>
    <w:p w:rsidR="007B5E55" w:rsidRPr="00A87009" w:rsidRDefault="007B5E55" w:rsidP="00A8700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 xml:space="preserve">Сконцентрироваться на диверсификацию экспорта и добавление стоимости; </w:t>
      </w:r>
    </w:p>
    <w:p w:rsidR="007B5E55" w:rsidRPr="00A87009" w:rsidRDefault="007B5E55" w:rsidP="00A8700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>Способствовать продуктивной занятости и условиям достойного труда посредством торговой политики и практики в целях создания рабочих мест и искоренения нищеты во всех странах;</w:t>
      </w:r>
    </w:p>
    <w:p w:rsidR="007B5E55" w:rsidRPr="00A87009" w:rsidRDefault="007B5E55" w:rsidP="00A8700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>Уменьшить неравенство, позволив бедным странам и людям присоединиться к рынкам, инвестициям, новым технологиям и более высоким стандартам труда и жизни;</w:t>
      </w:r>
    </w:p>
    <w:p w:rsidR="007B5E55" w:rsidRPr="00A87009" w:rsidRDefault="007B5E55" w:rsidP="00A8700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>Определить и использовать возможности торговли, связанные с переходом на «зеленую» экономику;</w:t>
      </w:r>
    </w:p>
    <w:p w:rsidR="007B5E55" w:rsidRPr="00A87009" w:rsidRDefault="007B5E55" w:rsidP="00A8700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>Исключить торговые субсидии, которые негативно влияют на окружающую среду;</w:t>
      </w:r>
    </w:p>
    <w:p w:rsidR="007B5E55" w:rsidRPr="00A87009" w:rsidRDefault="007B5E55" w:rsidP="00A8700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lastRenderedPageBreak/>
        <w:t>Инвестировать в продовольственную безопасность, предоставляя доступ к сельскохозяйственной продукции для большей части общества, предлагая на рынках более широкодоступные и более высококачественные пищевые продукты;</w:t>
      </w:r>
    </w:p>
    <w:p w:rsidR="007B5E55" w:rsidRPr="00A87009" w:rsidRDefault="007B5E55" w:rsidP="00A87009">
      <w:pPr>
        <w:pStyle w:val="HTMLPreformatted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>Содействовать развитию международных и региональных механизмов управления торговлей, способствующих устойчивости, интеграции национальных и международных инициатив, которые укрепляют увязку между торговлей, «зеленой экономикой» и социальной интеграцией (достойные рабочие места для всех);</w:t>
      </w:r>
    </w:p>
    <w:p w:rsidR="007B5E55" w:rsidRPr="00A87009" w:rsidRDefault="007B5E55" w:rsidP="00A8700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 xml:space="preserve">Поощрять распространения системы многосторонней торговли на субрегион СПЕКА, с тем чтобы правила международной торговли поддерживали устойчивость торговой политики и практики; </w:t>
      </w:r>
    </w:p>
    <w:p w:rsidR="007B5E55" w:rsidRPr="00A87009" w:rsidRDefault="007B5E55" w:rsidP="00A8700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Обеспечить, чтобы нетарифные меры, направленные на защиту природы, общества и экономики, не стали препятствиями для торговли; </w:t>
      </w:r>
    </w:p>
    <w:p w:rsidR="007B5E55" w:rsidRPr="00A87009" w:rsidRDefault="007B5E55" w:rsidP="00A87009">
      <w:pPr>
        <w:pStyle w:val="HTMLPreformatted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>Разработать национальные стандарты устойчивой торговли, которые связаны с международными стандартами и передовой практикой (увязать эти стандарты в странах-экспортерах и импортерах);</w:t>
      </w:r>
    </w:p>
    <w:p w:rsidR="007B5E55" w:rsidRPr="00A87009" w:rsidRDefault="007B5E55" w:rsidP="00A8700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 xml:space="preserve">Поощрять новые формы государственно-частного партнерства для поддержки параллельного продвижения торговли и «зеленой экономики»; </w:t>
      </w:r>
    </w:p>
    <w:p w:rsidR="007B5E55" w:rsidRPr="00A87009" w:rsidRDefault="007B5E55" w:rsidP="00A87009">
      <w:pPr>
        <w:pStyle w:val="HTMLPreformatted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>Расширить возможности для женщин, которые все чаще привлекаются к управлению торговыми операциями и развитию устойчивой торговли;</w:t>
      </w:r>
    </w:p>
    <w:p w:rsidR="007B5E55" w:rsidRPr="00A87009" w:rsidRDefault="007B5E55" w:rsidP="00A8700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>Продвигать развитие механизмов финансирования для поддержки перехода к зеленой торговле, включая создание потенциала для государственного и частного секторов;</w:t>
      </w:r>
    </w:p>
    <w:p w:rsidR="007B5E55" w:rsidRPr="00A87009" w:rsidRDefault="007B5E55" w:rsidP="00A8700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 xml:space="preserve">Развивать новую этику в торговом сообществе, которая будет поддерживать общее достижение целей устойчивого развития; </w:t>
      </w:r>
    </w:p>
    <w:p w:rsidR="007B5E55" w:rsidRPr="00A87009" w:rsidRDefault="007B5E55" w:rsidP="00A8700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>Сделать электронную торговлю силой для включения;</w:t>
      </w:r>
    </w:p>
    <w:p w:rsidR="007B5E55" w:rsidRPr="00A87009" w:rsidRDefault="007B5E55" w:rsidP="00A87009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 xml:space="preserve">Поддержать микро-, малые и средние предприятия для более эффективного и продуктивного участия в международной торговле. </w:t>
      </w:r>
    </w:p>
    <w:p w:rsidR="007B5E55" w:rsidRPr="00A87009" w:rsidRDefault="007B5E55" w:rsidP="00A87009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5E55" w:rsidRPr="00A87009" w:rsidRDefault="007B5E55" w:rsidP="00A87009">
      <w:pPr>
        <w:pStyle w:val="NormalWeb"/>
        <w:spacing w:before="0" w:beforeAutospacing="0" w:after="0" w:afterAutospacing="0"/>
        <w:jc w:val="both"/>
        <w:rPr>
          <w:b/>
          <w:lang w:val="ru-RU"/>
        </w:rPr>
      </w:pPr>
      <w:r w:rsidRPr="00A87009">
        <w:rPr>
          <w:b/>
          <w:lang w:val="ru-RU"/>
        </w:rPr>
        <w:t>Заключения и рекомендации</w:t>
      </w:r>
    </w:p>
    <w:p w:rsidR="007B5E55" w:rsidRPr="00A87009" w:rsidRDefault="007B5E55" w:rsidP="00A87009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5E55" w:rsidRPr="00A87009" w:rsidRDefault="007B5E55" w:rsidP="00A87009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>Субрегиональное сотрудничество, поощряющее правила и практики, одновременно развивающие как региональную торговлю, так и устойчивое развитие, поспособствуют субрегиону СПЕКА в достижении целей Повестки дня в области устойчивого развития</w:t>
      </w:r>
      <w:r w:rsidR="00C208C0" w:rsidRPr="00A87009">
        <w:rPr>
          <w:rFonts w:ascii="Times New Roman" w:hAnsi="Times New Roman" w:cs="Times New Roman"/>
          <w:sz w:val="24"/>
          <w:szCs w:val="24"/>
          <w:lang w:val="ru-RU"/>
        </w:rPr>
        <w:t xml:space="preserve"> на период</w:t>
      </w:r>
      <w:r w:rsidRPr="00A87009">
        <w:rPr>
          <w:rFonts w:ascii="Times New Roman" w:hAnsi="Times New Roman" w:cs="Times New Roman"/>
          <w:sz w:val="24"/>
          <w:szCs w:val="24"/>
          <w:lang w:val="ru-RU"/>
        </w:rPr>
        <w:t xml:space="preserve"> до 2030</w:t>
      </w:r>
      <w:r w:rsidR="002A2BF4" w:rsidRPr="00A87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7009">
        <w:rPr>
          <w:rFonts w:ascii="Times New Roman" w:hAnsi="Times New Roman" w:cs="Times New Roman"/>
          <w:sz w:val="24"/>
          <w:szCs w:val="24"/>
          <w:lang w:val="ru-RU"/>
        </w:rPr>
        <w:t>г. Содействующая устойчивому развитию и основанная на инновациях в сфере экономики, окружающей среды и социальном развитии, диверсификация экономики и торговли может открыть новые торговое возможности и привести к качественно-новому уровню продуктивности, параллельно создавая новые «зеленые» рабочие места. С этой перспективы, страны-участницы СПЕКА могут рассмотреть возможность включения вышеперечисленных принципов в национальные планы устойчивого развития.</w:t>
      </w:r>
    </w:p>
    <w:p w:rsidR="007B5E55" w:rsidRPr="00A87009" w:rsidRDefault="007B5E55" w:rsidP="00A87009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5E55" w:rsidRPr="00A87009" w:rsidRDefault="007B5E55" w:rsidP="00A87009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 xml:space="preserve">СПЕКА </w:t>
      </w:r>
      <w:r w:rsidR="008D04AE">
        <w:rPr>
          <w:rFonts w:ascii="Times New Roman" w:hAnsi="Times New Roman" w:cs="Times New Roman"/>
          <w:sz w:val="24"/>
          <w:szCs w:val="24"/>
          <w:lang w:val="ru-RU"/>
        </w:rPr>
        <w:t xml:space="preserve">как платформа </w:t>
      </w:r>
      <w:r w:rsidRPr="00A87009">
        <w:rPr>
          <w:rFonts w:ascii="Times New Roman" w:hAnsi="Times New Roman" w:cs="Times New Roman"/>
          <w:sz w:val="24"/>
          <w:szCs w:val="24"/>
          <w:lang w:val="ru-RU"/>
        </w:rPr>
        <w:t xml:space="preserve">может быть использована для анализа результатов роста торговли </w:t>
      </w:r>
      <w:r w:rsidR="008912E5" w:rsidRPr="00A87009">
        <w:rPr>
          <w:rFonts w:ascii="Times New Roman" w:hAnsi="Times New Roman" w:cs="Times New Roman"/>
          <w:sz w:val="24"/>
          <w:szCs w:val="24"/>
          <w:lang w:val="bg-BG"/>
        </w:rPr>
        <w:t xml:space="preserve">в регионе </w:t>
      </w:r>
      <w:r w:rsidRPr="00A87009">
        <w:rPr>
          <w:rFonts w:ascii="Times New Roman" w:hAnsi="Times New Roman" w:cs="Times New Roman"/>
          <w:sz w:val="24"/>
          <w:szCs w:val="24"/>
          <w:lang w:val="ru-RU"/>
        </w:rPr>
        <w:t xml:space="preserve">и поощрения реформы в области торговой политики и субрегионального сотрудничества с целью поддержать осуществление связанных с торговлей ЦУР. На основе результатов такого анализа, станет возможным подготовить список рекомендаций для стран-участниц СПЕКА и </w:t>
      </w:r>
      <w:r w:rsidR="008D04A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87009">
        <w:rPr>
          <w:rFonts w:ascii="Times New Roman" w:hAnsi="Times New Roman" w:cs="Times New Roman"/>
          <w:sz w:val="24"/>
          <w:szCs w:val="24"/>
          <w:lang w:val="ru-RU"/>
        </w:rPr>
        <w:t>екретариата ООН, уделяя особое внимание:</w:t>
      </w:r>
    </w:p>
    <w:p w:rsidR="007B5E55" w:rsidRPr="00A87009" w:rsidRDefault="007B5E55" w:rsidP="00A87009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5E55" w:rsidRPr="00A87009" w:rsidRDefault="007B5E55" w:rsidP="00A87009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>Возможному вкладу в основополагающие решения в области государственной политики стран СПЕКА, нацеленные на достижение ЦУР.</w:t>
      </w:r>
    </w:p>
    <w:p w:rsidR="007B5E55" w:rsidRPr="00A87009" w:rsidRDefault="007B5E55" w:rsidP="00A87009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Определению следующих шагов в таких направлениях, как разработка рабочих программ и планов сотрудничества; обмен наилучшими практиками, стандартами и инструментами </w:t>
      </w:r>
      <w:r w:rsidRPr="00A87009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устойчивого развития, управления водными ресурсами, продовольственной безопасности, равно как и в других сферах, нацеленных на достижение ЦУР в субрегионе СПЕКА.</w:t>
      </w:r>
    </w:p>
    <w:p w:rsidR="007B5E55" w:rsidRPr="00A87009" w:rsidRDefault="007B5E55" w:rsidP="00A87009">
      <w:pPr>
        <w:pStyle w:val="HTMLPreformatted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87009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направлений, в рамках которых субрегиональные проекты по устойчивой </w:t>
      </w:r>
      <w:r w:rsidRPr="00A87009">
        <w:rPr>
          <w:rFonts w:asciiTheme="majorBidi" w:hAnsiTheme="majorBidi" w:cstheme="majorBidi"/>
          <w:sz w:val="24"/>
          <w:szCs w:val="24"/>
          <w:lang w:val="ru-RU"/>
        </w:rPr>
        <w:t>торговле с наибольшей вероятностью могут привлечь финансирование.</w:t>
      </w:r>
    </w:p>
    <w:p w:rsidR="007B5E55" w:rsidRPr="00A87009" w:rsidRDefault="007B5E55" w:rsidP="00A870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A87009" w:rsidRPr="00A87009" w:rsidRDefault="00A87009" w:rsidP="00A87009">
      <w:pPr>
        <w:pStyle w:val="Document1"/>
        <w:keepNext w:val="0"/>
        <w:keepLines w:val="0"/>
        <w:ind w:right="99"/>
        <w:jc w:val="both"/>
        <w:rPr>
          <w:rFonts w:asciiTheme="majorBidi" w:hAnsiTheme="majorBidi" w:cstheme="majorBidi"/>
          <w:sz w:val="24"/>
          <w:szCs w:val="24"/>
          <w:lang w:val="bg-BG"/>
        </w:rPr>
      </w:pPr>
    </w:p>
    <w:p w:rsidR="00A87009" w:rsidRPr="00A87009" w:rsidRDefault="00A87009" w:rsidP="00A87009">
      <w:pPr>
        <w:pStyle w:val="Document1"/>
        <w:keepNext w:val="0"/>
        <w:keepLines w:val="0"/>
        <w:ind w:right="99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bg-BG"/>
        </w:rPr>
      </w:pPr>
      <w:r w:rsidRPr="00A87009">
        <w:rPr>
          <w:rFonts w:asciiTheme="majorBidi" w:hAnsiTheme="majorBidi" w:cstheme="majorBidi"/>
          <w:b/>
          <w:bCs/>
          <w:i/>
          <w:iCs/>
          <w:sz w:val="24"/>
          <w:szCs w:val="24"/>
          <w:lang w:val="bg-BG"/>
        </w:rPr>
        <w:t>______________________</w:t>
      </w:r>
    </w:p>
    <w:p w:rsidR="00C7640F" w:rsidRPr="00A87009" w:rsidRDefault="00C7640F" w:rsidP="00A87009">
      <w:pPr>
        <w:spacing w:after="0" w:line="240" w:lineRule="auto"/>
        <w:jc w:val="both"/>
        <w:rPr>
          <w:sz w:val="24"/>
          <w:szCs w:val="24"/>
          <w:lang w:val="ru-RU"/>
        </w:rPr>
      </w:pPr>
    </w:p>
    <w:sectPr w:rsidR="00C7640F" w:rsidRPr="00A87009" w:rsidSect="00E87F7D">
      <w:headerReference w:type="first" r:id="rId7"/>
      <w:pgSz w:w="12240" w:h="15840" w:code="1"/>
      <w:pgMar w:top="851" w:right="1134" w:bottom="1418" w:left="1134" w:header="27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2D9" w:rsidRDefault="004B22D9" w:rsidP="004B22D9">
      <w:pPr>
        <w:spacing w:after="0" w:line="240" w:lineRule="auto"/>
      </w:pPr>
      <w:r>
        <w:separator/>
      </w:r>
    </w:p>
  </w:endnote>
  <w:endnote w:type="continuationSeparator" w:id="0">
    <w:p w:rsidR="004B22D9" w:rsidRDefault="004B22D9" w:rsidP="004B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2D9" w:rsidRDefault="004B22D9" w:rsidP="004B22D9">
      <w:pPr>
        <w:spacing w:after="0" w:line="240" w:lineRule="auto"/>
      </w:pPr>
      <w:r>
        <w:separator/>
      </w:r>
    </w:p>
  </w:footnote>
  <w:footnote w:type="continuationSeparator" w:id="0">
    <w:p w:rsidR="004B22D9" w:rsidRDefault="004B22D9" w:rsidP="004B22D9">
      <w:pPr>
        <w:spacing w:after="0" w:line="240" w:lineRule="auto"/>
      </w:pPr>
      <w:r>
        <w:continuationSeparator/>
      </w:r>
    </w:p>
  </w:footnote>
  <w:footnote w:id="1">
    <w:p w:rsidR="007B5E55" w:rsidRPr="009C7415" w:rsidRDefault="007B5E55" w:rsidP="007B5E55">
      <w:pPr>
        <w:pStyle w:val="HTMLPreformatted"/>
        <w:rPr>
          <w:rFonts w:ascii="Times New Roman" w:hAnsi="Times New Roman" w:cs="Times New Roman"/>
          <w:sz w:val="16"/>
          <w:szCs w:val="16"/>
          <w:lang w:val="ru-RU"/>
        </w:rPr>
      </w:pPr>
      <w:r w:rsidRPr="00C007FE">
        <w:rPr>
          <w:rStyle w:val="FootnoteReference"/>
          <w:rFonts w:ascii="Times New Roman" w:eastAsiaTheme="minorHAnsi" w:hAnsi="Times New Roman" w:cs="Times New Roman"/>
          <w:sz w:val="16"/>
          <w:szCs w:val="16"/>
        </w:rPr>
        <w:footnoteRef/>
      </w:r>
      <w:r w:rsidRPr="009C7415">
        <w:rPr>
          <w:rFonts w:ascii="Times New Roman" w:hAnsi="Times New Roman" w:cs="Times New Roman"/>
          <w:sz w:val="16"/>
          <w:szCs w:val="16"/>
          <w:lang w:val="ru-RU"/>
        </w:rPr>
        <w:t xml:space="preserve"> Платформа знаний по устойчивому развитию ООН, «</w:t>
      </w:r>
      <w:proofErr w:type="spellStart"/>
      <w:r w:rsidRPr="009C7415">
        <w:rPr>
          <w:rFonts w:ascii="Times New Roman" w:hAnsi="Times New Roman" w:cs="Times New Roman"/>
          <w:sz w:val="16"/>
          <w:szCs w:val="16"/>
          <w:lang w:val="ru-RU"/>
        </w:rPr>
        <w:t>Аддис-Абебская</w:t>
      </w:r>
      <w:proofErr w:type="spellEnd"/>
      <w:r w:rsidRPr="009C7415">
        <w:rPr>
          <w:rFonts w:ascii="Times New Roman" w:hAnsi="Times New Roman" w:cs="Times New Roman"/>
          <w:sz w:val="16"/>
          <w:szCs w:val="16"/>
          <w:lang w:val="ru-RU"/>
        </w:rPr>
        <w:t xml:space="preserve"> программа действий третьей Международной конференции по финансированию развития», </w:t>
      </w:r>
      <w:hyperlink r:id="rId1" w:history="1">
        <w:r w:rsidRPr="00C007FE">
          <w:rPr>
            <w:rStyle w:val="Hyperlink"/>
            <w:rFonts w:ascii="Times New Roman" w:hAnsi="Times New Roman" w:cs="Times New Roman"/>
            <w:sz w:val="16"/>
            <w:szCs w:val="16"/>
          </w:rPr>
          <w:t>https</w:t>
        </w:r>
        <w:r w:rsidRPr="009C7415">
          <w:rPr>
            <w:rStyle w:val="Hyperlink"/>
            <w:rFonts w:ascii="Times New Roman" w:hAnsi="Times New Roman" w:cs="Times New Roman"/>
            <w:sz w:val="16"/>
            <w:szCs w:val="16"/>
            <w:lang w:val="ru-RU"/>
          </w:rPr>
          <w:t>://</w:t>
        </w:r>
        <w:proofErr w:type="spellStart"/>
        <w:r w:rsidRPr="00C007FE">
          <w:rPr>
            <w:rStyle w:val="Hyperlink"/>
            <w:rFonts w:ascii="Times New Roman" w:hAnsi="Times New Roman" w:cs="Times New Roman"/>
            <w:sz w:val="16"/>
            <w:szCs w:val="16"/>
          </w:rPr>
          <w:t>sustainabledevelopment</w:t>
        </w:r>
        <w:proofErr w:type="spellEnd"/>
        <w:r w:rsidRPr="009C7415">
          <w:rPr>
            <w:rStyle w:val="Hyperlink"/>
            <w:rFonts w:ascii="Times New Roman" w:hAnsi="Times New Roman" w:cs="Times New Roman"/>
            <w:sz w:val="16"/>
            <w:szCs w:val="16"/>
            <w:lang w:val="ru-RU"/>
          </w:rPr>
          <w:t>.</w:t>
        </w:r>
        <w:r w:rsidRPr="00C007FE">
          <w:rPr>
            <w:rStyle w:val="Hyperlink"/>
            <w:rFonts w:ascii="Times New Roman" w:hAnsi="Times New Roman" w:cs="Times New Roman"/>
            <w:sz w:val="16"/>
            <w:szCs w:val="16"/>
          </w:rPr>
          <w:t>un</w:t>
        </w:r>
        <w:r w:rsidRPr="009C7415">
          <w:rPr>
            <w:rStyle w:val="Hyperlink"/>
            <w:rFonts w:ascii="Times New Roman" w:hAnsi="Times New Roman" w:cs="Times New Roman"/>
            <w:sz w:val="16"/>
            <w:szCs w:val="16"/>
            <w:lang w:val="ru-RU"/>
          </w:rPr>
          <w:t>.</w:t>
        </w:r>
        <w:r w:rsidRPr="00C007FE">
          <w:rPr>
            <w:rStyle w:val="Hyperlink"/>
            <w:rFonts w:ascii="Times New Roman" w:hAnsi="Times New Roman" w:cs="Times New Roman"/>
            <w:sz w:val="16"/>
            <w:szCs w:val="16"/>
          </w:rPr>
          <w:t>org</w:t>
        </w:r>
        <w:r w:rsidRPr="009C7415">
          <w:rPr>
            <w:rStyle w:val="Hyperlink"/>
            <w:rFonts w:ascii="Times New Roman" w:hAnsi="Times New Roman" w:cs="Times New Roman"/>
            <w:sz w:val="16"/>
            <w:szCs w:val="16"/>
            <w:lang w:val="ru-RU"/>
          </w:rPr>
          <w:t>/</w:t>
        </w:r>
        <w:r w:rsidRPr="00C007FE">
          <w:rPr>
            <w:rStyle w:val="Hyperlink"/>
            <w:rFonts w:ascii="Times New Roman" w:hAnsi="Times New Roman" w:cs="Times New Roman"/>
            <w:sz w:val="16"/>
            <w:szCs w:val="16"/>
          </w:rPr>
          <w:t>frameworks</w:t>
        </w:r>
        <w:r w:rsidRPr="009C7415">
          <w:rPr>
            <w:rStyle w:val="Hyperlink"/>
            <w:rFonts w:ascii="Times New Roman" w:hAnsi="Times New Roman" w:cs="Times New Roman"/>
            <w:sz w:val="16"/>
            <w:szCs w:val="16"/>
            <w:lang w:val="ru-RU"/>
          </w:rPr>
          <w:t>/</w:t>
        </w:r>
        <w:proofErr w:type="spellStart"/>
        <w:r w:rsidRPr="00C007FE">
          <w:rPr>
            <w:rStyle w:val="Hyperlink"/>
            <w:rFonts w:ascii="Times New Roman" w:hAnsi="Times New Roman" w:cs="Times New Roman"/>
            <w:sz w:val="16"/>
            <w:szCs w:val="16"/>
          </w:rPr>
          <w:t>addisababaactionagenda</w:t>
        </w:r>
        <w:proofErr w:type="spellEnd"/>
      </w:hyperlink>
    </w:p>
    <w:p w:rsidR="007B5E55" w:rsidRPr="00C007FE" w:rsidRDefault="007B5E55" w:rsidP="007B5E55">
      <w:pPr>
        <w:pStyle w:val="FootnoteText"/>
        <w:rPr>
          <w:rFonts w:ascii="Times New Roman" w:hAnsi="Times New Roman" w:cs="Times New Roman"/>
          <w:sz w:val="16"/>
          <w:szCs w:val="16"/>
          <w:lang w:val="bg-BG"/>
        </w:rPr>
      </w:pPr>
    </w:p>
  </w:footnote>
  <w:footnote w:id="2">
    <w:p w:rsidR="007B5E55" w:rsidRPr="00C3489B" w:rsidRDefault="007B5E55" w:rsidP="007B5E55">
      <w:pPr>
        <w:pStyle w:val="HTMLPreformatted"/>
        <w:rPr>
          <w:lang w:val="bg-BG"/>
        </w:rPr>
      </w:pPr>
      <w:r w:rsidRPr="00C007FE">
        <w:rPr>
          <w:rStyle w:val="FootnoteReference"/>
          <w:rFonts w:ascii="Times New Roman" w:eastAsiaTheme="minorHAnsi" w:hAnsi="Times New Roman" w:cs="Times New Roman"/>
          <w:sz w:val="16"/>
          <w:szCs w:val="16"/>
        </w:rPr>
        <w:footnoteRef/>
      </w:r>
      <w:r w:rsidRPr="00C007FE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r w:rsidRPr="009C7415">
        <w:rPr>
          <w:rFonts w:ascii="Times New Roman" w:hAnsi="Times New Roman" w:cs="Times New Roman"/>
          <w:sz w:val="16"/>
          <w:szCs w:val="16"/>
          <w:lang w:val="ru-RU"/>
        </w:rPr>
        <w:t>ЕЭК ООН (2016 год), восьмая Конференция министров окружающей среды для Европы</w:t>
      </w:r>
      <w:r>
        <w:rPr>
          <w:rFonts w:ascii="Times New Roman" w:hAnsi="Times New Roman" w:cs="Times New Roman"/>
          <w:sz w:val="16"/>
          <w:szCs w:val="16"/>
          <w:lang w:val="ru-RU"/>
        </w:rPr>
        <w:t>,</w:t>
      </w:r>
      <w:r w:rsidRPr="009C7415">
        <w:rPr>
          <w:rFonts w:ascii="Times New Roman" w:hAnsi="Times New Roman" w:cs="Times New Roman"/>
          <w:sz w:val="16"/>
          <w:szCs w:val="16"/>
          <w:lang w:val="ru-RU"/>
        </w:rPr>
        <w:t xml:space="preserve"> Батуми, Грузия, «Общеевропейские стратегические рамки для оздоровления экономики», </w:t>
      </w:r>
      <w:r w:rsidRPr="00C007FE">
        <w:rPr>
          <w:rFonts w:ascii="Times New Roman" w:hAnsi="Times New Roman" w:cs="Times New Roman"/>
          <w:sz w:val="16"/>
          <w:szCs w:val="16"/>
        </w:rPr>
        <w:t>http</w:t>
      </w:r>
      <w:r w:rsidRPr="00C007FE">
        <w:rPr>
          <w:rFonts w:ascii="Times New Roman" w:hAnsi="Times New Roman" w:cs="Times New Roman"/>
          <w:sz w:val="16"/>
          <w:szCs w:val="16"/>
          <w:lang w:val="bg-BG"/>
        </w:rPr>
        <w:t>://</w:t>
      </w:r>
      <w:r w:rsidRPr="00C007FE">
        <w:rPr>
          <w:rFonts w:ascii="Times New Roman" w:hAnsi="Times New Roman" w:cs="Times New Roman"/>
          <w:sz w:val="16"/>
          <w:szCs w:val="16"/>
        </w:rPr>
        <w:t>www</w:t>
      </w:r>
      <w:r w:rsidRPr="00C007FE">
        <w:rPr>
          <w:rFonts w:ascii="Times New Roman" w:hAnsi="Times New Roman" w:cs="Times New Roman"/>
          <w:sz w:val="16"/>
          <w:szCs w:val="16"/>
          <w:lang w:val="bg-BG"/>
        </w:rPr>
        <w:t>.</w:t>
      </w:r>
      <w:proofErr w:type="spellStart"/>
      <w:r w:rsidRPr="00C007FE">
        <w:rPr>
          <w:rFonts w:ascii="Times New Roman" w:hAnsi="Times New Roman" w:cs="Times New Roman"/>
          <w:sz w:val="16"/>
          <w:szCs w:val="16"/>
        </w:rPr>
        <w:t>unece</w:t>
      </w:r>
      <w:proofErr w:type="spellEnd"/>
      <w:r w:rsidRPr="00C007FE">
        <w:rPr>
          <w:rFonts w:ascii="Times New Roman" w:hAnsi="Times New Roman" w:cs="Times New Roman"/>
          <w:sz w:val="16"/>
          <w:szCs w:val="16"/>
          <w:lang w:val="bg-BG"/>
        </w:rPr>
        <w:t>.</w:t>
      </w:r>
      <w:r w:rsidRPr="00C007FE">
        <w:rPr>
          <w:rFonts w:ascii="Times New Roman" w:hAnsi="Times New Roman" w:cs="Times New Roman"/>
          <w:sz w:val="16"/>
          <w:szCs w:val="16"/>
        </w:rPr>
        <w:t>org</w:t>
      </w:r>
      <w:r w:rsidRPr="00C007FE">
        <w:rPr>
          <w:rFonts w:ascii="Times New Roman" w:hAnsi="Times New Roman" w:cs="Times New Roman"/>
          <w:sz w:val="16"/>
          <w:szCs w:val="16"/>
          <w:lang w:val="bg-BG"/>
        </w:rPr>
        <w:t>/</w:t>
      </w:r>
      <w:proofErr w:type="spellStart"/>
      <w:r w:rsidRPr="00C007FE">
        <w:rPr>
          <w:rFonts w:ascii="Times New Roman" w:hAnsi="Times New Roman" w:cs="Times New Roman"/>
          <w:sz w:val="16"/>
          <w:szCs w:val="16"/>
        </w:rPr>
        <w:t>fileadmin</w:t>
      </w:r>
      <w:proofErr w:type="spellEnd"/>
      <w:r w:rsidRPr="00C007FE">
        <w:rPr>
          <w:rFonts w:ascii="Times New Roman" w:hAnsi="Times New Roman" w:cs="Times New Roman"/>
          <w:sz w:val="16"/>
          <w:szCs w:val="16"/>
          <w:lang w:val="bg-BG"/>
        </w:rPr>
        <w:t>/</w:t>
      </w:r>
      <w:r w:rsidRPr="00C007FE">
        <w:rPr>
          <w:rFonts w:ascii="Times New Roman" w:hAnsi="Times New Roman" w:cs="Times New Roman"/>
          <w:sz w:val="16"/>
          <w:szCs w:val="16"/>
        </w:rPr>
        <w:t>DAM</w:t>
      </w:r>
      <w:r w:rsidRPr="00C007FE">
        <w:rPr>
          <w:rFonts w:ascii="Times New Roman" w:hAnsi="Times New Roman" w:cs="Times New Roman"/>
          <w:sz w:val="16"/>
          <w:szCs w:val="16"/>
          <w:lang w:val="bg-BG"/>
        </w:rPr>
        <w:t>/</w:t>
      </w:r>
      <w:r w:rsidRPr="00C007FE">
        <w:rPr>
          <w:rFonts w:ascii="Times New Roman" w:hAnsi="Times New Roman" w:cs="Times New Roman"/>
          <w:sz w:val="16"/>
          <w:szCs w:val="16"/>
        </w:rPr>
        <w:t>env</w:t>
      </w:r>
      <w:r w:rsidRPr="00C007FE">
        <w:rPr>
          <w:rFonts w:ascii="Times New Roman" w:hAnsi="Times New Roman" w:cs="Times New Roman"/>
          <w:sz w:val="16"/>
          <w:szCs w:val="16"/>
          <w:lang w:val="bg-BG"/>
        </w:rPr>
        <w:t>/</w:t>
      </w:r>
      <w:r w:rsidRPr="00C007FE">
        <w:rPr>
          <w:rFonts w:ascii="Times New Roman" w:hAnsi="Times New Roman" w:cs="Times New Roman"/>
          <w:sz w:val="16"/>
          <w:szCs w:val="16"/>
        </w:rPr>
        <w:t>documents</w:t>
      </w:r>
      <w:r w:rsidRPr="00C007FE">
        <w:rPr>
          <w:rFonts w:ascii="Times New Roman" w:hAnsi="Times New Roman" w:cs="Times New Roman"/>
          <w:sz w:val="16"/>
          <w:szCs w:val="16"/>
          <w:lang w:val="bg-BG"/>
        </w:rPr>
        <w:t>/2016/</w:t>
      </w:r>
      <w:proofErr w:type="spellStart"/>
      <w:r w:rsidRPr="00C007FE">
        <w:rPr>
          <w:rFonts w:ascii="Times New Roman" w:hAnsi="Times New Roman" w:cs="Times New Roman"/>
          <w:sz w:val="16"/>
          <w:szCs w:val="16"/>
        </w:rPr>
        <w:t>ece</w:t>
      </w:r>
      <w:proofErr w:type="spellEnd"/>
      <w:r w:rsidRPr="00C007FE">
        <w:rPr>
          <w:rFonts w:ascii="Times New Roman" w:hAnsi="Times New Roman" w:cs="Times New Roman"/>
          <w:sz w:val="16"/>
          <w:szCs w:val="16"/>
          <w:lang w:val="bg-BG"/>
        </w:rPr>
        <w:t>/</w:t>
      </w:r>
      <w:proofErr w:type="spellStart"/>
      <w:r w:rsidRPr="00C007FE">
        <w:rPr>
          <w:rFonts w:ascii="Times New Roman" w:hAnsi="Times New Roman" w:cs="Times New Roman"/>
          <w:sz w:val="16"/>
          <w:szCs w:val="16"/>
        </w:rPr>
        <w:t>ec</w:t>
      </w:r>
      <w:bookmarkStart w:id="0" w:name="_GoBack"/>
      <w:bookmarkEnd w:id="0"/>
      <w:r w:rsidRPr="00C007FE">
        <w:rPr>
          <w:rFonts w:ascii="Times New Roman" w:hAnsi="Times New Roman" w:cs="Times New Roman"/>
          <w:sz w:val="16"/>
          <w:szCs w:val="16"/>
        </w:rPr>
        <w:t>e</w:t>
      </w:r>
      <w:proofErr w:type="spellEnd"/>
      <w:r w:rsidRPr="00C007FE">
        <w:rPr>
          <w:rFonts w:ascii="Times New Roman" w:hAnsi="Times New Roman" w:cs="Times New Roman"/>
          <w:sz w:val="16"/>
          <w:szCs w:val="16"/>
          <w:lang w:val="bg-BG"/>
        </w:rPr>
        <w:t>.</w:t>
      </w:r>
      <w:proofErr w:type="spellStart"/>
      <w:r w:rsidRPr="00C007FE">
        <w:rPr>
          <w:rFonts w:ascii="Times New Roman" w:hAnsi="Times New Roman" w:cs="Times New Roman"/>
          <w:sz w:val="16"/>
          <w:szCs w:val="16"/>
        </w:rPr>
        <w:t>batumi</w:t>
      </w:r>
      <w:proofErr w:type="spellEnd"/>
      <w:r w:rsidRPr="00C007FE">
        <w:rPr>
          <w:rFonts w:ascii="Times New Roman" w:hAnsi="Times New Roman" w:cs="Times New Roman"/>
          <w:sz w:val="16"/>
          <w:szCs w:val="16"/>
          <w:lang w:val="bg-BG"/>
        </w:rPr>
        <w:t>.</w:t>
      </w:r>
      <w:r w:rsidRPr="00C007FE">
        <w:rPr>
          <w:rFonts w:ascii="Times New Roman" w:hAnsi="Times New Roman" w:cs="Times New Roman"/>
          <w:sz w:val="16"/>
          <w:szCs w:val="16"/>
        </w:rPr>
        <w:t>conf</w:t>
      </w:r>
      <w:r w:rsidRPr="00C007FE">
        <w:rPr>
          <w:rFonts w:ascii="Times New Roman" w:hAnsi="Times New Roman" w:cs="Times New Roman"/>
          <w:sz w:val="16"/>
          <w:szCs w:val="16"/>
          <w:lang w:val="bg-BG"/>
        </w:rPr>
        <w:t>.2016.6.</w:t>
      </w:r>
      <w:r w:rsidRPr="00C007FE">
        <w:rPr>
          <w:rFonts w:ascii="Times New Roman" w:hAnsi="Times New Roman" w:cs="Times New Roman"/>
          <w:sz w:val="16"/>
          <w:szCs w:val="16"/>
        </w:rPr>
        <w:t>e</w:t>
      </w:r>
      <w:r w:rsidRPr="00C007FE">
        <w:rPr>
          <w:rFonts w:ascii="Times New Roman" w:hAnsi="Times New Roman" w:cs="Times New Roman"/>
          <w:sz w:val="16"/>
          <w:szCs w:val="16"/>
          <w:lang w:val="bg-BG"/>
        </w:rPr>
        <w:t>.</w:t>
      </w:r>
      <w:r w:rsidRPr="00C007FE">
        <w:rPr>
          <w:rFonts w:ascii="Times New Roman" w:hAnsi="Times New Roman" w:cs="Times New Roman"/>
          <w:sz w:val="16"/>
          <w:szCs w:val="16"/>
        </w:rPr>
        <w:t>pdf</w:t>
      </w:r>
      <w:r w:rsidRPr="00C007FE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</w:p>
  </w:footnote>
  <w:footnote w:id="3">
    <w:p w:rsidR="007B5E55" w:rsidRPr="00A87009" w:rsidRDefault="007B5E55" w:rsidP="007B5E55">
      <w:pPr>
        <w:pStyle w:val="FootnoteText"/>
        <w:rPr>
          <w:rFonts w:asciiTheme="majorBidi" w:hAnsiTheme="majorBidi" w:cstheme="majorBidi"/>
          <w:lang w:val="bg-BG"/>
        </w:rPr>
      </w:pPr>
      <w:r w:rsidRPr="00A87009">
        <w:rPr>
          <w:rStyle w:val="FootnoteReference"/>
          <w:rFonts w:asciiTheme="majorBidi" w:hAnsiTheme="majorBidi" w:cstheme="majorBidi"/>
        </w:rPr>
        <w:footnoteRef/>
      </w:r>
      <w:r w:rsidRPr="00A87009">
        <w:rPr>
          <w:rFonts w:asciiTheme="majorBidi" w:hAnsiTheme="majorBidi" w:cstheme="majorBidi"/>
          <w:lang w:val="bg-BG"/>
        </w:rPr>
        <w:t xml:space="preserve"> </w:t>
      </w:r>
      <w:r w:rsidRPr="00A87009">
        <w:rPr>
          <w:rFonts w:asciiTheme="majorBidi" w:hAnsiTheme="majorBidi" w:cstheme="majorBidi"/>
          <w:lang w:val="bg-BG"/>
        </w:rPr>
        <w:t>ПРООН (2016). Green Economy and Trade Opportunities Project: Synthesis Report.Geneva: UNEP, p.11</w:t>
      </w:r>
    </w:p>
  </w:footnote>
  <w:footnote w:id="4">
    <w:p w:rsidR="007B5E55" w:rsidRPr="00A87009" w:rsidRDefault="007B5E55" w:rsidP="007B5E55">
      <w:pPr>
        <w:pStyle w:val="FootnoteText"/>
        <w:rPr>
          <w:rFonts w:asciiTheme="majorBidi" w:hAnsiTheme="majorBidi" w:cstheme="majorBidi"/>
          <w:lang w:val="ru-RU"/>
        </w:rPr>
      </w:pPr>
      <w:r w:rsidRPr="00A87009">
        <w:rPr>
          <w:rStyle w:val="FootnoteReference"/>
          <w:rFonts w:asciiTheme="majorBidi" w:hAnsiTheme="majorBidi" w:cstheme="majorBidi"/>
        </w:rPr>
        <w:footnoteRef/>
      </w:r>
      <w:r w:rsidRPr="00A87009">
        <w:rPr>
          <w:rFonts w:asciiTheme="majorBidi" w:hAnsiTheme="majorBidi" w:cstheme="majorBidi"/>
          <w:lang w:val="ru-RU"/>
        </w:rPr>
        <w:t xml:space="preserve"> </w:t>
      </w:r>
      <w:r w:rsidRPr="00A87009">
        <w:rPr>
          <w:rFonts w:asciiTheme="majorBidi" w:hAnsiTheme="majorBidi" w:cstheme="majorBidi"/>
          <w:lang w:val="bg-BG"/>
        </w:rPr>
        <w:t xml:space="preserve">Следующие страны участвуют в Специальной программе Организации </w:t>
      </w:r>
      <w:r w:rsidRPr="00A87009">
        <w:rPr>
          <w:rFonts w:asciiTheme="majorBidi" w:hAnsiTheme="majorBidi" w:cstheme="majorBidi"/>
          <w:lang w:val="bg-BG"/>
        </w:rPr>
        <w:t xml:space="preserve">Объединенных Наций для </w:t>
      </w:r>
      <w:r w:rsidR="00A87009" w:rsidRPr="00A87009">
        <w:rPr>
          <w:rFonts w:asciiTheme="majorBidi" w:hAnsiTheme="majorBidi" w:cstheme="majorBidi"/>
          <w:lang w:val="bg-BG"/>
        </w:rPr>
        <w:t>экономик</w:t>
      </w:r>
      <w:r w:rsidRPr="00A87009">
        <w:rPr>
          <w:rFonts w:asciiTheme="majorBidi" w:hAnsiTheme="majorBidi" w:cstheme="majorBidi"/>
          <w:lang w:val="bg-BG"/>
        </w:rPr>
        <w:t xml:space="preserve"> Центральной Азии: Афганистан, Азербайджан, Казахстан, Кыргызстан, Таджикистан, Туркменистан и Узбекистан.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Ind w:w="-252" w:type="dxa"/>
      <w:tblLayout w:type="fixed"/>
      <w:tblLook w:val="0000" w:firstRow="0" w:lastRow="0" w:firstColumn="0" w:lastColumn="0" w:noHBand="0" w:noVBand="0"/>
    </w:tblPr>
    <w:tblGrid>
      <w:gridCol w:w="4046"/>
      <w:gridCol w:w="1714"/>
      <w:gridCol w:w="4140"/>
    </w:tblGrid>
    <w:tr w:rsidR="00A43CFE" w:rsidRPr="00E87F7D" w:rsidTr="000F4070">
      <w:tc>
        <w:tcPr>
          <w:tcW w:w="4046" w:type="dxa"/>
        </w:tcPr>
        <w:p w:rsidR="00A43CFE" w:rsidRPr="008B42BD" w:rsidRDefault="007B5E55" w:rsidP="00A43CFE">
          <w:pPr>
            <w:ind w:right="256"/>
            <w:jc w:val="both"/>
            <w:rPr>
              <w:rFonts w:asciiTheme="majorBidi" w:hAnsiTheme="majorBidi" w:cstheme="majorBidi"/>
              <w:b/>
              <w:color w:val="000000"/>
              <w:lang w:val="ru-RU"/>
            </w:rPr>
          </w:pPr>
          <w:bookmarkStart w:id="1" w:name="_Hlk523635380"/>
          <w:r w:rsidRPr="008B42BD">
            <w:rPr>
              <w:rFonts w:asciiTheme="majorBidi" w:hAnsiTheme="majorBidi" w:cstheme="majorBidi"/>
              <w:b/>
              <w:bCs/>
              <w:color w:val="000000"/>
              <w:lang w:val="ru-RU"/>
            </w:rPr>
            <w:t xml:space="preserve">ЕЭК ООН </w:t>
          </w:r>
        </w:p>
        <w:p w:rsidR="00A43CFE" w:rsidRPr="008B42BD" w:rsidRDefault="007B5E55" w:rsidP="00A43CFE">
          <w:pPr>
            <w:pStyle w:val="Heading6"/>
            <w:ind w:right="-540"/>
            <w:rPr>
              <w:rFonts w:asciiTheme="majorBidi" w:hAnsiTheme="majorBidi"/>
              <w:sz w:val="22"/>
              <w:lang w:val="ru-RU"/>
            </w:rPr>
          </w:pPr>
          <w:r w:rsidRPr="008B42BD">
            <w:rPr>
              <w:rFonts w:asciiTheme="majorBidi" w:hAnsiTheme="majorBidi"/>
              <w:b/>
              <w:color w:val="000000"/>
              <w:sz w:val="22"/>
              <w:szCs w:val="22"/>
              <w:lang w:val="ru-RU"/>
            </w:rPr>
            <w:t xml:space="preserve">Европейская экономическая </w:t>
          </w:r>
          <w:r>
            <w:rPr>
              <w:rFonts w:asciiTheme="majorBidi" w:hAnsiTheme="majorBidi"/>
              <w:b/>
              <w:color w:val="000000"/>
              <w:sz w:val="22"/>
              <w:szCs w:val="22"/>
              <w:lang w:val="ru-RU"/>
            </w:rPr>
            <w:br/>
          </w:r>
          <w:r w:rsidRPr="008B42BD">
            <w:rPr>
              <w:rFonts w:asciiTheme="majorBidi" w:hAnsiTheme="majorBidi"/>
              <w:b/>
              <w:color w:val="000000"/>
              <w:sz w:val="22"/>
              <w:szCs w:val="22"/>
              <w:lang w:val="ru-RU"/>
            </w:rPr>
            <w:t>комиссия Организации Объединенных Наций</w:t>
          </w:r>
          <w:r w:rsidRPr="008B42BD">
            <w:rPr>
              <w:rFonts w:asciiTheme="majorBidi" w:hAnsiTheme="majorBidi"/>
              <w:color w:val="000000"/>
              <w:sz w:val="22"/>
              <w:szCs w:val="22"/>
              <w:lang w:val="ru-RU"/>
            </w:rPr>
            <w:t xml:space="preserve"> </w:t>
          </w:r>
        </w:p>
      </w:tc>
      <w:tc>
        <w:tcPr>
          <w:tcW w:w="1714" w:type="dxa"/>
          <w:vAlign w:val="bottom"/>
        </w:tcPr>
        <w:p w:rsidR="00A43CFE" w:rsidRPr="008B42BD" w:rsidRDefault="007B5E55" w:rsidP="00A43CFE">
          <w:pPr>
            <w:tabs>
              <w:tab w:val="center" w:pos="6521"/>
            </w:tabs>
            <w:ind w:left="-720" w:right="-540"/>
            <w:jc w:val="center"/>
            <w:rPr>
              <w:rFonts w:asciiTheme="majorBidi" w:hAnsiTheme="majorBidi" w:cstheme="majorBidi"/>
              <w:b/>
              <w:bCs/>
            </w:rPr>
          </w:pPr>
          <w:r w:rsidRPr="008B42BD">
            <w:rPr>
              <w:rFonts w:asciiTheme="majorBidi" w:hAnsiTheme="majorBidi" w:cstheme="majorBidi"/>
              <w:noProof/>
            </w:rPr>
            <w:drawing>
              <wp:inline distT="0" distB="0" distL="0" distR="0" wp14:anchorId="416B0480" wp14:editId="41988C4D">
                <wp:extent cx="828675" cy="676275"/>
                <wp:effectExtent l="0" t="0" r="9525" b="952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568" t="-70" r="-7568" b="-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</w:tcPr>
        <w:p w:rsidR="00A43CFE" w:rsidRPr="008B42BD" w:rsidRDefault="007B5E55" w:rsidP="00A43CFE">
          <w:pPr>
            <w:ind w:left="-108"/>
            <w:jc w:val="right"/>
            <w:rPr>
              <w:rFonts w:asciiTheme="majorBidi" w:hAnsiTheme="majorBidi" w:cstheme="majorBidi"/>
              <w:bCs/>
              <w:color w:val="000000"/>
              <w:lang w:val="ru-RU"/>
            </w:rPr>
          </w:pPr>
          <w:r w:rsidRPr="008B42BD">
            <w:rPr>
              <w:rFonts w:asciiTheme="majorBidi" w:hAnsiTheme="majorBidi" w:cstheme="majorBidi"/>
              <w:b/>
              <w:bCs/>
              <w:color w:val="000000"/>
              <w:lang w:val="ru-RU"/>
            </w:rPr>
            <w:t>ЭСКАТО</w:t>
          </w:r>
        </w:p>
        <w:p w:rsidR="00A43CFE" w:rsidRPr="008B42BD" w:rsidRDefault="007B5E55" w:rsidP="00A43CFE">
          <w:pPr>
            <w:pStyle w:val="Heading6"/>
            <w:jc w:val="right"/>
            <w:rPr>
              <w:rFonts w:asciiTheme="majorBidi" w:hAnsiTheme="majorBidi"/>
              <w:b/>
              <w:color w:val="000000"/>
              <w:sz w:val="22"/>
              <w:szCs w:val="22"/>
              <w:lang w:val="ru-RU"/>
            </w:rPr>
          </w:pPr>
          <w:r w:rsidRPr="008B42BD">
            <w:rPr>
              <w:rFonts w:asciiTheme="majorBidi" w:hAnsiTheme="majorBidi"/>
              <w:b/>
              <w:color w:val="000000"/>
              <w:sz w:val="22"/>
              <w:szCs w:val="22"/>
              <w:lang w:val="ru-RU"/>
            </w:rPr>
            <w:t>Экономическая и социальная комиссия для Азии и Тихого океана</w:t>
          </w:r>
          <w:r w:rsidRPr="008B42BD">
            <w:rPr>
              <w:rFonts w:asciiTheme="majorBidi" w:hAnsiTheme="majorBidi"/>
              <w:b/>
              <w:color w:val="000000"/>
              <w:sz w:val="22"/>
              <w:szCs w:val="22"/>
              <w:lang w:val="ru-RU"/>
            </w:rPr>
            <w:br/>
            <w:t xml:space="preserve">Организации Объединенных Наций </w:t>
          </w:r>
        </w:p>
      </w:tc>
    </w:tr>
    <w:bookmarkEnd w:id="1"/>
  </w:tbl>
  <w:p w:rsidR="00A43CFE" w:rsidRPr="00A43CFE" w:rsidRDefault="008D04AE" w:rsidP="00A43CFE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734F4"/>
    <w:multiLevelType w:val="hybridMultilevel"/>
    <w:tmpl w:val="DDF483B2"/>
    <w:lvl w:ilvl="0" w:tplc="C7102C1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F19FF"/>
    <w:multiLevelType w:val="hybridMultilevel"/>
    <w:tmpl w:val="D72C5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D9"/>
    <w:rsid w:val="000033C8"/>
    <w:rsid w:val="00133231"/>
    <w:rsid w:val="002A2BF4"/>
    <w:rsid w:val="004B22D9"/>
    <w:rsid w:val="007B5E55"/>
    <w:rsid w:val="008912E5"/>
    <w:rsid w:val="008D04AE"/>
    <w:rsid w:val="00A87009"/>
    <w:rsid w:val="00C208C0"/>
    <w:rsid w:val="00C65920"/>
    <w:rsid w:val="00C7640F"/>
    <w:rsid w:val="00E87F7D"/>
    <w:rsid w:val="00F54216"/>
    <w:rsid w:val="00F5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6D6A17"/>
  <w15:chartTrackingRefBased/>
  <w15:docId w15:val="{0E633591-5BF4-4DA7-8D0A-9FCD0658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2D9"/>
    <w:rPr>
      <w:rFonts w:eastAsiaTheme="minorHAnsi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22D9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B22D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B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4B2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22D9"/>
    <w:rPr>
      <w:rFonts w:eastAsia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B22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22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D9"/>
    <w:rPr>
      <w:rFonts w:eastAsiaTheme="minorHAns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2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22D9"/>
    <w:rPr>
      <w:rFonts w:ascii="Courier New" w:eastAsia="Times New Roman" w:hAnsi="Courier New" w:cs="Courier New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0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C0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AD"/>
    <w:rPr>
      <w:rFonts w:ascii="Segoe UI" w:eastAsiaTheme="minorHAnsi" w:hAnsi="Segoe UI" w:cs="Segoe UI"/>
      <w:sz w:val="18"/>
      <w:szCs w:val="18"/>
      <w:lang w:val="en-US" w:eastAsia="en-US"/>
    </w:rPr>
  </w:style>
  <w:style w:type="paragraph" w:customStyle="1" w:styleId="Document1">
    <w:name w:val="Document 1"/>
    <w:rsid w:val="00A87009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Angsana New"/>
      <w:snapToGrid w:val="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stainabledevelopment.un.org/frameworks/addisababaactionagen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Akopyan</dc:creator>
  <cp:keywords/>
  <dc:description/>
  <cp:lastModifiedBy>Tatiana APATENKO</cp:lastModifiedBy>
  <cp:revision>3</cp:revision>
  <cp:lastPrinted>2019-10-25T14:47:00Z</cp:lastPrinted>
  <dcterms:created xsi:type="dcterms:W3CDTF">2019-10-28T09:43:00Z</dcterms:created>
  <dcterms:modified xsi:type="dcterms:W3CDTF">2019-10-28T09:44:00Z</dcterms:modified>
</cp:coreProperties>
</file>