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BFAA2" w14:textId="6EF755CA" w:rsidR="0054199E" w:rsidRDefault="0054199E" w:rsidP="0054199E">
      <w:pPr>
        <w:pStyle w:val="NormalWeb"/>
        <w:spacing w:before="0" w:beforeAutospacing="0" w:after="0" w:afterAutospacing="0"/>
        <w:jc w:val="right"/>
        <w:rPr>
          <w:b/>
          <w:bCs/>
          <w:sz w:val="28"/>
          <w:szCs w:val="28"/>
        </w:rPr>
      </w:pPr>
      <w:r w:rsidRPr="00F61B3E">
        <w:rPr>
          <w:lang w:val="sv-SE"/>
        </w:rPr>
        <w:t>SPECA/WG-Trade/201</w:t>
      </w:r>
      <w:r>
        <w:rPr>
          <w:lang w:val="sv-SE"/>
        </w:rPr>
        <w:t>8</w:t>
      </w:r>
      <w:r w:rsidRPr="00F61B3E">
        <w:rPr>
          <w:lang w:val="sv-SE"/>
        </w:rPr>
        <w:t>/EN/</w:t>
      </w:r>
      <w:r w:rsidR="004B1557">
        <w:t>3</w:t>
      </w:r>
    </w:p>
    <w:p w14:paraId="3A7E6C64" w14:textId="77777777" w:rsidR="0054199E" w:rsidRDefault="0054199E" w:rsidP="00F96D51">
      <w:pPr>
        <w:pStyle w:val="NormalWeb"/>
        <w:spacing w:before="0" w:beforeAutospacing="0" w:after="0" w:afterAutospacing="0"/>
        <w:jc w:val="center"/>
        <w:rPr>
          <w:b/>
          <w:bCs/>
          <w:sz w:val="28"/>
          <w:szCs w:val="28"/>
        </w:rPr>
      </w:pPr>
    </w:p>
    <w:p w14:paraId="558912B0" w14:textId="6DE42936" w:rsidR="005E1C90" w:rsidRDefault="005E1C90" w:rsidP="00F96D51">
      <w:pPr>
        <w:pStyle w:val="NormalWeb"/>
        <w:spacing w:before="0" w:beforeAutospacing="0" w:after="0" w:afterAutospacing="0"/>
        <w:jc w:val="center"/>
        <w:rPr>
          <w:b/>
          <w:bCs/>
          <w:sz w:val="28"/>
          <w:szCs w:val="28"/>
        </w:rPr>
      </w:pPr>
      <w:r w:rsidRPr="00EF19F7">
        <w:rPr>
          <w:b/>
          <w:caps/>
          <w:lang w:eastAsia="en-US"/>
        </w:rPr>
        <w:t xml:space="preserve">special programme for the economies of central asia </w:t>
      </w:r>
      <w:r w:rsidRPr="00EF19F7">
        <w:rPr>
          <w:b/>
          <w:bCs/>
          <w:caps/>
          <w:cs/>
          <w:lang w:eastAsia="en-US" w:bidi="th-TH"/>
        </w:rPr>
        <w:t>(</w:t>
      </w:r>
      <w:r w:rsidRPr="00EF19F7">
        <w:rPr>
          <w:b/>
          <w:caps/>
          <w:lang w:eastAsia="en-US"/>
        </w:rPr>
        <w:t>speca</w:t>
      </w:r>
      <w:r w:rsidRPr="00EF19F7">
        <w:rPr>
          <w:b/>
          <w:bCs/>
          <w:caps/>
          <w:cs/>
          <w:lang w:eastAsia="en-US" w:bidi="th-TH"/>
        </w:rPr>
        <w:t>)</w:t>
      </w:r>
    </w:p>
    <w:p w14:paraId="17E2ABC3" w14:textId="77777777" w:rsidR="005E1C90" w:rsidRDefault="005E1C90" w:rsidP="00F96D51">
      <w:pPr>
        <w:pStyle w:val="NormalWeb"/>
        <w:spacing w:before="0" w:beforeAutospacing="0" w:after="0" w:afterAutospacing="0"/>
        <w:jc w:val="center"/>
        <w:rPr>
          <w:b/>
          <w:bCs/>
          <w:sz w:val="28"/>
          <w:szCs w:val="28"/>
        </w:rPr>
      </w:pPr>
    </w:p>
    <w:p w14:paraId="7E5247F6" w14:textId="2356D729" w:rsidR="00B729BB" w:rsidRDefault="00B729BB" w:rsidP="00F96D51">
      <w:pPr>
        <w:pStyle w:val="NormalWeb"/>
        <w:spacing w:before="0" w:beforeAutospacing="0" w:after="0" w:afterAutospacing="0"/>
        <w:jc w:val="center"/>
        <w:rPr>
          <w:b/>
          <w:bCs/>
          <w:sz w:val="28"/>
          <w:szCs w:val="28"/>
        </w:rPr>
      </w:pPr>
      <w:r w:rsidRPr="00C3489B">
        <w:rPr>
          <w:b/>
          <w:bCs/>
          <w:sz w:val="28"/>
          <w:szCs w:val="28"/>
        </w:rPr>
        <w:t xml:space="preserve">International </w:t>
      </w:r>
      <w:r w:rsidR="00FC0147" w:rsidRPr="00C3489B">
        <w:rPr>
          <w:b/>
          <w:bCs/>
          <w:sz w:val="28"/>
          <w:szCs w:val="28"/>
        </w:rPr>
        <w:t>T</w:t>
      </w:r>
      <w:r w:rsidRPr="00C3489B">
        <w:rPr>
          <w:b/>
          <w:bCs/>
          <w:sz w:val="28"/>
          <w:szCs w:val="28"/>
        </w:rPr>
        <w:t xml:space="preserve">rade </w:t>
      </w:r>
      <w:r w:rsidR="00FC0147" w:rsidRPr="00C3489B">
        <w:rPr>
          <w:b/>
          <w:bCs/>
          <w:sz w:val="28"/>
          <w:szCs w:val="28"/>
        </w:rPr>
        <w:t>and Sustainable Development</w:t>
      </w:r>
    </w:p>
    <w:p w14:paraId="297313F6" w14:textId="3059A01B" w:rsidR="00345FB6" w:rsidRPr="00C3489B" w:rsidRDefault="00345FB6" w:rsidP="00F96D51">
      <w:pPr>
        <w:pStyle w:val="NormalWeb"/>
        <w:spacing w:before="0" w:beforeAutospacing="0" w:after="0" w:afterAutospacing="0"/>
        <w:jc w:val="center"/>
        <w:rPr>
          <w:sz w:val="28"/>
          <w:szCs w:val="28"/>
        </w:rPr>
      </w:pPr>
      <w:r>
        <w:rPr>
          <w:b/>
          <w:bCs/>
          <w:sz w:val="28"/>
          <w:szCs w:val="28"/>
        </w:rPr>
        <w:t>(background paper)</w:t>
      </w:r>
    </w:p>
    <w:p w14:paraId="359F9AB5" w14:textId="521ACE2E" w:rsidR="00FC0147" w:rsidRDefault="00FC0147" w:rsidP="00F96D51">
      <w:pPr>
        <w:pStyle w:val="NormalWeb"/>
        <w:spacing w:before="0" w:beforeAutospacing="0" w:after="0" w:afterAutospacing="0"/>
      </w:pPr>
    </w:p>
    <w:p w14:paraId="6964A63B" w14:textId="77777777" w:rsidR="00345FB6" w:rsidRPr="00C04980" w:rsidRDefault="00345FB6" w:rsidP="00F96D51">
      <w:pPr>
        <w:pStyle w:val="NormalWeb"/>
        <w:spacing w:before="0" w:beforeAutospacing="0" w:after="0" w:afterAutospacing="0"/>
      </w:pPr>
    </w:p>
    <w:p w14:paraId="7336ADC0" w14:textId="32278360" w:rsidR="00B565D4" w:rsidRPr="00B565D4" w:rsidRDefault="00B565D4" w:rsidP="00B565D4">
      <w:pPr>
        <w:pStyle w:val="NormalWeb"/>
        <w:spacing w:before="0" w:beforeAutospacing="0" w:after="0" w:afterAutospacing="0"/>
      </w:pPr>
      <w:r>
        <w:t xml:space="preserve">The link between trade and sustainable development has been clearly underlined in major programming documents during the last years. </w:t>
      </w:r>
      <w:r w:rsidR="00665D59" w:rsidRPr="00116B49">
        <w:t xml:space="preserve">The Sustainable Development Goals (SDG 17.10) </w:t>
      </w:r>
      <w:r w:rsidR="00FF1217">
        <w:t xml:space="preserve">of the 2030 Agenda for Sustainable Development (Sept. 2015) </w:t>
      </w:r>
      <w:r w:rsidR="00665D59" w:rsidRPr="00116B49">
        <w:t xml:space="preserve">and the </w:t>
      </w:r>
      <w:r w:rsidR="00B729BB" w:rsidRPr="00116B49">
        <w:t xml:space="preserve">Addis Ababa Action Agenda of the Third International Conference on Financing for </w:t>
      </w:r>
      <w:r w:rsidR="00FC0147" w:rsidRPr="00116B49">
        <w:t>Development</w:t>
      </w:r>
      <w:r w:rsidR="00665D59" w:rsidRPr="00116B49">
        <w:t xml:space="preserve"> (July 2015)</w:t>
      </w:r>
      <w:r w:rsidR="00B729BB" w:rsidRPr="00B565D4">
        <w:rPr>
          <w:sz w:val="20"/>
          <w:vertAlign w:val="superscript"/>
        </w:rPr>
        <w:footnoteReference w:id="1"/>
      </w:r>
      <w:r w:rsidR="00FC0147" w:rsidRPr="00116B49">
        <w:t xml:space="preserve"> define i</w:t>
      </w:r>
      <w:r w:rsidR="00B729BB" w:rsidRPr="00116B49">
        <w:t xml:space="preserve">nternational trade </w:t>
      </w:r>
      <w:r w:rsidR="00FC0147" w:rsidRPr="00116B49">
        <w:t>a</w:t>
      </w:r>
      <w:r w:rsidR="00B729BB" w:rsidRPr="00116B49">
        <w:t xml:space="preserve">s </w:t>
      </w:r>
      <w:r w:rsidR="00FC0147" w:rsidRPr="00116B49">
        <w:t>“</w:t>
      </w:r>
      <w:r w:rsidR="00B729BB" w:rsidRPr="00116B49">
        <w:t>an engine for inclusive economic growth and poverty reduction</w:t>
      </w:r>
      <w:r w:rsidR="00FC0147" w:rsidRPr="00116B49">
        <w:t>”</w:t>
      </w:r>
      <w:r w:rsidR="00B729BB" w:rsidRPr="00116B49">
        <w:t xml:space="preserve">. </w:t>
      </w:r>
      <w:r w:rsidR="00665D59" w:rsidRPr="00116B49">
        <w:t>Both documents clearly</w:t>
      </w:r>
      <w:r w:rsidR="00FC0147" w:rsidRPr="00116B49">
        <w:t xml:space="preserve"> </w:t>
      </w:r>
      <w:r w:rsidR="00B729BB" w:rsidRPr="00116B49">
        <w:t xml:space="preserve">promote </w:t>
      </w:r>
      <w:r w:rsidR="00FC0147" w:rsidRPr="00116B49">
        <w:t>the “</w:t>
      </w:r>
      <w:r w:rsidR="00B729BB" w:rsidRPr="00116B49">
        <w:t>universal, rules-based, open, transparent, predictable, inclusive, non-discriminatory and equitable multilateral trading system under the World Trade Organization (WTO)</w:t>
      </w:r>
      <w:r w:rsidR="00FC0147" w:rsidRPr="00116B49">
        <w:t xml:space="preserve">” as </w:t>
      </w:r>
      <w:r w:rsidR="00665D59" w:rsidRPr="00116B49">
        <w:t xml:space="preserve">a </w:t>
      </w:r>
      <w:r w:rsidR="00FC0147" w:rsidRPr="00116B49">
        <w:t>tool</w:t>
      </w:r>
      <w:r w:rsidR="00665D59" w:rsidRPr="00116B49">
        <w:t xml:space="preserve"> for achieving</w:t>
      </w:r>
      <w:r w:rsidR="00FC0147" w:rsidRPr="00116B49">
        <w:t xml:space="preserve"> growth and development around the world. </w:t>
      </w:r>
      <w:r w:rsidR="00FF1217">
        <w:t xml:space="preserve">The 2030 Agenda clearly defines the need for a new thinking, combining economic growth and prosperity with the need for action on preventing the deterioration of the environment parallel to human and social development. </w:t>
      </w:r>
      <w:r w:rsidR="00AF0DB8" w:rsidRPr="00116B49">
        <w:t>Trade plays an important role in allocating global resources more efficiently</w:t>
      </w:r>
      <w:r w:rsidR="002D7745">
        <w:t xml:space="preserve"> to achieve these goals</w:t>
      </w:r>
      <w:r w:rsidR="00AF0DB8" w:rsidRPr="00116B49">
        <w:t xml:space="preserve">. </w:t>
      </w:r>
      <w:r w:rsidR="002D7745">
        <w:t xml:space="preserve">In another document, supported by UNECE, </w:t>
      </w:r>
      <w:r w:rsidRPr="00B565D4">
        <w:t xml:space="preserve">Focus Area 6 </w:t>
      </w:r>
      <w:r>
        <w:t xml:space="preserve">of the </w:t>
      </w:r>
      <w:r w:rsidRPr="00B565D4">
        <w:t>Pan-European Strategic Framework for Greening the Economy adopted in Batumi</w:t>
      </w:r>
      <w:r>
        <w:t xml:space="preserve"> on 10 June 2016, promotes</w:t>
      </w:r>
      <w:r w:rsidRPr="00B565D4">
        <w:t xml:space="preserve"> </w:t>
      </w:r>
      <w:r>
        <w:t>“</w:t>
      </w:r>
      <w:r w:rsidRPr="00B565D4">
        <w:t>Green and Fair Trade</w:t>
      </w:r>
      <w:r>
        <w:t>”</w:t>
      </w:r>
      <w:r w:rsidR="00447DF4">
        <w:t>.</w:t>
      </w:r>
      <w:r>
        <w:rPr>
          <w:rStyle w:val="FootnoteReference"/>
        </w:rPr>
        <w:footnoteReference w:id="2"/>
      </w:r>
    </w:p>
    <w:p w14:paraId="7A0579E5" w14:textId="77777777" w:rsidR="00B565D4" w:rsidRDefault="00B565D4" w:rsidP="00F96D51">
      <w:pPr>
        <w:pStyle w:val="NormalWeb"/>
        <w:spacing w:before="0" w:beforeAutospacing="0" w:after="0" w:afterAutospacing="0"/>
      </w:pPr>
    </w:p>
    <w:p w14:paraId="46FEF2C9" w14:textId="43FB17D2" w:rsidR="004107CC" w:rsidRPr="00116B49" w:rsidRDefault="00024C73" w:rsidP="00B565D4">
      <w:pPr>
        <w:pStyle w:val="NormalWeb"/>
        <w:spacing w:before="0" w:beforeAutospacing="0" w:after="0" w:afterAutospacing="0"/>
      </w:pPr>
      <w:r w:rsidRPr="00116B49">
        <w:t xml:space="preserve">The objective of this paper is to point the attention </w:t>
      </w:r>
      <w:r w:rsidR="00CF086A" w:rsidRPr="00116B49">
        <w:t xml:space="preserve">of SPECA countries’ decision makers </w:t>
      </w:r>
      <w:r w:rsidR="002D7745">
        <w:t xml:space="preserve">to the priorities of </w:t>
      </w:r>
      <w:r w:rsidR="00CF086A" w:rsidRPr="00116B49">
        <w:t>sustainable trade</w:t>
      </w:r>
      <w:r w:rsidR="002D7745">
        <w:t xml:space="preserve"> in the region</w:t>
      </w:r>
      <w:r w:rsidR="00CF086A" w:rsidRPr="00116B49">
        <w:t xml:space="preserve">, </w:t>
      </w:r>
      <w:r w:rsidR="002D7745">
        <w:t>and foster further</w:t>
      </w:r>
      <w:r w:rsidR="00CF086A" w:rsidRPr="00116B49">
        <w:t xml:space="preserve"> analys</w:t>
      </w:r>
      <w:r w:rsidR="002D7745">
        <w:t>i</w:t>
      </w:r>
      <w:r w:rsidR="00CF086A" w:rsidRPr="00116B49">
        <w:t>s of the current situation, define a desired situation and make input into policy decisions for change into th</w:t>
      </w:r>
      <w:r w:rsidR="002D7745">
        <w:t>e</w:t>
      </w:r>
      <w:r w:rsidR="00CF086A" w:rsidRPr="00116B49">
        <w:t xml:space="preserve"> desired direction</w:t>
      </w:r>
      <w:r w:rsidR="002D7745">
        <w:t xml:space="preserve"> of sustainable trade</w:t>
      </w:r>
      <w:r w:rsidR="00CF086A" w:rsidRPr="00116B49">
        <w:t xml:space="preserve">. The paper can thus give a general framework for defining next steps in terms of work programmes, cooperation plans, and exchange of best practices. The </w:t>
      </w:r>
      <w:r w:rsidR="00D00018" w:rsidRPr="00116B49">
        <w:t xml:space="preserve">key point is to </w:t>
      </w:r>
      <w:r w:rsidR="00CF086A" w:rsidRPr="00116B49">
        <w:t>under</w:t>
      </w:r>
      <w:r w:rsidR="00D00018" w:rsidRPr="00116B49">
        <w:t xml:space="preserve">stand </w:t>
      </w:r>
      <w:r w:rsidRPr="00116B49">
        <w:t xml:space="preserve">the importance of </w:t>
      </w:r>
      <w:r w:rsidR="00D00018" w:rsidRPr="00116B49">
        <w:t xml:space="preserve">the link between </w:t>
      </w:r>
      <w:r w:rsidRPr="00116B49">
        <w:t xml:space="preserve">trade development and </w:t>
      </w:r>
      <w:r w:rsidR="00D00018" w:rsidRPr="00116B49">
        <w:t xml:space="preserve">sustainable development in the SPECA </w:t>
      </w:r>
      <w:proofErr w:type="spellStart"/>
      <w:r w:rsidR="00D00018" w:rsidRPr="00116B49">
        <w:t>subregion</w:t>
      </w:r>
      <w:proofErr w:type="spellEnd"/>
      <w:r w:rsidRPr="00116B49">
        <w:t xml:space="preserve"> and</w:t>
      </w:r>
      <w:r w:rsidR="00D00018" w:rsidRPr="00116B49">
        <w:t>, on this basis,</w:t>
      </w:r>
      <w:r w:rsidRPr="00116B49">
        <w:t xml:space="preserve"> mark areas for possible cooperation among the countries</w:t>
      </w:r>
      <w:r w:rsidR="00D00018" w:rsidRPr="00116B49">
        <w:t xml:space="preserve"> for the achievement of the SDGs related to trade</w:t>
      </w:r>
      <w:r w:rsidRPr="00116B49">
        <w:t>.</w:t>
      </w:r>
      <w:r w:rsidR="00CF086A" w:rsidRPr="00116B49">
        <w:t xml:space="preserve"> </w:t>
      </w:r>
    </w:p>
    <w:p w14:paraId="3DB4EB7A" w14:textId="77777777" w:rsidR="00D00018" w:rsidRPr="00116B49" w:rsidRDefault="00D00018" w:rsidP="00F96D51">
      <w:pPr>
        <w:pStyle w:val="NormalWeb"/>
        <w:spacing w:before="0" w:beforeAutospacing="0" w:after="0" w:afterAutospacing="0"/>
      </w:pPr>
    </w:p>
    <w:p w14:paraId="60BA74B8" w14:textId="577AF493" w:rsidR="00D00018" w:rsidRPr="00116B49" w:rsidRDefault="00D00018" w:rsidP="00B565D4">
      <w:pPr>
        <w:pStyle w:val="NormalWeb"/>
        <w:spacing w:before="0" w:beforeAutospacing="0" w:after="0" w:afterAutospacing="0"/>
      </w:pPr>
      <w:r w:rsidRPr="00116B49">
        <w:t xml:space="preserve">The work on trade and sustainable development in the SPECA setting may focus on </w:t>
      </w:r>
      <w:r w:rsidR="002F5FE5" w:rsidRPr="00116B49">
        <w:t xml:space="preserve">such topics </w:t>
      </w:r>
      <w:r w:rsidRPr="00116B49">
        <w:t>as trade a</w:t>
      </w:r>
      <w:r w:rsidR="002F5FE5" w:rsidRPr="00116B49">
        <w:t xml:space="preserve">s an engine of growth, </w:t>
      </w:r>
      <w:r w:rsidRPr="00116B49">
        <w:t xml:space="preserve">more employment and </w:t>
      </w:r>
      <w:r w:rsidR="002F5FE5" w:rsidRPr="00116B49">
        <w:t>elimination of poverty</w:t>
      </w:r>
      <w:r w:rsidRPr="00116B49">
        <w:t xml:space="preserve"> </w:t>
      </w:r>
      <w:r w:rsidR="002F5FE5" w:rsidRPr="00116B49">
        <w:t xml:space="preserve">and </w:t>
      </w:r>
      <w:r w:rsidRPr="00116B49">
        <w:t xml:space="preserve">improving trade practices to achieve </w:t>
      </w:r>
      <w:r w:rsidR="002F5FE5" w:rsidRPr="00116B49">
        <w:t xml:space="preserve">the environmental </w:t>
      </w:r>
      <w:r w:rsidR="002D7745">
        <w:t>SDGs</w:t>
      </w:r>
      <w:r w:rsidR="002F5FE5" w:rsidRPr="00116B49">
        <w:t xml:space="preserve">; notably, water management, energy efficiency, sustainable transport, innovation, and other areas covered by the SPECA working groups. The overall goal is to achieve </w:t>
      </w:r>
      <w:r w:rsidRPr="00116B49">
        <w:t xml:space="preserve">parallel improvements in </w:t>
      </w:r>
      <w:r w:rsidR="00B565D4">
        <w:t xml:space="preserve">the </w:t>
      </w:r>
      <w:r w:rsidRPr="00116B49">
        <w:t>areas of trade</w:t>
      </w:r>
      <w:r w:rsidR="002F5FE5" w:rsidRPr="00116B49">
        <w:t xml:space="preserve">, </w:t>
      </w:r>
      <w:r w:rsidRPr="00116B49">
        <w:t>environment</w:t>
      </w:r>
      <w:r w:rsidR="002F5FE5" w:rsidRPr="00116B49">
        <w:t>, food security,</w:t>
      </w:r>
      <w:r w:rsidRPr="00116B49">
        <w:t xml:space="preserve"> water management </w:t>
      </w:r>
      <w:r w:rsidR="00CF0FFE" w:rsidRPr="00116B49">
        <w:t xml:space="preserve">and others. </w:t>
      </w:r>
    </w:p>
    <w:p w14:paraId="6C1CA908" w14:textId="77777777" w:rsidR="00CF086A" w:rsidRPr="00116B49" w:rsidRDefault="00CF086A" w:rsidP="00F96D51">
      <w:pPr>
        <w:pStyle w:val="NormalWeb"/>
        <w:spacing w:before="0" w:beforeAutospacing="0" w:after="0" w:afterAutospacing="0"/>
      </w:pPr>
    </w:p>
    <w:p w14:paraId="228D9138" w14:textId="77777777" w:rsidR="00CF086A" w:rsidRPr="00116B49" w:rsidRDefault="00CF0FFE" w:rsidP="00F96D51">
      <w:pPr>
        <w:pStyle w:val="NormalWeb"/>
        <w:spacing w:before="0" w:beforeAutospacing="0" w:after="0" w:afterAutospacing="0"/>
        <w:rPr>
          <w:b/>
          <w:bCs/>
        </w:rPr>
      </w:pPr>
      <w:r w:rsidRPr="00116B49">
        <w:rPr>
          <w:b/>
          <w:bCs/>
        </w:rPr>
        <w:t>Introduction</w:t>
      </w:r>
    </w:p>
    <w:p w14:paraId="2C08C7D1" w14:textId="77777777" w:rsidR="004107CC" w:rsidRPr="00116B49" w:rsidRDefault="004107CC" w:rsidP="00F96D51">
      <w:pPr>
        <w:pStyle w:val="NormalWeb"/>
        <w:spacing w:before="0" w:beforeAutospacing="0" w:after="0" w:afterAutospacing="0"/>
      </w:pPr>
    </w:p>
    <w:p w14:paraId="67E678C9" w14:textId="655C65B6" w:rsidR="007024C8" w:rsidRPr="00116B49" w:rsidRDefault="007024C8" w:rsidP="007024C8">
      <w:pPr>
        <w:pStyle w:val="NormalWeb"/>
        <w:spacing w:before="0" w:beforeAutospacing="0" w:after="0" w:afterAutospacing="0"/>
      </w:pPr>
      <w:bookmarkStart w:id="0" w:name="_GoBack"/>
      <w:bookmarkEnd w:id="0"/>
      <w:r w:rsidRPr="00116B49">
        <w:lastRenderedPageBreak/>
        <w:t xml:space="preserve">Work on the SDGs in the UN and its Member States increasingly concentrates on </w:t>
      </w:r>
      <w:r w:rsidR="002D7745">
        <w:t xml:space="preserve">the urgent need to ensure that economic growth, environmental protection and social inclusion are considered as part of an integrated development agenda. In this sense, trade is understood as </w:t>
      </w:r>
      <w:r w:rsidRPr="00116B49">
        <w:t xml:space="preserve">an engine for sustainable development and poverty eradication, </w:t>
      </w:r>
      <w:r w:rsidR="002D7745">
        <w:t xml:space="preserve">thus </w:t>
      </w:r>
      <w:r w:rsidRPr="00116B49">
        <w:t xml:space="preserve">bringing together trade and sustainable development. </w:t>
      </w:r>
    </w:p>
    <w:p w14:paraId="0FB4AB63" w14:textId="77777777" w:rsidR="007024C8" w:rsidRPr="00116B49" w:rsidRDefault="007024C8" w:rsidP="007024C8">
      <w:pPr>
        <w:pStyle w:val="NormalWeb"/>
        <w:spacing w:before="0" w:beforeAutospacing="0" w:after="0" w:afterAutospacing="0"/>
      </w:pPr>
    </w:p>
    <w:p w14:paraId="211FABD1" w14:textId="36FC7492" w:rsidR="001E7780" w:rsidRPr="00116B49" w:rsidRDefault="00AF0DB8" w:rsidP="00F96D51">
      <w:pPr>
        <w:pStyle w:val="NormalWeb"/>
        <w:spacing w:before="0" w:beforeAutospacing="0" w:after="0" w:afterAutospacing="0"/>
      </w:pPr>
      <w:r w:rsidRPr="00116B49">
        <w:t>Given the right trade policies</w:t>
      </w:r>
      <w:r w:rsidR="00AF6BA8" w:rsidRPr="00116B49">
        <w:t xml:space="preserve"> and regulation</w:t>
      </w:r>
      <w:r w:rsidRPr="00116B49">
        <w:t xml:space="preserve">, international trade has the potential of enabling countries to benefit from investment and integration into </w:t>
      </w:r>
      <w:r w:rsidR="00024C73" w:rsidRPr="00116B49">
        <w:t xml:space="preserve">regional and </w:t>
      </w:r>
      <w:r w:rsidRPr="00116B49">
        <w:t>global value chains</w:t>
      </w:r>
      <w:r w:rsidR="00CF0FFE" w:rsidRPr="00116B49">
        <w:t xml:space="preserve">, which increasingly embrace </w:t>
      </w:r>
      <w:r w:rsidRPr="00116B49">
        <w:t xml:space="preserve">environmental goods and services. </w:t>
      </w:r>
      <w:r w:rsidR="001E7780" w:rsidRPr="00116B49">
        <w:t xml:space="preserve">The transition to an inclusive green economy enhances trade opportunities by opening new export markets for </w:t>
      </w:r>
      <w:r w:rsidR="00CF0FFE" w:rsidRPr="00116B49">
        <w:t xml:space="preserve">such </w:t>
      </w:r>
      <w:r w:rsidR="001E7780" w:rsidRPr="00116B49">
        <w:t xml:space="preserve">environmental goods and services. Demand </w:t>
      </w:r>
      <w:r w:rsidR="00CF0FFE" w:rsidRPr="00116B49">
        <w:t xml:space="preserve">increases </w:t>
      </w:r>
      <w:r w:rsidR="001E7780" w:rsidRPr="00116B49">
        <w:t xml:space="preserve">for resource and energy efficient production </w:t>
      </w:r>
      <w:r w:rsidR="00CF0FFE" w:rsidRPr="00116B49">
        <w:t xml:space="preserve">and processing </w:t>
      </w:r>
      <w:r w:rsidR="001E7780" w:rsidRPr="00116B49">
        <w:t>methods</w:t>
      </w:r>
      <w:r w:rsidR="00CF0FFE" w:rsidRPr="00116B49">
        <w:t xml:space="preserve"> and for </w:t>
      </w:r>
      <w:r w:rsidR="001E7780" w:rsidRPr="00116B49">
        <w:t>sustainability-certified products, as markets for</w:t>
      </w:r>
      <w:r w:rsidR="004107CC" w:rsidRPr="00116B49">
        <w:t xml:space="preserve"> </w:t>
      </w:r>
      <w:r w:rsidR="001E7780" w:rsidRPr="00116B49">
        <w:t xml:space="preserve">them are growing fast. </w:t>
      </w:r>
      <w:r w:rsidR="004107CC" w:rsidRPr="00116B49">
        <w:t>“There are economic gains to be made from making trade more socially and economically sustainable. Growing trade in environmental goods and services, as well as the diffusion of sustainability standards and the greening of global value chains, can significantly influence”</w:t>
      </w:r>
      <w:r w:rsidR="00C3489B">
        <w:rPr>
          <w:rStyle w:val="FootnoteReference"/>
        </w:rPr>
        <w:footnoteReference w:id="3"/>
      </w:r>
      <w:r w:rsidR="004107CC" w:rsidRPr="00116B49">
        <w:t xml:space="preserve"> job markets, production and cross-border trading patterns. </w:t>
      </w:r>
    </w:p>
    <w:p w14:paraId="570F22E7" w14:textId="77777777" w:rsidR="00EE4DB9" w:rsidRPr="00116B49" w:rsidRDefault="00EE4DB9" w:rsidP="00F96D51">
      <w:pPr>
        <w:pStyle w:val="NormalWeb"/>
        <w:spacing w:before="0" w:beforeAutospacing="0" w:after="0" w:afterAutospacing="0"/>
        <w:rPr>
          <w:rFonts w:ascii="Arial" w:hAnsi="Arial" w:cs="Arial"/>
        </w:rPr>
      </w:pPr>
    </w:p>
    <w:p w14:paraId="7ABAD7AC" w14:textId="77777777" w:rsidR="007024C8" w:rsidRPr="00116B49" w:rsidRDefault="007024C8" w:rsidP="00F96D51">
      <w:pPr>
        <w:pStyle w:val="NormalWeb"/>
        <w:spacing w:before="0" w:beforeAutospacing="0" w:after="0" w:afterAutospacing="0"/>
        <w:rPr>
          <w:b/>
          <w:bCs/>
        </w:rPr>
      </w:pPr>
      <w:r w:rsidRPr="00116B49">
        <w:rPr>
          <w:b/>
          <w:bCs/>
        </w:rPr>
        <w:t>Trade and environmental sustainability</w:t>
      </w:r>
    </w:p>
    <w:p w14:paraId="6CF0E6EE" w14:textId="77777777" w:rsidR="007024C8" w:rsidRPr="00116B49" w:rsidRDefault="007024C8" w:rsidP="00F96D51">
      <w:pPr>
        <w:pStyle w:val="NormalWeb"/>
        <w:spacing w:before="0" w:beforeAutospacing="0" w:after="0" w:afterAutospacing="0"/>
      </w:pPr>
    </w:p>
    <w:p w14:paraId="70D825A1" w14:textId="1C6BCEEC" w:rsidR="00F5746C" w:rsidRPr="00116B49" w:rsidRDefault="00EE4DB9" w:rsidP="00F96D51">
      <w:pPr>
        <w:pStyle w:val="NormalWeb"/>
        <w:spacing w:before="0" w:beforeAutospacing="0" w:after="0" w:afterAutospacing="0"/>
      </w:pPr>
      <w:r w:rsidRPr="00116B49">
        <w:t xml:space="preserve">Countries are encouraged to develop policies supporting imports and exports of green technologies, environmental goods and services, </w:t>
      </w:r>
      <w:r w:rsidR="00AF0DB8" w:rsidRPr="00116B49">
        <w:t>and creating</w:t>
      </w:r>
      <w:r w:rsidRPr="00116B49">
        <w:t xml:space="preserve"> market access for sustainably certified products. </w:t>
      </w:r>
      <w:proofErr w:type="gramStart"/>
      <w:r w:rsidRPr="00116B49">
        <w:t>In order to</w:t>
      </w:r>
      <w:proofErr w:type="gramEnd"/>
      <w:r w:rsidRPr="00116B49">
        <w:t xml:space="preserve"> make informed</w:t>
      </w:r>
      <w:r w:rsidR="00AF6BA8" w:rsidRPr="00116B49">
        <w:t xml:space="preserve"> policy</w:t>
      </w:r>
      <w:r w:rsidRPr="00116B49">
        <w:t xml:space="preserve"> decisions, countries and their development partners may wish to carry out studies to identify economic incentives that would integrate these technologies and products into efficient cross-border supply chains</w:t>
      </w:r>
      <w:r w:rsidR="00514016">
        <w:t xml:space="preserve"> that are respectful for the environment and social inclusion</w:t>
      </w:r>
      <w:r w:rsidRPr="00116B49">
        <w:t>.</w:t>
      </w:r>
      <w:r w:rsidR="00F5746C" w:rsidRPr="00116B49">
        <w:t xml:space="preserve"> </w:t>
      </w:r>
      <w:r w:rsidR="00CF0FFE" w:rsidRPr="00116B49">
        <w:t>Political will grows for building green economies</w:t>
      </w:r>
      <w:r w:rsidR="00E92300" w:rsidRPr="00116B49">
        <w:t>, circular economy and</w:t>
      </w:r>
      <w:r w:rsidR="00CF0FFE" w:rsidRPr="00116B49">
        <w:t xml:space="preserve"> “green energy”</w:t>
      </w:r>
      <w:r w:rsidR="00514016">
        <w:t xml:space="preserve">, for example in </w:t>
      </w:r>
      <w:r w:rsidR="00CF0FFE" w:rsidRPr="00116B49">
        <w:t>Kazakhstan</w:t>
      </w:r>
      <w:r w:rsidR="00E92300" w:rsidRPr="00116B49">
        <w:t xml:space="preserve">. Yet much needs to be done, including through </w:t>
      </w:r>
      <w:proofErr w:type="spellStart"/>
      <w:r w:rsidR="00E92300" w:rsidRPr="00116B49">
        <w:t>subregional</w:t>
      </w:r>
      <w:proofErr w:type="spellEnd"/>
      <w:r w:rsidR="00E92300" w:rsidRPr="00116B49">
        <w:t xml:space="preserve"> cooperation. </w:t>
      </w:r>
    </w:p>
    <w:p w14:paraId="2F28845B" w14:textId="77777777" w:rsidR="00F5746C" w:rsidRPr="00116B49" w:rsidRDefault="00F5746C" w:rsidP="00F96D51">
      <w:pPr>
        <w:pStyle w:val="NormalWeb"/>
        <w:spacing w:before="0" w:beforeAutospacing="0" w:after="0" w:afterAutospacing="0"/>
      </w:pPr>
    </w:p>
    <w:p w14:paraId="406A5C11" w14:textId="0D5FC5E2" w:rsidR="00F5746C" w:rsidRPr="00116B49" w:rsidRDefault="00F5746C" w:rsidP="00F96D51">
      <w:pPr>
        <w:pStyle w:val="NormalWeb"/>
        <w:spacing w:before="0" w:beforeAutospacing="0" w:after="0" w:afterAutospacing="0"/>
      </w:pPr>
      <w:r w:rsidRPr="00116B49">
        <w:t>SPECA countries’ contributions to global value chains are still dominated by natural resource</w:t>
      </w:r>
      <w:r w:rsidR="00447DF4">
        <w:t xml:space="preserve"> </w:t>
      </w:r>
      <w:r w:rsidRPr="00116B49">
        <w:t>–based products and raw materials. Th</w:t>
      </w:r>
      <w:r w:rsidR="00E92300" w:rsidRPr="00116B49">
        <w:t>e</w:t>
      </w:r>
      <w:r w:rsidRPr="00116B49">
        <w:t xml:space="preserve"> need for </w:t>
      </w:r>
      <w:r w:rsidR="00E92300" w:rsidRPr="00116B49">
        <w:t xml:space="preserve">production and trade </w:t>
      </w:r>
      <w:r w:rsidRPr="00116B49">
        <w:t xml:space="preserve">diversification </w:t>
      </w:r>
      <w:r w:rsidR="00E92300" w:rsidRPr="00116B49">
        <w:t xml:space="preserve">of these economies is huge, in order </w:t>
      </w:r>
      <w:r w:rsidRPr="00116B49">
        <w:t>to secure long-term growth and sustainable development.</w:t>
      </w:r>
    </w:p>
    <w:p w14:paraId="4B5ADD2E" w14:textId="77777777" w:rsidR="00071571" w:rsidRPr="00116B49" w:rsidRDefault="00071571" w:rsidP="00F96D51">
      <w:pPr>
        <w:pStyle w:val="NormalWeb"/>
        <w:spacing w:before="0" w:beforeAutospacing="0" w:after="0" w:afterAutospacing="0"/>
      </w:pPr>
    </w:p>
    <w:p w14:paraId="77E401DA" w14:textId="67ACC6F1" w:rsidR="00071571" w:rsidRDefault="00071571" w:rsidP="00F96D51">
      <w:pPr>
        <w:pStyle w:val="NormalWeb"/>
        <w:spacing w:before="0" w:beforeAutospacing="0" w:after="0" w:afterAutospacing="0"/>
      </w:pPr>
      <w:r w:rsidRPr="00116B49">
        <w:t xml:space="preserve">In order to support sustainable development, the international trading system rules should provide for responsible, environmentally sound trading practices. It is important to integrate sustainable development into trade policy at all </w:t>
      </w:r>
      <w:proofErr w:type="gramStart"/>
      <w:r w:rsidRPr="00116B49">
        <w:t>levels, and</w:t>
      </w:r>
      <w:proofErr w:type="gramEnd"/>
      <w:r w:rsidRPr="00116B49">
        <w:t xml:space="preserve"> try to reach a significant increase in world trade, including enhanced and diversified exports from developing countries, including the </w:t>
      </w:r>
      <w:r w:rsidR="00514016">
        <w:t>SPECA</w:t>
      </w:r>
      <w:r w:rsidRPr="00116B49">
        <w:t xml:space="preserve"> countries. </w:t>
      </w:r>
    </w:p>
    <w:p w14:paraId="16E83A67" w14:textId="77777777" w:rsidR="00447DF4" w:rsidRPr="00116B49" w:rsidRDefault="00447DF4" w:rsidP="00F96D51">
      <w:pPr>
        <w:pStyle w:val="NormalWeb"/>
        <w:spacing w:before="0" w:beforeAutospacing="0" w:after="0" w:afterAutospacing="0"/>
      </w:pPr>
    </w:p>
    <w:p w14:paraId="59DC84B2" w14:textId="77777777" w:rsidR="007955FD" w:rsidRDefault="007955FD" w:rsidP="007955FD">
      <w:pPr>
        <w:pStyle w:val="NormalWeb"/>
        <w:spacing w:before="0" w:beforeAutospacing="0" w:after="0" w:afterAutospacing="0"/>
      </w:pPr>
      <w:r>
        <w:rPr>
          <w:b/>
        </w:rPr>
        <w:t>Principles of sustainable trade</w:t>
      </w:r>
    </w:p>
    <w:p w14:paraId="7BDB739B" w14:textId="77777777" w:rsidR="007955FD" w:rsidRDefault="007955FD" w:rsidP="007955FD">
      <w:pPr>
        <w:pStyle w:val="NormalWeb"/>
        <w:spacing w:before="0" w:beforeAutospacing="0" w:after="0" w:afterAutospacing="0"/>
      </w:pPr>
    </w:p>
    <w:p w14:paraId="2CEF046F" w14:textId="77777777" w:rsidR="007955FD" w:rsidRDefault="007955FD" w:rsidP="007955FD">
      <w:pPr>
        <w:pStyle w:val="NormalWeb"/>
        <w:spacing w:before="0" w:beforeAutospacing="0" w:after="0" w:afterAutospacing="0"/>
      </w:pPr>
      <w:r w:rsidRPr="00116B49">
        <w:t xml:space="preserve">International trade has the potential to bolster the achievement of </w:t>
      </w:r>
      <w:proofErr w:type="gramStart"/>
      <w:r w:rsidRPr="00116B49">
        <w:t>a number of</w:t>
      </w:r>
      <w:proofErr w:type="gramEnd"/>
      <w:r w:rsidRPr="00116B49">
        <w:t xml:space="preserve"> sustainable development objectives</w:t>
      </w:r>
      <w:r>
        <w:t xml:space="preserve">, especially if its development abides by a number of principles that respect the </w:t>
      </w:r>
      <w:proofErr w:type="spellStart"/>
      <w:r>
        <w:t>followng</w:t>
      </w:r>
      <w:proofErr w:type="spellEnd"/>
      <w:r w:rsidRPr="00116B49">
        <w:t xml:space="preserve">: </w:t>
      </w:r>
    </w:p>
    <w:p w14:paraId="6889EB5E" w14:textId="77777777" w:rsidR="007955FD" w:rsidRPr="00116B49" w:rsidRDefault="007955FD" w:rsidP="007955FD">
      <w:pPr>
        <w:pStyle w:val="NormalWeb"/>
        <w:spacing w:before="0" w:beforeAutospacing="0" w:after="0" w:afterAutospacing="0"/>
      </w:pPr>
    </w:p>
    <w:p w14:paraId="1B543785" w14:textId="06EA9EBA" w:rsidR="001057E9" w:rsidRDefault="001057E9" w:rsidP="007955FD">
      <w:pPr>
        <w:pStyle w:val="NormalWeb"/>
        <w:numPr>
          <w:ilvl w:val="0"/>
          <w:numId w:val="2"/>
        </w:numPr>
        <w:spacing w:before="0" w:beforeAutospacing="0" w:after="0" w:afterAutospacing="0"/>
        <w:ind w:left="714" w:hanging="357"/>
      </w:pPr>
      <w:r>
        <w:t>Mainstream trade into national and sector strategies to achieve the SDGs;</w:t>
      </w:r>
    </w:p>
    <w:p w14:paraId="0E175536" w14:textId="518CA2F3" w:rsidR="007955FD" w:rsidRPr="00116B49" w:rsidRDefault="007955FD" w:rsidP="007955FD">
      <w:pPr>
        <w:pStyle w:val="NormalWeb"/>
        <w:numPr>
          <w:ilvl w:val="0"/>
          <w:numId w:val="2"/>
        </w:numPr>
        <w:spacing w:before="0" w:beforeAutospacing="0" w:after="0" w:afterAutospacing="0"/>
        <w:ind w:left="714" w:hanging="357"/>
      </w:pPr>
      <w:r>
        <w:lastRenderedPageBreak/>
        <w:t xml:space="preserve">Encourage </w:t>
      </w:r>
      <w:r w:rsidRPr="00116B49">
        <w:t>long-term investment in productive capacities, including diversification and innovation of production and trade, align</w:t>
      </w:r>
      <w:r>
        <w:t>ing</w:t>
      </w:r>
      <w:r w:rsidRPr="00116B49">
        <w:t xml:space="preserve"> them to the requirements of sustainable development; </w:t>
      </w:r>
    </w:p>
    <w:p w14:paraId="302CA6D9" w14:textId="77777777" w:rsidR="007955FD" w:rsidRPr="00116B49" w:rsidRDefault="007955FD" w:rsidP="007955FD">
      <w:pPr>
        <w:pStyle w:val="NormalWeb"/>
        <w:numPr>
          <w:ilvl w:val="0"/>
          <w:numId w:val="2"/>
        </w:numPr>
        <w:spacing w:before="0" w:beforeAutospacing="0" w:after="0" w:afterAutospacing="0"/>
        <w:ind w:left="714" w:hanging="357"/>
      </w:pPr>
      <w:r>
        <w:t>A</w:t>
      </w:r>
      <w:r w:rsidRPr="00116B49">
        <w:t xml:space="preserve">dopt appropriate regulation, so that trade can facilitate the transition to </w:t>
      </w:r>
      <w:r>
        <w:t xml:space="preserve">more sustainable and equitable growth and to </w:t>
      </w:r>
      <w:r w:rsidRPr="00116B49">
        <w:t>a green economy by fostering the exchange of environmentally preferable goods and services, by increasing resource and energy efficiency, and by generating economic and employment opportunities</w:t>
      </w:r>
      <w:r>
        <w:t xml:space="preserve"> for all</w:t>
      </w:r>
      <w:r w:rsidRPr="00116B49">
        <w:t>;</w:t>
      </w:r>
    </w:p>
    <w:p w14:paraId="3586E91C" w14:textId="1FFC00B8" w:rsidR="00657E5D" w:rsidRDefault="00657E5D" w:rsidP="007955FD">
      <w:pPr>
        <w:pStyle w:val="NormalWeb"/>
        <w:numPr>
          <w:ilvl w:val="0"/>
          <w:numId w:val="2"/>
        </w:numPr>
        <w:spacing w:before="0" w:beforeAutospacing="0" w:after="0" w:afterAutospacing="0"/>
        <w:ind w:left="714" w:hanging="357"/>
      </w:pPr>
      <w:r>
        <w:t xml:space="preserve">Focus on export diversification and value addition; </w:t>
      </w:r>
    </w:p>
    <w:p w14:paraId="3C09AF72" w14:textId="55298958" w:rsidR="007955FD" w:rsidRPr="00116B49" w:rsidRDefault="007955FD" w:rsidP="007955FD">
      <w:pPr>
        <w:pStyle w:val="NormalWeb"/>
        <w:numPr>
          <w:ilvl w:val="0"/>
          <w:numId w:val="2"/>
        </w:numPr>
        <w:spacing w:before="0" w:beforeAutospacing="0" w:after="0" w:afterAutospacing="0"/>
        <w:ind w:left="714" w:hanging="357"/>
      </w:pPr>
      <w:r>
        <w:t xml:space="preserve">Foster </w:t>
      </w:r>
      <w:r w:rsidRPr="00116B49">
        <w:t xml:space="preserve">productive employment and decent work conditions, </w:t>
      </w:r>
      <w:r>
        <w:t xml:space="preserve">through trade policies and practices, </w:t>
      </w:r>
      <w:proofErr w:type="gramStart"/>
      <w:r w:rsidRPr="00116B49">
        <w:t>in order to</w:t>
      </w:r>
      <w:proofErr w:type="gramEnd"/>
      <w:r w:rsidRPr="00116B49">
        <w:t xml:space="preserve"> create jobs and eliminate poverty in all countries;</w:t>
      </w:r>
    </w:p>
    <w:p w14:paraId="5A9C6F5F" w14:textId="77777777" w:rsidR="007955FD" w:rsidRPr="00116B49" w:rsidRDefault="007955FD" w:rsidP="007955FD">
      <w:pPr>
        <w:pStyle w:val="NormalWeb"/>
        <w:numPr>
          <w:ilvl w:val="0"/>
          <w:numId w:val="2"/>
        </w:numPr>
        <w:spacing w:before="0" w:beforeAutospacing="0" w:after="0" w:afterAutospacing="0"/>
        <w:ind w:left="714" w:hanging="357"/>
      </w:pPr>
      <w:r>
        <w:t>R</w:t>
      </w:r>
      <w:r w:rsidRPr="00116B49">
        <w:t>educ</w:t>
      </w:r>
      <w:r>
        <w:t xml:space="preserve">e </w:t>
      </w:r>
      <w:r w:rsidRPr="00116B49">
        <w:t>inequality by letting poorer countries and people accede to markets, investments, new technologies and higher working and living standards;</w:t>
      </w:r>
    </w:p>
    <w:p w14:paraId="3E6969E0" w14:textId="77777777" w:rsidR="007955FD" w:rsidRPr="00116B49" w:rsidRDefault="007955FD" w:rsidP="007955FD">
      <w:pPr>
        <w:pStyle w:val="NormalWeb"/>
        <w:numPr>
          <w:ilvl w:val="0"/>
          <w:numId w:val="2"/>
        </w:numPr>
        <w:spacing w:before="0" w:beforeAutospacing="0" w:after="0" w:afterAutospacing="0"/>
        <w:ind w:left="714" w:hanging="357"/>
      </w:pPr>
      <w:r>
        <w:t xml:space="preserve">Support </w:t>
      </w:r>
      <w:r w:rsidRPr="00116B49">
        <w:t xml:space="preserve">environmental preservation through environmentally sound trading practices, notably by further developing rules for environmentally friendly trade; </w:t>
      </w:r>
    </w:p>
    <w:p w14:paraId="6D0F9276" w14:textId="77777777" w:rsidR="007955FD" w:rsidRPr="00116B49" w:rsidRDefault="007955FD" w:rsidP="007955FD">
      <w:pPr>
        <w:pStyle w:val="NormalWeb"/>
        <w:numPr>
          <w:ilvl w:val="0"/>
          <w:numId w:val="2"/>
        </w:numPr>
        <w:spacing w:before="0" w:beforeAutospacing="0" w:after="0" w:afterAutospacing="0"/>
        <w:ind w:left="714" w:hanging="357"/>
      </w:pPr>
      <w:r>
        <w:t>I</w:t>
      </w:r>
      <w:r w:rsidRPr="00116B49">
        <w:t>dentif</w:t>
      </w:r>
      <w:r>
        <w:t>y</w:t>
      </w:r>
      <w:r w:rsidRPr="00116B49">
        <w:t xml:space="preserve"> and harness trade opportunities associated with transition to a green economy;</w:t>
      </w:r>
    </w:p>
    <w:p w14:paraId="09729BC7" w14:textId="77777777" w:rsidR="007955FD" w:rsidRPr="00116B49" w:rsidRDefault="007955FD" w:rsidP="007955FD">
      <w:pPr>
        <w:pStyle w:val="NormalWeb"/>
        <w:numPr>
          <w:ilvl w:val="0"/>
          <w:numId w:val="2"/>
        </w:numPr>
        <w:spacing w:before="0" w:beforeAutospacing="0" w:after="0" w:afterAutospacing="0"/>
        <w:ind w:left="714" w:hanging="357"/>
      </w:pPr>
      <w:r>
        <w:t>E</w:t>
      </w:r>
      <w:r w:rsidRPr="00116B49">
        <w:t>liminat</w:t>
      </w:r>
      <w:r>
        <w:t>e</w:t>
      </w:r>
      <w:r w:rsidRPr="00116B49">
        <w:t xml:space="preserve"> trade subsidies that negatively affect the environment;</w:t>
      </w:r>
    </w:p>
    <w:p w14:paraId="0CCECBC8" w14:textId="77777777" w:rsidR="007955FD" w:rsidRPr="00116B49" w:rsidRDefault="007955FD" w:rsidP="007955FD">
      <w:pPr>
        <w:pStyle w:val="NormalWeb"/>
        <w:numPr>
          <w:ilvl w:val="0"/>
          <w:numId w:val="2"/>
        </w:numPr>
        <w:spacing w:before="0" w:beforeAutospacing="0" w:after="0" w:afterAutospacing="0"/>
        <w:ind w:left="714" w:hanging="357"/>
      </w:pPr>
      <w:r>
        <w:t xml:space="preserve">Invest in </w:t>
      </w:r>
      <w:r w:rsidRPr="00116B49">
        <w:t>food security by providing access to agricultural products for a larger portion of society, thus offering more, broadly accessible and higher standard food products on the markets;</w:t>
      </w:r>
    </w:p>
    <w:p w14:paraId="746C6AC1" w14:textId="77777777" w:rsidR="007955FD" w:rsidRPr="00116B49" w:rsidRDefault="007955FD" w:rsidP="007955FD">
      <w:pPr>
        <w:pStyle w:val="NormalWeb"/>
        <w:numPr>
          <w:ilvl w:val="0"/>
          <w:numId w:val="2"/>
        </w:numPr>
        <w:spacing w:before="0" w:beforeAutospacing="0" w:after="0" w:afterAutospacing="0"/>
        <w:ind w:left="714" w:hanging="357"/>
      </w:pPr>
      <w:r>
        <w:t>Promote</w:t>
      </w:r>
      <w:r w:rsidRPr="00116B49">
        <w:t xml:space="preserve"> international and regional trade governance frameworks that foster sustainability; integration of national and international initiatives that buil</w:t>
      </w:r>
      <w:r>
        <w:t xml:space="preserve">d up synergies between trade, the </w:t>
      </w:r>
      <w:r w:rsidRPr="00116B49">
        <w:t xml:space="preserve">green economy </w:t>
      </w:r>
      <w:r>
        <w:t>and social inclusion – decent jobs for all</w:t>
      </w:r>
      <w:r w:rsidRPr="00116B49">
        <w:t>;</w:t>
      </w:r>
    </w:p>
    <w:p w14:paraId="08657169" w14:textId="16752750" w:rsidR="001057E9" w:rsidRDefault="00657E5D" w:rsidP="007955FD">
      <w:pPr>
        <w:pStyle w:val="NormalWeb"/>
        <w:numPr>
          <w:ilvl w:val="0"/>
          <w:numId w:val="2"/>
        </w:numPr>
        <w:spacing w:before="0" w:beforeAutospacing="0" w:after="0" w:afterAutospacing="0"/>
        <w:ind w:left="714" w:hanging="357"/>
      </w:pPr>
      <w:r>
        <w:t xml:space="preserve">Promote the multilateral trading system in the SPECA </w:t>
      </w:r>
      <w:proofErr w:type="spellStart"/>
      <w:r>
        <w:t>subregion</w:t>
      </w:r>
      <w:proofErr w:type="spellEnd"/>
      <w:r>
        <w:t xml:space="preserve">, so that international trade rules support sustainability of trade patterns; </w:t>
      </w:r>
    </w:p>
    <w:p w14:paraId="1BAA0D16" w14:textId="35983598" w:rsidR="00657E5D" w:rsidRDefault="00657E5D" w:rsidP="007955FD">
      <w:pPr>
        <w:pStyle w:val="NormalWeb"/>
        <w:numPr>
          <w:ilvl w:val="0"/>
          <w:numId w:val="2"/>
        </w:numPr>
        <w:spacing w:before="0" w:beforeAutospacing="0" w:after="0" w:afterAutospacing="0"/>
        <w:ind w:left="714" w:hanging="357"/>
      </w:pPr>
      <w:r>
        <w:t xml:space="preserve">Ensure that non-tariff measures designed to protect nature, society and the economy do not become barriers to trade; </w:t>
      </w:r>
    </w:p>
    <w:p w14:paraId="7E4869AB" w14:textId="71D80C86" w:rsidR="007955FD" w:rsidRPr="00116B49" w:rsidRDefault="007955FD" w:rsidP="007955FD">
      <w:pPr>
        <w:pStyle w:val="NormalWeb"/>
        <w:numPr>
          <w:ilvl w:val="0"/>
          <w:numId w:val="2"/>
        </w:numPr>
        <w:spacing w:before="0" w:beforeAutospacing="0" w:after="0" w:afterAutospacing="0"/>
        <w:ind w:left="714" w:hanging="357"/>
      </w:pPr>
      <w:r>
        <w:t>D</w:t>
      </w:r>
      <w:r w:rsidRPr="00116B49">
        <w:t>evelop national sustainability standards</w:t>
      </w:r>
      <w:r>
        <w:t xml:space="preserve"> for trade</w:t>
      </w:r>
      <w:r w:rsidRPr="00116B49">
        <w:t xml:space="preserve">, </w:t>
      </w:r>
      <w:r>
        <w:t xml:space="preserve">which are </w:t>
      </w:r>
      <w:r w:rsidRPr="00116B49">
        <w:t>related to international standards and best practices (connecting such standards in exporting and importing countries);</w:t>
      </w:r>
    </w:p>
    <w:p w14:paraId="3B0AB331" w14:textId="77777777" w:rsidR="007955FD" w:rsidRPr="00116B49" w:rsidRDefault="007955FD" w:rsidP="007955FD">
      <w:pPr>
        <w:pStyle w:val="NormalWeb"/>
        <w:numPr>
          <w:ilvl w:val="0"/>
          <w:numId w:val="2"/>
        </w:numPr>
        <w:spacing w:before="0" w:beforeAutospacing="0" w:after="0" w:afterAutospacing="0"/>
        <w:ind w:left="714" w:hanging="357"/>
      </w:pPr>
      <w:r>
        <w:t xml:space="preserve">Encourage </w:t>
      </w:r>
      <w:r w:rsidRPr="00116B49">
        <w:t>new forms of public-private partnership</w:t>
      </w:r>
      <w:r>
        <w:t>s</w:t>
      </w:r>
      <w:r w:rsidRPr="00116B49">
        <w:t xml:space="preserve"> to support the parallel advancement of trade and the green economy; </w:t>
      </w:r>
    </w:p>
    <w:p w14:paraId="24893233" w14:textId="77777777" w:rsidR="007955FD" w:rsidRPr="00116B49" w:rsidRDefault="007955FD" w:rsidP="007955FD">
      <w:pPr>
        <w:pStyle w:val="NormalWeb"/>
        <w:numPr>
          <w:ilvl w:val="0"/>
          <w:numId w:val="2"/>
        </w:numPr>
        <w:spacing w:before="0" w:beforeAutospacing="0" w:after="0" w:afterAutospacing="0"/>
        <w:ind w:left="714" w:hanging="357"/>
      </w:pPr>
      <w:r>
        <w:t>Further women’s empowerment,</w:t>
      </w:r>
      <w:r w:rsidRPr="00116B49">
        <w:t xml:space="preserve"> increasingly involving women in managing trade operations</w:t>
      </w:r>
      <w:r>
        <w:t xml:space="preserve"> and the advancement of sustainable trade</w:t>
      </w:r>
      <w:r w:rsidRPr="00116B49">
        <w:t>;</w:t>
      </w:r>
    </w:p>
    <w:p w14:paraId="3E57885F" w14:textId="77777777" w:rsidR="007955FD" w:rsidRPr="00116B49" w:rsidRDefault="007955FD" w:rsidP="007955FD">
      <w:pPr>
        <w:pStyle w:val="NormalWeb"/>
        <w:numPr>
          <w:ilvl w:val="0"/>
          <w:numId w:val="2"/>
        </w:numPr>
        <w:spacing w:before="0" w:beforeAutospacing="0" w:after="0" w:afterAutospacing="0"/>
        <w:ind w:left="714" w:hanging="357"/>
      </w:pPr>
      <w:r>
        <w:t xml:space="preserve">Advance </w:t>
      </w:r>
      <w:r w:rsidRPr="00116B49">
        <w:t>the development of financing mechanisms to support the shift to green trade, including capacity-building for the public and private sectors; and</w:t>
      </w:r>
    </w:p>
    <w:p w14:paraId="3F17870B" w14:textId="7B1C4A7A" w:rsidR="007955FD" w:rsidRDefault="007955FD" w:rsidP="007955FD">
      <w:pPr>
        <w:pStyle w:val="NormalWeb"/>
        <w:numPr>
          <w:ilvl w:val="0"/>
          <w:numId w:val="2"/>
        </w:numPr>
        <w:spacing w:before="0" w:beforeAutospacing="0" w:after="0" w:afterAutospacing="0"/>
        <w:ind w:left="714" w:hanging="357"/>
      </w:pPr>
      <w:r>
        <w:t xml:space="preserve">Cultivate a new ethics in the trading community that would support the </w:t>
      </w:r>
      <w:r w:rsidRPr="00116B49">
        <w:t xml:space="preserve">overall achievement of the sustainable development goals. </w:t>
      </w:r>
    </w:p>
    <w:p w14:paraId="07622C06" w14:textId="47A12460" w:rsidR="00657E5D" w:rsidRDefault="00657E5D" w:rsidP="007955FD">
      <w:pPr>
        <w:pStyle w:val="NormalWeb"/>
        <w:numPr>
          <w:ilvl w:val="0"/>
          <w:numId w:val="2"/>
        </w:numPr>
        <w:spacing w:before="0" w:beforeAutospacing="0" w:after="0" w:afterAutospacing="0"/>
        <w:ind w:left="714" w:hanging="357"/>
      </w:pPr>
      <w:r>
        <w:t>Make e-commerce a force for inclusion</w:t>
      </w:r>
    </w:p>
    <w:p w14:paraId="0BFD55BD" w14:textId="23B440E0" w:rsidR="00657E5D" w:rsidRPr="00116B49" w:rsidRDefault="00657E5D" w:rsidP="007955FD">
      <w:pPr>
        <w:pStyle w:val="NormalWeb"/>
        <w:numPr>
          <w:ilvl w:val="0"/>
          <w:numId w:val="2"/>
        </w:numPr>
        <w:spacing w:before="0" w:beforeAutospacing="0" w:after="0" w:afterAutospacing="0"/>
        <w:ind w:left="714" w:hanging="357"/>
      </w:pPr>
      <w:r>
        <w:t xml:space="preserve">Support micro, small and medium sized </w:t>
      </w:r>
      <w:proofErr w:type="spellStart"/>
      <w:r>
        <w:t>enterprizes</w:t>
      </w:r>
      <w:proofErr w:type="spellEnd"/>
      <w:r>
        <w:t xml:space="preserve"> to engage in international trade. </w:t>
      </w:r>
    </w:p>
    <w:p w14:paraId="188AA056" w14:textId="77777777" w:rsidR="00071571" w:rsidRPr="00116B49" w:rsidRDefault="00071571" w:rsidP="00F96D51">
      <w:pPr>
        <w:pStyle w:val="NormalWeb"/>
        <w:spacing w:before="0" w:beforeAutospacing="0" w:after="0" w:afterAutospacing="0"/>
      </w:pPr>
    </w:p>
    <w:p w14:paraId="1935AF3A" w14:textId="77777777" w:rsidR="00071571" w:rsidRPr="00116B49" w:rsidRDefault="00071571" w:rsidP="00F96D51">
      <w:pPr>
        <w:pStyle w:val="NormalWeb"/>
        <w:spacing w:before="0" w:beforeAutospacing="0" w:after="0" w:afterAutospacing="0"/>
        <w:rPr>
          <w:b/>
          <w:bCs/>
        </w:rPr>
      </w:pPr>
      <w:r w:rsidRPr="00116B49">
        <w:rPr>
          <w:b/>
          <w:bCs/>
        </w:rPr>
        <w:t xml:space="preserve">Areas for further work </w:t>
      </w:r>
      <w:r w:rsidR="002D6665" w:rsidRPr="00116B49">
        <w:rPr>
          <w:b/>
          <w:bCs/>
        </w:rPr>
        <w:t>in the SPECA setting</w:t>
      </w:r>
    </w:p>
    <w:p w14:paraId="3B900F73" w14:textId="77777777" w:rsidR="00F96D51" w:rsidRPr="00116B49" w:rsidRDefault="00F96D51" w:rsidP="00F96D51">
      <w:pPr>
        <w:pStyle w:val="NormalWeb"/>
        <w:spacing w:before="0" w:beforeAutospacing="0" w:after="0" w:afterAutospacing="0"/>
      </w:pPr>
    </w:p>
    <w:p w14:paraId="20AD7E47" w14:textId="6A59BB78" w:rsidR="00A10E22" w:rsidRDefault="00A10E22" w:rsidP="00F96D51">
      <w:pPr>
        <w:pStyle w:val="NormalWeb"/>
        <w:spacing w:before="0" w:beforeAutospacing="0" w:after="0" w:afterAutospacing="0"/>
      </w:pPr>
      <w:r w:rsidRPr="00116B49">
        <w:t xml:space="preserve">Bringing together trade and sustainable development will not come by itself. It needs purposeful analysis of current development </w:t>
      </w:r>
      <w:r w:rsidR="003D6DE2" w:rsidRPr="00116B49">
        <w:t xml:space="preserve">approaches </w:t>
      </w:r>
      <w:r w:rsidRPr="00116B49">
        <w:t xml:space="preserve">and incorporating </w:t>
      </w:r>
      <w:r w:rsidR="003D6DE2" w:rsidRPr="00116B49">
        <w:t>a</w:t>
      </w:r>
      <w:r w:rsidRPr="00116B49">
        <w:t xml:space="preserve"> </w:t>
      </w:r>
      <w:r w:rsidR="003D6DE2" w:rsidRPr="00116B49">
        <w:t xml:space="preserve">sustainable development mind set into current work on trade development priorities. Several </w:t>
      </w:r>
      <w:r w:rsidR="00186AAC" w:rsidRPr="00116B49">
        <w:t xml:space="preserve">priority </w:t>
      </w:r>
      <w:r w:rsidR="003D6DE2" w:rsidRPr="00116B49">
        <w:t>areas</w:t>
      </w:r>
      <w:r w:rsidR="00071571" w:rsidRPr="00116B49">
        <w:t xml:space="preserve">, which can be taken up in the SPECA framework, </w:t>
      </w:r>
      <w:r w:rsidR="003D6DE2" w:rsidRPr="00116B49">
        <w:t xml:space="preserve">include: </w:t>
      </w:r>
    </w:p>
    <w:p w14:paraId="0F79E3E8" w14:textId="77777777" w:rsidR="00116B49" w:rsidRPr="00116B49" w:rsidRDefault="00116B49" w:rsidP="00F96D51">
      <w:pPr>
        <w:pStyle w:val="NormalWeb"/>
        <w:spacing w:before="0" w:beforeAutospacing="0" w:after="0" w:afterAutospacing="0"/>
      </w:pPr>
    </w:p>
    <w:p w14:paraId="3AD238EB" w14:textId="0DF0911B" w:rsidR="003D6DE2" w:rsidRPr="00116B49" w:rsidRDefault="00B91554" w:rsidP="00F96D51">
      <w:pPr>
        <w:pStyle w:val="NormalWeb"/>
        <w:numPr>
          <w:ilvl w:val="0"/>
          <w:numId w:val="3"/>
        </w:numPr>
        <w:tabs>
          <w:tab w:val="left" w:pos="284"/>
        </w:tabs>
        <w:spacing w:before="0" w:beforeAutospacing="0" w:after="0" w:afterAutospacing="0"/>
        <w:ind w:left="0" w:firstLine="0"/>
      </w:pPr>
      <w:r w:rsidRPr="00116B49">
        <w:rPr>
          <w:b/>
          <w:bCs/>
        </w:rPr>
        <w:t xml:space="preserve">Trade </w:t>
      </w:r>
      <w:r w:rsidR="003D6DE2" w:rsidRPr="00116B49">
        <w:rPr>
          <w:b/>
          <w:bCs/>
        </w:rPr>
        <w:t>facilitation</w:t>
      </w:r>
      <w:r w:rsidR="003D6DE2" w:rsidRPr="00116B49">
        <w:t xml:space="preserve"> and liberalization suppose</w:t>
      </w:r>
      <w:r w:rsidRPr="00116B49">
        <w:t xml:space="preserve"> the integration of countries and their companies in i</w:t>
      </w:r>
      <w:r w:rsidR="00A10E22" w:rsidRPr="00116B49">
        <w:t xml:space="preserve">nternational supply chains; </w:t>
      </w:r>
      <w:r w:rsidRPr="00116B49">
        <w:t xml:space="preserve">the facilitation </w:t>
      </w:r>
      <w:r w:rsidR="00A10E22" w:rsidRPr="00116B49">
        <w:t xml:space="preserve">of movements of goods across borders, which </w:t>
      </w:r>
      <w:r w:rsidR="00A10E22" w:rsidRPr="00116B49">
        <w:lastRenderedPageBreak/>
        <w:t>would save precious resources for society that are otherwise wasted in bureaucratic procedures; together with raising the efficiency of official controls necessary for the protection of society. L</w:t>
      </w:r>
      <w:r w:rsidRPr="00116B49">
        <w:t xml:space="preserve">ong-term investment in productive capacities </w:t>
      </w:r>
      <w:r w:rsidR="00A10E22" w:rsidRPr="00116B49">
        <w:t xml:space="preserve">in the </w:t>
      </w:r>
      <w:r w:rsidR="007955FD">
        <w:t>SPECA</w:t>
      </w:r>
      <w:r w:rsidR="00A10E22" w:rsidRPr="00116B49">
        <w:t xml:space="preserve"> countries would go </w:t>
      </w:r>
      <w:proofErr w:type="gramStart"/>
      <w:r w:rsidR="00A10E22" w:rsidRPr="00116B49">
        <w:t>hand-in-hand</w:t>
      </w:r>
      <w:proofErr w:type="gramEnd"/>
      <w:r w:rsidR="00A10E22" w:rsidRPr="00116B49">
        <w:t xml:space="preserve"> with </w:t>
      </w:r>
      <w:r w:rsidRPr="00116B49">
        <w:t>diversification and innovation</w:t>
      </w:r>
      <w:r w:rsidR="00186AAC" w:rsidRPr="00116B49">
        <w:t xml:space="preserve"> that take sustainable development into account, as well as </w:t>
      </w:r>
      <w:r w:rsidR="00AA06C0" w:rsidRPr="00116B49">
        <w:t xml:space="preserve">removal of trans-boundary </w:t>
      </w:r>
      <w:r w:rsidR="00186AAC" w:rsidRPr="00116B49">
        <w:t xml:space="preserve">procedural barriers to trade, so that a regional market and regional supply chains can form. </w:t>
      </w:r>
      <w:r w:rsidR="00D02E02" w:rsidRPr="00116B49">
        <w:t xml:space="preserve">At the same time trade facilitation and paperless trade should take into account the need to protect the environment; create new jobs; and foster such innovation that would lead to more decent jobs and poverty reduction. </w:t>
      </w:r>
    </w:p>
    <w:p w14:paraId="2DDE6205" w14:textId="77777777" w:rsidR="00071571" w:rsidRPr="00116B49" w:rsidRDefault="00071571" w:rsidP="00F96D51">
      <w:pPr>
        <w:pStyle w:val="NormalWeb"/>
        <w:tabs>
          <w:tab w:val="left" w:pos="284"/>
        </w:tabs>
        <w:spacing w:before="0" w:beforeAutospacing="0" w:after="0" w:afterAutospacing="0"/>
        <w:rPr>
          <w:b/>
          <w:bCs/>
        </w:rPr>
      </w:pPr>
    </w:p>
    <w:p w14:paraId="47631AB4" w14:textId="77777777" w:rsidR="009A7DCE" w:rsidRPr="00116B49" w:rsidRDefault="00071571" w:rsidP="00F96D51">
      <w:pPr>
        <w:pStyle w:val="NormalWeb"/>
        <w:tabs>
          <w:tab w:val="left" w:pos="284"/>
        </w:tabs>
        <w:spacing w:before="0" w:beforeAutospacing="0" w:after="0" w:afterAutospacing="0"/>
      </w:pPr>
      <w:r w:rsidRPr="00116B49">
        <w:t>T</w:t>
      </w:r>
      <w:r w:rsidR="009A7DCE" w:rsidRPr="00116B49">
        <w:t xml:space="preserve">rade facilitation (including the implementation of the WTO Trade Facilitation Agreement </w:t>
      </w:r>
      <w:r w:rsidRPr="00116B49">
        <w:t xml:space="preserve">by </w:t>
      </w:r>
      <w:r w:rsidR="009A7DCE" w:rsidRPr="00116B49">
        <w:t xml:space="preserve">members </w:t>
      </w:r>
      <w:r w:rsidRPr="00116B49">
        <w:t xml:space="preserve">or aspiring members </w:t>
      </w:r>
      <w:r w:rsidR="009A7DCE" w:rsidRPr="00116B49">
        <w:t>of the WTO) on green trade can</w:t>
      </w:r>
      <w:r w:rsidRPr="00116B49">
        <w:t xml:space="preserve"> have the following </w:t>
      </w:r>
      <w:r w:rsidRPr="00116B49">
        <w:rPr>
          <w:b/>
          <w:bCs/>
        </w:rPr>
        <w:t>impact</w:t>
      </w:r>
      <w:r w:rsidR="009A7DCE" w:rsidRPr="00116B49">
        <w:t>:</w:t>
      </w:r>
    </w:p>
    <w:p w14:paraId="400450C5" w14:textId="77777777" w:rsidR="009A7DCE" w:rsidRPr="00116B49" w:rsidRDefault="009A7DCE" w:rsidP="00F96D51">
      <w:pPr>
        <w:pStyle w:val="ListParagraph"/>
        <w:numPr>
          <w:ilvl w:val="0"/>
          <w:numId w:val="8"/>
        </w:numPr>
        <w:spacing w:after="0" w:line="240" w:lineRule="auto"/>
        <w:rPr>
          <w:rFonts w:ascii="Times New Roman" w:hAnsi="Times New Roman" w:cs="Times New Roman"/>
          <w:sz w:val="24"/>
          <w:szCs w:val="24"/>
        </w:rPr>
      </w:pPr>
      <w:r w:rsidRPr="00116B49">
        <w:rPr>
          <w:rFonts w:ascii="Times New Roman" w:hAnsi="Times New Roman" w:cs="Times New Roman"/>
          <w:sz w:val="24"/>
          <w:szCs w:val="24"/>
        </w:rPr>
        <w:t>increase efficiency</w:t>
      </w:r>
      <w:r w:rsidR="00071571" w:rsidRPr="00116B49">
        <w:rPr>
          <w:rFonts w:ascii="Times New Roman" w:hAnsi="Times New Roman" w:cs="Times New Roman"/>
          <w:sz w:val="24"/>
          <w:szCs w:val="24"/>
        </w:rPr>
        <w:t xml:space="preserve"> and </w:t>
      </w:r>
      <w:r w:rsidRPr="00116B49">
        <w:rPr>
          <w:rFonts w:ascii="Times New Roman" w:hAnsi="Times New Roman" w:cs="Times New Roman"/>
          <w:sz w:val="24"/>
          <w:szCs w:val="24"/>
        </w:rPr>
        <w:t xml:space="preserve">reduce </w:t>
      </w:r>
      <w:r w:rsidR="00071571" w:rsidRPr="00116B49">
        <w:rPr>
          <w:rFonts w:ascii="Times New Roman" w:hAnsi="Times New Roman" w:cs="Times New Roman"/>
          <w:sz w:val="24"/>
          <w:szCs w:val="24"/>
        </w:rPr>
        <w:t xml:space="preserve">costs, </w:t>
      </w:r>
      <w:r w:rsidRPr="00116B49">
        <w:rPr>
          <w:rFonts w:ascii="Times New Roman" w:hAnsi="Times New Roman" w:cs="Times New Roman"/>
          <w:sz w:val="24"/>
          <w:szCs w:val="24"/>
        </w:rPr>
        <w:t xml:space="preserve">waste and negative environmental impacts, saving precious human and natural resources for better use </w:t>
      </w:r>
      <w:r w:rsidR="00071571" w:rsidRPr="00116B49">
        <w:rPr>
          <w:rFonts w:ascii="Times New Roman" w:hAnsi="Times New Roman" w:cs="Times New Roman"/>
          <w:sz w:val="24"/>
          <w:szCs w:val="24"/>
        </w:rPr>
        <w:t xml:space="preserve">by </w:t>
      </w:r>
      <w:r w:rsidRPr="00116B49">
        <w:rPr>
          <w:rFonts w:ascii="Times New Roman" w:hAnsi="Times New Roman" w:cs="Times New Roman"/>
          <w:sz w:val="24"/>
          <w:szCs w:val="24"/>
        </w:rPr>
        <w:t>society;</w:t>
      </w:r>
    </w:p>
    <w:p w14:paraId="009B6632" w14:textId="78FDC909" w:rsidR="009A7DCE" w:rsidRPr="00116B49" w:rsidRDefault="00071571" w:rsidP="00F96D51">
      <w:pPr>
        <w:pStyle w:val="ListParagraph"/>
        <w:numPr>
          <w:ilvl w:val="0"/>
          <w:numId w:val="8"/>
        </w:numPr>
        <w:spacing w:after="0" w:line="240" w:lineRule="auto"/>
        <w:rPr>
          <w:rFonts w:ascii="Times New Roman" w:hAnsi="Times New Roman" w:cs="Times New Roman"/>
          <w:sz w:val="24"/>
          <w:szCs w:val="24"/>
        </w:rPr>
      </w:pPr>
      <w:r w:rsidRPr="00116B49">
        <w:rPr>
          <w:rFonts w:ascii="Times New Roman" w:hAnsi="Times New Roman" w:cs="Times New Roman"/>
          <w:sz w:val="24"/>
          <w:szCs w:val="24"/>
        </w:rPr>
        <w:t>i</w:t>
      </w:r>
      <w:r w:rsidR="009A7DCE" w:rsidRPr="00116B49">
        <w:rPr>
          <w:rFonts w:ascii="Times New Roman" w:hAnsi="Times New Roman" w:cs="Times New Roman"/>
          <w:sz w:val="24"/>
          <w:szCs w:val="24"/>
        </w:rPr>
        <w:t xml:space="preserve">mprove border control procedures </w:t>
      </w:r>
      <w:r w:rsidR="00F96D51" w:rsidRPr="00116B49">
        <w:rPr>
          <w:rFonts w:ascii="Times New Roman" w:hAnsi="Times New Roman" w:cs="Times New Roman"/>
          <w:sz w:val="24"/>
          <w:szCs w:val="24"/>
        </w:rPr>
        <w:t xml:space="preserve">by </w:t>
      </w:r>
      <w:r w:rsidR="009A7DCE" w:rsidRPr="00116B49">
        <w:rPr>
          <w:rFonts w:ascii="Times New Roman" w:hAnsi="Times New Roman" w:cs="Times New Roman"/>
          <w:sz w:val="24"/>
          <w:szCs w:val="24"/>
        </w:rPr>
        <w:t>simplif</w:t>
      </w:r>
      <w:r w:rsidR="00F96D51" w:rsidRPr="00116B49">
        <w:rPr>
          <w:rFonts w:ascii="Times New Roman" w:hAnsi="Times New Roman" w:cs="Times New Roman"/>
          <w:sz w:val="24"/>
          <w:szCs w:val="24"/>
        </w:rPr>
        <w:t>ying</w:t>
      </w:r>
      <w:r w:rsidR="009A7DCE" w:rsidRPr="00116B49">
        <w:rPr>
          <w:rFonts w:ascii="Times New Roman" w:hAnsi="Times New Roman" w:cs="Times New Roman"/>
          <w:sz w:val="24"/>
          <w:szCs w:val="24"/>
        </w:rPr>
        <w:t>, harmonizin</w:t>
      </w:r>
      <w:r w:rsidR="00F96D51" w:rsidRPr="00116B49">
        <w:rPr>
          <w:rFonts w:ascii="Times New Roman" w:hAnsi="Times New Roman" w:cs="Times New Roman"/>
          <w:sz w:val="24"/>
          <w:szCs w:val="24"/>
        </w:rPr>
        <w:t>g</w:t>
      </w:r>
      <w:r w:rsidR="009A7DCE" w:rsidRPr="00116B49">
        <w:rPr>
          <w:rFonts w:ascii="Times New Roman" w:hAnsi="Times New Roman" w:cs="Times New Roman"/>
          <w:sz w:val="24"/>
          <w:szCs w:val="24"/>
        </w:rPr>
        <w:t>, standardizin</w:t>
      </w:r>
      <w:r w:rsidR="00F96D51" w:rsidRPr="00116B49">
        <w:rPr>
          <w:rFonts w:ascii="Times New Roman" w:hAnsi="Times New Roman" w:cs="Times New Roman"/>
          <w:sz w:val="24"/>
          <w:szCs w:val="24"/>
        </w:rPr>
        <w:t>g</w:t>
      </w:r>
      <w:r w:rsidR="009A7DCE" w:rsidRPr="00116B49">
        <w:rPr>
          <w:rFonts w:ascii="Times New Roman" w:hAnsi="Times New Roman" w:cs="Times New Roman"/>
          <w:sz w:val="24"/>
          <w:szCs w:val="24"/>
        </w:rPr>
        <w:t xml:space="preserve"> and automatin</w:t>
      </w:r>
      <w:r w:rsidR="00F96D51" w:rsidRPr="00116B49">
        <w:rPr>
          <w:rFonts w:ascii="Times New Roman" w:hAnsi="Times New Roman" w:cs="Times New Roman"/>
          <w:sz w:val="24"/>
          <w:szCs w:val="24"/>
        </w:rPr>
        <w:t>g them, reduc</w:t>
      </w:r>
      <w:r w:rsidR="009A7DCE" w:rsidRPr="00116B49">
        <w:rPr>
          <w:rFonts w:ascii="Times New Roman" w:hAnsi="Times New Roman" w:cs="Times New Roman"/>
          <w:sz w:val="24"/>
          <w:szCs w:val="24"/>
        </w:rPr>
        <w:t>in</w:t>
      </w:r>
      <w:r w:rsidR="00F96D51" w:rsidRPr="00116B49">
        <w:rPr>
          <w:rFonts w:ascii="Times New Roman" w:hAnsi="Times New Roman" w:cs="Times New Roman"/>
          <w:sz w:val="24"/>
          <w:szCs w:val="24"/>
        </w:rPr>
        <w:t>g</w:t>
      </w:r>
      <w:r w:rsidR="009A7DCE" w:rsidRPr="00116B49">
        <w:rPr>
          <w:rFonts w:ascii="Times New Roman" w:hAnsi="Times New Roman" w:cs="Times New Roman"/>
          <w:sz w:val="24"/>
          <w:szCs w:val="24"/>
        </w:rPr>
        <w:t xml:space="preserve"> delays and rejections of goods at the border</w:t>
      </w:r>
      <w:r w:rsidR="00F96D51" w:rsidRPr="00116B49">
        <w:rPr>
          <w:rFonts w:ascii="Times New Roman" w:hAnsi="Times New Roman" w:cs="Times New Roman"/>
          <w:sz w:val="24"/>
          <w:szCs w:val="24"/>
        </w:rPr>
        <w:t>, enabling</w:t>
      </w:r>
      <w:r w:rsidR="009A7DCE" w:rsidRPr="00116B49">
        <w:rPr>
          <w:rFonts w:ascii="Times New Roman" w:hAnsi="Times New Roman" w:cs="Times New Roman"/>
          <w:sz w:val="24"/>
          <w:szCs w:val="24"/>
        </w:rPr>
        <w:t xml:space="preserve"> trade operators to bring their goods to the destination markets </w:t>
      </w:r>
      <w:r w:rsidR="00F96D51" w:rsidRPr="00116B49">
        <w:rPr>
          <w:rFonts w:ascii="Times New Roman" w:hAnsi="Times New Roman" w:cs="Times New Roman"/>
          <w:sz w:val="24"/>
          <w:szCs w:val="24"/>
        </w:rPr>
        <w:t xml:space="preserve">faster </w:t>
      </w:r>
      <w:r w:rsidR="009A7DCE" w:rsidRPr="00116B49">
        <w:rPr>
          <w:rFonts w:ascii="Times New Roman" w:hAnsi="Times New Roman" w:cs="Times New Roman"/>
          <w:sz w:val="24"/>
          <w:szCs w:val="24"/>
        </w:rPr>
        <w:t>and sell them, rather than having them delayed, turned back or, in the ca</w:t>
      </w:r>
      <w:r w:rsidR="00447DF4">
        <w:rPr>
          <w:rFonts w:ascii="Times New Roman" w:hAnsi="Times New Roman" w:cs="Times New Roman"/>
          <w:sz w:val="24"/>
          <w:szCs w:val="24"/>
        </w:rPr>
        <w:t>se of perishable goods, spoiled;</w:t>
      </w:r>
      <w:r w:rsidR="009A7DCE" w:rsidRPr="00116B49">
        <w:rPr>
          <w:rFonts w:ascii="Times New Roman" w:hAnsi="Times New Roman" w:cs="Times New Roman"/>
          <w:sz w:val="24"/>
          <w:szCs w:val="24"/>
        </w:rPr>
        <w:t xml:space="preserve"> </w:t>
      </w:r>
    </w:p>
    <w:p w14:paraId="64AC2A5C" w14:textId="32C91649" w:rsidR="009A7DCE" w:rsidRPr="00116B49" w:rsidRDefault="00F96D51" w:rsidP="00F96D51">
      <w:pPr>
        <w:pStyle w:val="ListParagraph"/>
        <w:numPr>
          <w:ilvl w:val="0"/>
          <w:numId w:val="8"/>
        </w:numPr>
        <w:spacing w:after="0" w:line="240" w:lineRule="auto"/>
        <w:rPr>
          <w:rFonts w:ascii="Times New Roman" w:hAnsi="Times New Roman" w:cs="Times New Roman"/>
          <w:sz w:val="24"/>
          <w:szCs w:val="24"/>
        </w:rPr>
      </w:pPr>
      <w:r w:rsidRPr="00116B49">
        <w:rPr>
          <w:rFonts w:ascii="Times New Roman" w:hAnsi="Times New Roman" w:cs="Times New Roman"/>
          <w:sz w:val="24"/>
          <w:szCs w:val="24"/>
        </w:rPr>
        <w:t xml:space="preserve">streamline </w:t>
      </w:r>
      <w:r w:rsidR="009A7DCE" w:rsidRPr="00116B49">
        <w:rPr>
          <w:rFonts w:ascii="Times New Roman" w:hAnsi="Times New Roman" w:cs="Times New Roman"/>
          <w:sz w:val="24"/>
          <w:szCs w:val="24"/>
        </w:rPr>
        <w:t>procedures</w:t>
      </w:r>
      <w:r w:rsidRPr="00116B49">
        <w:rPr>
          <w:rFonts w:ascii="Times New Roman" w:hAnsi="Times New Roman" w:cs="Times New Roman"/>
          <w:sz w:val="24"/>
          <w:szCs w:val="24"/>
        </w:rPr>
        <w:t>, thus</w:t>
      </w:r>
      <w:r w:rsidR="009A7DCE" w:rsidRPr="00116B49">
        <w:rPr>
          <w:rFonts w:ascii="Times New Roman" w:hAnsi="Times New Roman" w:cs="Times New Roman"/>
          <w:sz w:val="24"/>
          <w:szCs w:val="24"/>
        </w:rPr>
        <w:t xml:space="preserve"> avoiding wasted </w:t>
      </w:r>
      <w:r w:rsidR="00401B96" w:rsidRPr="00116B49">
        <w:rPr>
          <w:rFonts w:ascii="Times New Roman" w:hAnsi="Times New Roman" w:cs="Times New Roman"/>
          <w:sz w:val="24"/>
          <w:szCs w:val="24"/>
        </w:rPr>
        <w:t xml:space="preserve">paper, </w:t>
      </w:r>
      <w:r w:rsidR="009A7DCE" w:rsidRPr="00116B49">
        <w:rPr>
          <w:rFonts w:ascii="Times New Roman" w:hAnsi="Times New Roman" w:cs="Times New Roman"/>
          <w:sz w:val="24"/>
          <w:szCs w:val="24"/>
        </w:rPr>
        <w:t>gasoline</w:t>
      </w:r>
      <w:r w:rsidR="00401B96" w:rsidRPr="00116B49">
        <w:rPr>
          <w:rFonts w:ascii="Times New Roman" w:hAnsi="Times New Roman" w:cs="Times New Roman"/>
          <w:sz w:val="24"/>
          <w:szCs w:val="24"/>
        </w:rPr>
        <w:t xml:space="preserve"> and inputs used for the production of goods,</w:t>
      </w:r>
      <w:r w:rsidR="009A7DCE" w:rsidRPr="00116B49">
        <w:rPr>
          <w:rFonts w:ascii="Times New Roman" w:hAnsi="Times New Roman" w:cs="Times New Roman"/>
          <w:sz w:val="24"/>
          <w:szCs w:val="24"/>
        </w:rPr>
        <w:t xml:space="preserve"> </w:t>
      </w:r>
      <w:r w:rsidRPr="00116B49">
        <w:rPr>
          <w:rFonts w:ascii="Times New Roman" w:hAnsi="Times New Roman" w:cs="Times New Roman"/>
          <w:sz w:val="24"/>
          <w:szCs w:val="24"/>
        </w:rPr>
        <w:t xml:space="preserve">including reduction of </w:t>
      </w:r>
      <w:r w:rsidR="00447DF4">
        <w:rPr>
          <w:rFonts w:ascii="Times New Roman" w:hAnsi="Times New Roman" w:cs="Times New Roman"/>
          <w:sz w:val="24"/>
          <w:szCs w:val="24"/>
        </w:rPr>
        <w:t>pollution from idling trucks;</w:t>
      </w:r>
    </w:p>
    <w:p w14:paraId="3BE1ECFB" w14:textId="77777777" w:rsidR="009A7DCE" w:rsidRPr="00116B49" w:rsidRDefault="009A7DCE" w:rsidP="00F96D51">
      <w:pPr>
        <w:pStyle w:val="ListParagraph"/>
        <w:numPr>
          <w:ilvl w:val="0"/>
          <w:numId w:val="8"/>
        </w:numPr>
        <w:spacing w:after="0" w:line="240" w:lineRule="auto"/>
        <w:ind w:left="714" w:hanging="357"/>
        <w:rPr>
          <w:rFonts w:ascii="Times New Roman" w:hAnsi="Times New Roman" w:cs="Times New Roman"/>
          <w:sz w:val="24"/>
          <w:szCs w:val="24"/>
        </w:rPr>
      </w:pPr>
      <w:r w:rsidRPr="00116B49">
        <w:rPr>
          <w:rFonts w:ascii="Times New Roman" w:hAnsi="Times New Roman" w:cs="Times New Roman"/>
          <w:sz w:val="24"/>
          <w:szCs w:val="24"/>
        </w:rPr>
        <w:t>allow for increased trade in environmental goods, services and technology</w:t>
      </w:r>
      <w:r w:rsidR="00401B96" w:rsidRPr="00116B49">
        <w:rPr>
          <w:rFonts w:ascii="Times New Roman" w:hAnsi="Times New Roman" w:cs="Times New Roman"/>
          <w:sz w:val="24"/>
          <w:szCs w:val="24"/>
        </w:rPr>
        <w:t xml:space="preserve">, access to which should be facilitated </w:t>
      </w:r>
      <w:r w:rsidR="008C09CC" w:rsidRPr="00116B49">
        <w:rPr>
          <w:rFonts w:ascii="Times New Roman" w:hAnsi="Times New Roman" w:cs="Times New Roman"/>
          <w:sz w:val="24"/>
          <w:szCs w:val="24"/>
        </w:rPr>
        <w:t xml:space="preserve">in compliance with </w:t>
      </w:r>
      <w:r w:rsidR="00401B96" w:rsidRPr="00116B49">
        <w:rPr>
          <w:rFonts w:ascii="Times New Roman" w:hAnsi="Times New Roman" w:cs="Times New Roman"/>
          <w:sz w:val="24"/>
          <w:szCs w:val="24"/>
        </w:rPr>
        <w:t>the Sustainable Develo</w:t>
      </w:r>
      <w:r w:rsidR="00F96D51" w:rsidRPr="00116B49">
        <w:rPr>
          <w:rFonts w:ascii="Times New Roman" w:hAnsi="Times New Roman" w:cs="Times New Roman"/>
          <w:sz w:val="24"/>
          <w:szCs w:val="24"/>
        </w:rPr>
        <w:t>p</w:t>
      </w:r>
      <w:r w:rsidR="00401B96" w:rsidRPr="00116B49">
        <w:rPr>
          <w:rFonts w:ascii="Times New Roman" w:hAnsi="Times New Roman" w:cs="Times New Roman"/>
          <w:sz w:val="24"/>
          <w:szCs w:val="24"/>
        </w:rPr>
        <w:t xml:space="preserve">ment Agenda, </w:t>
      </w:r>
      <w:r w:rsidRPr="00116B49">
        <w:rPr>
          <w:rFonts w:ascii="Times New Roman" w:hAnsi="Times New Roman" w:cs="Times New Roman"/>
          <w:sz w:val="24"/>
          <w:szCs w:val="24"/>
        </w:rPr>
        <w:t xml:space="preserve">leading to better deployment of renewable energy technologies. In combination with </w:t>
      </w:r>
      <w:r w:rsidR="00F96D51" w:rsidRPr="00116B49">
        <w:rPr>
          <w:rFonts w:ascii="Times New Roman" w:hAnsi="Times New Roman" w:cs="Times New Roman"/>
          <w:sz w:val="24"/>
          <w:szCs w:val="24"/>
        </w:rPr>
        <w:t>reducing other trade barriers</w:t>
      </w:r>
      <w:r w:rsidRPr="00116B49">
        <w:rPr>
          <w:rFonts w:ascii="Times New Roman" w:hAnsi="Times New Roman" w:cs="Times New Roman"/>
          <w:sz w:val="24"/>
          <w:szCs w:val="24"/>
        </w:rPr>
        <w:t xml:space="preserve">, </w:t>
      </w:r>
      <w:r w:rsidR="00F96D51" w:rsidRPr="00116B49">
        <w:rPr>
          <w:rFonts w:ascii="Times New Roman" w:hAnsi="Times New Roman" w:cs="Times New Roman"/>
          <w:sz w:val="24"/>
          <w:szCs w:val="24"/>
        </w:rPr>
        <w:t xml:space="preserve">the </w:t>
      </w:r>
      <w:r w:rsidRPr="00116B49">
        <w:rPr>
          <w:rFonts w:ascii="Times New Roman" w:hAnsi="Times New Roman" w:cs="Times New Roman"/>
          <w:sz w:val="24"/>
          <w:szCs w:val="24"/>
        </w:rPr>
        <w:t>T</w:t>
      </w:r>
      <w:r w:rsidR="00F96D51" w:rsidRPr="00116B49">
        <w:rPr>
          <w:rFonts w:ascii="Times New Roman" w:hAnsi="Times New Roman" w:cs="Times New Roman"/>
          <w:sz w:val="24"/>
          <w:szCs w:val="24"/>
        </w:rPr>
        <w:t xml:space="preserve">rade </w:t>
      </w:r>
      <w:r w:rsidRPr="00116B49">
        <w:rPr>
          <w:rFonts w:ascii="Times New Roman" w:hAnsi="Times New Roman" w:cs="Times New Roman"/>
          <w:sz w:val="24"/>
          <w:szCs w:val="24"/>
        </w:rPr>
        <w:t>F</w:t>
      </w:r>
      <w:r w:rsidR="00F96D51" w:rsidRPr="00116B49">
        <w:rPr>
          <w:rFonts w:ascii="Times New Roman" w:hAnsi="Times New Roman" w:cs="Times New Roman"/>
          <w:sz w:val="24"/>
          <w:szCs w:val="24"/>
        </w:rPr>
        <w:t xml:space="preserve">acilitation </w:t>
      </w:r>
      <w:r w:rsidRPr="00116B49">
        <w:rPr>
          <w:rFonts w:ascii="Times New Roman" w:hAnsi="Times New Roman" w:cs="Times New Roman"/>
          <w:sz w:val="24"/>
          <w:szCs w:val="24"/>
        </w:rPr>
        <w:t>A</w:t>
      </w:r>
      <w:r w:rsidR="00F96D51" w:rsidRPr="00116B49">
        <w:rPr>
          <w:rFonts w:ascii="Times New Roman" w:hAnsi="Times New Roman" w:cs="Times New Roman"/>
          <w:sz w:val="24"/>
          <w:szCs w:val="24"/>
        </w:rPr>
        <w:t>greement</w:t>
      </w:r>
      <w:r w:rsidRPr="00116B49">
        <w:rPr>
          <w:rFonts w:ascii="Times New Roman" w:hAnsi="Times New Roman" w:cs="Times New Roman"/>
          <w:sz w:val="24"/>
          <w:szCs w:val="24"/>
        </w:rPr>
        <w:t xml:space="preserve"> may well give an extra boost to </w:t>
      </w:r>
      <w:r w:rsidR="00F96D51" w:rsidRPr="00116B49">
        <w:rPr>
          <w:rFonts w:ascii="Times New Roman" w:hAnsi="Times New Roman" w:cs="Times New Roman"/>
          <w:sz w:val="24"/>
          <w:szCs w:val="24"/>
        </w:rPr>
        <w:t>such a</w:t>
      </w:r>
      <w:r w:rsidRPr="00116B49">
        <w:rPr>
          <w:rFonts w:ascii="Times New Roman" w:hAnsi="Times New Roman" w:cs="Times New Roman"/>
          <w:sz w:val="24"/>
          <w:szCs w:val="24"/>
        </w:rPr>
        <w:t xml:space="preserve"> </w:t>
      </w:r>
      <w:r w:rsidR="00F96D51" w:rsidRPr="00116B49">
        <w:rPr>
          <w:rFonts w:ascii="Times New Roman" w:hAnsi="Times New Roman" w:cs="Times New Roman"/>
          <w:sz w:val="24"/>
          <w:szCs w:val="24"/>
        </w:rPr>
        <w:t>“</w:t>
      </w:r>
      <w:r w:rsidRPr="00116B49">
        <w:rPr>
          <w:rFonts w:ascii="Times New Roman" w:hAnsi="Times New Roman" w:cs="Times New Roman"/>
          <w:sz w:val="24"/>
          <w:szCs w:val="24"/>
        </w:rPr>
        <w:t>green trade</w:t>
      </w:r>
      <w:r w:rsidR="00F96D51" w:rsidRPr="00116B49">
        <w:rPr>
          <w:rFonts w:ascii="Times New Roman" w:hAnsi="Times New Roman" w:cs="Times New Roman"/>
          <w:sz w:val="24"/>
          <w:szCs w:val="24"/>
        </w:rPr>
        <w:t>”</w:t>
      </w:r>
      <w:r w:rsidRPr="00116B49">
        <w:rPr>
          <w:rFonts w:ascii="Times New Roman" w:hAnsi="Times New Roman" w:cs="Times New Roman"/>
          <w:sz w:val="24"/>
          <w:szCs w:val="24"/>
        </w:rPr>
        <w:t>.</w:t>
      </w:r>
    </w:p>
    <w:p w14:paraId="654D2B27" w14:textId="77777777" w:rsidR="009A7DCE" w:rsidRPr="00116B49" w:rsidRDefault="009A7DCE" w:rsidP="00F96D51">
      <w:pPr>
        <w:pStyle w:val="NormalWeb"/>
        <w:tabs>
          <w:tab w:val="left" w:pos="284"/>
        </w:tabs>
        <w:spacing w:before="0" w:beforeAutospacing="0" w:after="0" w:afterAutospacing="0"/>
      </w:pPr>
    </w:p>
    <w:p w14:paraId="5C7D6C6E" w14:textId="77777777" w:rsidR="0085335C" w:rsidRPr="00116B49" w:rsidRDefault="00186AAC" w:rsidP="00F96D51">
      <w:pPr>
        <w:pStyle w:val="NormalWeb"/>
        <w:numPr>
          <w:ilvl w:val="0"/>
          <w:numId w:val="3"/>
        </w:numPr>
        <w:tabs>
          <w:tab w:val="left" w:pos="284"/>
        </w:tabs>
        <w:spacing w:before="0" w:beforeAutospacing="0" w:after="0" w:afterAutospacing="0"/>
        <w:ind w:left="0" w:firstLine="0"/>
      </w:pPr>
      <w:r w:rsidRPr="00116B49">
        <w:t xml:space="preserve">Encouraging </w:t>
      </w:r>
      <w:r w:rsidRPr="00116B49">
        <w:rPr>
          <w:b/>
          <w:bCs/>
        </w:rPr>
        <w:t xml:space="preserve">environmentally sound production and trading patterns </w:t>
      </w:r>
      <w:r w:rsidRPr="00116B49">
        <w:t xml:space="preserve">in the </w:t>
      </w:r>
      <w:proofErr w:type="spellStart"/>
      <w:r w:rsidRPr="00116B49">
        <w:t>subregion</w:t>
      </w:r>
      <w:proofErr w:type="spellEnd"/>
      <w:r w:rsidRPr="00116B49">
        <w:rPr>
          <w:b/>
          <w:bCs/>
        </w:rPr>
        <w:t xml:space="preserve"> </w:t>
      </w:r>
      <w:r w:rsidRPr="00116B49">
        <w:t>would</w:t>
      </w:r>
      <w:r w:rsidRPr="00116B49">
        <w:rPr>
          <w:b/>
          <w:bCs/>
        </w:rPr>
        <w:t xml:space="preserve"> </w:t>
      </w:r>
      <w:r w:rsidRPr="00116B49">
        <w:t>have a positive impact on tackling important environmental issues</w:t>
      </w:r>
      <w:r w:rsidR="0085335C" w:rsidRPr="00116B49">
        <w:t xml:space="preserve"> </w:t>
      </w:r>
      <w:r w:rsidR="00F96D51" w:rsidRPr="00116B49">
        <w:t>there</w:t>
      </w:r>
      <w:r w:rsidRPr="00116B49">
        <w:t xml:space="preserve">. For example, exporting wheat produced on </w:t>
      </w:r>
      <w:r w:rsidR="0085335C" w:rsidRPr="00116B49">
        <w:t>rainwater</w:t>
      </w:r>
      <w:r w:rsidRPr="00116B49">
        <w:t xml:space="preserve"> in Kazakhstan to drie</w:t>
      </w:r>
      <w:r w:rsidR="0085335C" w:rsidRPr="00116B49">
        <w:t xml:space="preserve">r countries to the south would have a positive impact on water management of the two large rivers in the </w:t>
      </w:r>
      <w:proofErr w:type="spellStart"/>
      <w:r w:rsidR="0085335C" w:rsidRPr="00116B49">
        <w:t>subregion</w:t>
      </w:r>
      <w:proofErr w:type="spellEnd"/>
      <w:r w:rsidR="0085335C" w:rsidRPr="00116B49">
        <w:t xml:space="preserve"> and the Aral Sea. </w:t>
      </w:r>
    </w:p>
    <w:p w14:paraId="52B59C10" w14:textId="77777777" w:rsidR="00F96D51" w:rsidRPr="00B812AB" w:rsidRDefault="00F96D51" w:rsidP="00F96D51">
      <w:pPr>
        <w:pStyle w:val="NormalWeb"/>
        <w:tabs>
          <w:tab w:val="left" w:pos="284"/>
        </w:tabs>
        <w:spacing w:before="0" w:beforeAutospacing="0" w:after="0" w:afterAutospacing="0"/>
        <w:rPr>
          <w:b/>
        </w:rPr>
      </w:pPr>
    </w:p>
    <w:p w14:paraId="1C31056E" w14:textId="7DE809C0" w:rsidR="00B91554" w:rsidRPr="00116B49" w:rsidRDefault="007A2D38" w:rsidP="00F96D51">
      <w:pPr>
        <w:pStyle w:val="NormalWeb"/>
        <w:numPr>
          <w:ilvl w:val="0"/>
          <w:numId w:val="3"/>
        </w:numPr>
        <w:tabs>
          <w:tab w:val="left" w:pos="284"/>
        </w:tabs>
        <w:spacing w:before="0" w:beforeAutospacing="0" w:after="0" w:afterAutospacing="0"/>
        <w:ind w:left="0" w:firstLine="0"/>
      </w:pPr>
      <w:r w:rsidRPr="007A2D38">
        <w:rPr>
          <w:b/>
        </w:rPr>
        <w:t>Promoti</w:t>
      </w:r>
      <w:r w:rsidRPr="00B812AB">
        <w:rPr>
          <w:b/>
        </w:rPr>
        <w:t>n</w:t>
      </w:r>
      <w:r w:rsidR="00901F9B" w:rsidRPr="00901F9B">
        <w:rPr>
          <w:b/>
        </w:rPr>
        <w:t>g</w:t>
      </w:r>
      <w:r w:rsidRPr="00B812AB">
        <w:rPr>
          <w:b/>
        </w:rPr>
        <w:t xml:space="preserve"> diversification of the economy.</w:t>
      </w:r>
      <w:r>
        <w:t xml:space="preserve"> </w:t>
      </w:r>
      <w:r w:rsidR="00766B0C">
        <w:t xml:space="preserve">With the current decline in commodity prices, SPECA countries receive less income for their raw material exports. </w:t>
      </w:r>
      <w:r w:rsidR="0085335C" w:rsidRPr="00116B49">
        <w:t>As the current decrease of oil prices has indicated, t</w:t>
      </w:r>
      <w:r w:rsidR="00AF0DB8" w:rsidRPr="00116B49">
        <w:t>he reliance of some</w:t>
      </w:r>
      <w:r w:rsidR="003D6DE2" w:rsidRPr="00116B49">
        <w:t xml:space="preserve"> countries in the region on high revenues from exports of hydrocarbons is not sustainable. Azerbaijan </w:t>
      </w:r>
      <w:r w:rsidR="00DE5CC1">
        <w:t>was</w:t>
      </w:r>
      <w:r w:rsidR="003D6DE2" w:rsidRPr="00116B49">
        <w:t xml:space="preserve"> </w:t>
      </w:r>
      <w:r w:rsidR="0085335C" w:rsidRPr="00116B49">
        <w:t>a</w:t>
      </w:r>
      <w:r w:rsidR="003D6DE2" w:rsidRPr="00116B49">
        <w:t xml:space="preserve"> global leader in GDP growth</w:t>
      </w:r>
      <w:r w:rsidR="00DE5CC1">
        <w:t xml:space="preserve"> in the world</w:t>
      </w:r>
      <w:r w:rsidR="003D6DE2" w:rsidRPr="00116B49">
        <w:t xml:space="preserve">, reaching a peak of 34.5% in 2006, </w:t>
      </w:r>
      <w:r w:rsidR="00AF0DB8" w:rsidRPr="00116B49">
        <w:t xml:space="preserve">then </w:t>
      </w:r>
      <w:r w:rsidR="003D6DE2" w:rsidRPr="00116B49">
        <w:t>10.8% in 2008</w:t>
      </w:r>
      <w:r w:rsidR="007955FD">
        <w:t xml:space="preserve">. Yet this indicator went down </w:t>
      </w:r>
      <w:r w:rsidR="00AF0DB8" w:rsidRPr="00116B49">
        <w:t xml:space="preserve">as low as </w:t>
      </w:r>
      <w:r w:rsidR="003D6DE2" w:rsidRPr="00116B49">
        <w:t xml:space="preserve">0.1% in 2011, when </w:t>
      </w:r>
      <w:r w:rsidR="00AF0DB8" w:rsidRPr="00116B49">
        <w:t xml:space="preserve">global </w:t>
      </w:r>
      <w:r w:rsidR="003D6DE2" w:rsidRPr="00116B49">
        <w:t>oil prices</w:t>
      </w:r>
      <w:r w:rsidR="00AF0DB8" w:rsidRPr="00116B49">
        <w:t xml:space="preserve"> hit a record low level</w:t>
      </w:r>
      <w:r w:rsidR="003D6DE2" w:rsidRPr="00116B49">
        <w:t xml:space="preserve">. </w:t>
      </w:r>
      <w:r w:rsidR="00182FFC" w:rsidRPr="00116B49">
        <w:t xml:space="preserve">Azerbaijan is looking </w:t>
      </w:r>
      <w:r w:rsidR="0085335C" w:rsidRPr="00116B49">
        <w:t xml:space="preserve">now </w:t>
      </w:r>
      <w:r w:rsidR="00182FFC" w:rsidRPr="00116B49">
        <w:t>for innovative ways of diversifying its economy and trade, including through integration into regional and global supply chains</w:t>
      </w:r>
      <w:r w:rsidR="00AF0DB8" w:rsidRPr="00116B49">
        <w:t xml:space="preserve"> and </w:t>
      </w:r>
      <w:r w:rsidR="0085335C" w:rsidRPr="00116B49">
        <w:t>focus</w:t>
      </w:r>
      <w:r w:rsidR="00AF0DB8" w:rsidRPr="00116B49">
        <w:t>ing</w:t>
      </w:r>
      <w:r w:rsidR="0085335C" w:rsidRPr="00116B49">
        <w:t xml:space="preserve"> on environmental goods</w:t>
      </w:r>
      <w:r w:rsidR="00182FFC" w:rsidRPr="00116B49">
        <w:t xml:space="preserve">. </w:t>
      </w:r>
      <w:r w:rsidR="0085335C" w:rsidRPr="00116B49">
        <w:t>The country is developing a</w:t>
      </w:r>
      <w:r w:rsidR="00F96D51" w:rsidRPr="00116B49">
        <w:t xml:space="preserve"> gree</w:t>
      </w:r>
      <w:r w:rsidR="0085335C" w:rsidRPr="00116B49">
        <w:t xml:space="preserve">n industry </w:t>
      </w:r>
      <w:r w:rsidR="00F96D51" w:rsidRPr="00116B49">
        <w:t xml:space="preserve">now, for example in </w:t>
      </w:r>
      <w:r w:rsidR="0085335C" w:rsidRPr="00116B49">
        <w:t>producing solar panels.</w:t>
      </w:r>
      <w:r w:rsidR="00F96D51" w:rsidRPr="00116B49">
        <w:t xml:space="preserve"> Expanding the market for such green products to the other SPECA countries can give an additional boost to such production. </w:t>
      </w:r>
      <w:r>
        <w:t>A conscious effort towards regional trade cooperation focused on sustainable development will be important, as such change in economic patterns and mind-sets will not come by itself.</w:t>
      </w:r>
      <w:r w:rsidR="00766B0C">
        <w:t xml:space="preserve"> </w:t>
      </w:r>
    </w:p>
    <w:p w14:paraId="1FAA0ADB" w14:textId="77777777" w:rsidR="003D6DE2" w:rsidRDefault="003D6DE2" w:rsidP="00F96D51">
      <w:pPr>
        <w:pStyle w:val="NormalWeb"/>
        <w:tabs>
          <w:tab w:val="left" w:pos="284"/>
        </w:tabs>
        <w:spacing w:before="0" w:beforeAutospacing="0" w:after="0" w:afterAutospacing="0"/>
      </w:pPr>
    </w:p>
    <w:p w14:paraId="127573CC" w14:textId="3F7C876D" w:rsidR="00C3489B" w:rsidRPr="00C3489B" w:rsidRDefault="002056D7" w:rsidP="00C3489B">
      <w:pPr>
        <w:pStyle w:val="NormalWeb"/>
        <w:tabs>
          <w:tab w:val="left" w:pos="284"/>
        </w:tabs>
        <w:spacing w:before="0" w:beforeAutospacing="0" w:after="0" w:afterAutospacing="0"/>
        <w:rPr>
          <w:i/>
        </w:rPr>
      </w:pPr>
      <w:r w:rsidRPr="00C3489B">
        <w:rPr>
          <w:b/>
        </w:rPr>
        <w:t xml:space="preserve">Figure </w:t>
      </w:r>
      <w:r w:rsidRPr="00C3489B">
        <w:rPr>
          <w:b/>
        </w:rPr>
        <w:fldChar w:fldCharType="begin"/>
      </w:r>
      <w:r w:rsidRPr="00C3489B">
        <w:rPr>
          <w:b/>
        </w:rPr>
        <w:instrText xml:space="preserve"> SEQ Figure \* ARABIC </w:instrText>
      </w:r>
      <w:r w:rsidRPr="00C3489B">
        <w:rPr>
          <w:b/>
        </w:rPr>
        <w:fldChar w:fldCharType="separate"/>
      </w:r>
      <w:r w:rsidR="001037F0">
        <w:rPr>
          <w:b/>
          <w:noProof/>
        </w:rPr>
        <w:t>1</w:t>
      </w:r>
      <w:r w:rsidRPr="00C3489B">
        <w:rPr>
          <w:b/>
        </w:rPr>
        <w:fldChar w:fldCharType="end"/>
      </w:r>
      <w:r w:rsidRPr="00C3489B">
        <w:rPr>
          <w:b/>
          <w:i/>
        </w:rPr>
        <w:t>:</w:t>
      </w:r>
      <w:r w:rsidRPr="00C3489B">
        <w:t xml:space="preserve"> </w:t>
      </w:r>
      <w:r w:rsidRPr="00C3489B">
        <w:rPr>
          <w:i/>
        </w:rPr>
        <w:t>Azerbaijan’s GDP growth rate</w:t>
      </w:r>
      <w:r w:rsidR="00C3489B" w:rsidRPr="00C3489B">
        <w:rPr>
          <w:i/>
        </w:rPr>
        <w:t>. Source: The World Bank</w:t>
      </w:r>
      <w:r w:rsidR="00C3489B" w:rsidRPr="00C3489B">
        <w:rPr>
          <w:rStyle w:val="FootnoteReference"/>
          <w:i/>
        </w:rPr>
        <w:footnoteReference w:id="4"/>
      </w:r>
      <w:r w:rsidR="00C3489B" w:rsidRPr="00C3489B">
        <w:rPr>
          <w:i/>
          <w:sz w:val="20"/>
          <w:szCs w:val="20"/>
        </w:rPr>
        <w:t xml:space="preserve"> </w:t>
      </w:r>
    </w:p>
    <w:p w14:paraId="002899B8" w14:textId="6538ACDD" w:rsidR="002056D7" w:rsidRPr="00C3489B" w:rsidRDefault="002056D7" w:rsidP="002056D7">
      <w:pPr>
        <w:pStyle w:val="Caption"/>
        <w:rPr>
          <w:rFonts w:ascii="Times New Roman" w:hAnsi="Times New Roman" w:cs="Times New Roman"/>
          <w:color w:val="auto"/>
          <w:sz w:val="24"/>
          <w:szCs w:val="24"/>
        </w:rPr>
      </w:pPr>
    </w:p>
    <w:p w14:paraId="2B9649F9" w14:textId="77777777" w:rsidR="00C04980" w:rsidRDefault="00C04980" w:rsidP="00F96D51">
      <w:pPr>
        <w:pStyle w:val="NormalWeb"/>
        <w:tabs>
          <w:tab w:val="left" w:pos="284"/>
        </w:tabs>
        <w:spacing w:before="0" w:beforeAutospacing="0" w:after="0" w:afterAutospacing="0"/>
      </w:pPr>
      <w:r>
        <w:rPr>
          <w:noProof/>
          <w:lang w:val="en-US" w:eastAsia="en-US"/>
        </w:rPr>
        <w:lastRenderedPageBreak/>
        <w:drawing>
          <wp:inline distT="0" distB="0" distL="0" distR="0" wp14:anchorId="53563457" wp14:editId="0C330678">
            <wp:extent cx="5320145" cy="2616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0758"/>
                    <a:stretch/>
                  </pic:blipFill>
                  <pic:spPr bwMode="auto">
                    <a:xfrm>
                      <a:off x="0" y="0"/>
                      <a:ext cx="5322728" cy="2618146"/>
                    </a:xfrm>
                    <a:prstGeom prst="rect">
                      <a:avLst/>
                    </a:prstGeom>
                    <a:ln>
                      <a:noFill/>
                    </a:ln>
                    <a:extLst>
                      <a:ext uri="{53640926-AAD7-44D8-BBD7-CCE9431645EC}">
                        <a14:shadowObscured xmlns:a14="http://schemas.microsoft.com/office/drawing/2010/main"/>
                      </a:ext>
                    </a:extLst>
                  </pic:spPr>
                </pic:pic>
              </a:graphicData>
            </a:graphic>
          </wp:inline>
        </w:drawing>
      </w:r>
    </w:p>
    <w:p w14:paraId="323C68A7" w14:textId="77777777" w:rsidR="00182FFC" w:rsidRDefault="00182FFC" w:rsidP="00F96D51">
      <w:pPr>
        <w:pStyle w:val="NormalWeb"/>
        <w:tabs>
          <w:tab w:val="left" w:pos="284"/>
        </w:tabs>
        <w:spacing w:before="0" w:beforeAutospacing="0" w:after="0" w:afterAutospacing="0"/>
      </w:pPr>
    </w:p>
    <w:p w14:paraId="2ACFE560" w14:textId="77777777" w:rsidR="00FC312F" w:rsidRDefault="00766B0C" w:rsidP="00FC312F">
      <w:pPr>
        <w:pStyle w:val="NormalWeb"/>
        <w:tabs>
          <w:tab w:val="left" w:pos="284"/>
        </w:tabs>
        <w:spacing w:before="0" w:beforeAutospacing="0" w:after="0" w:afterAutospacing="0"/>
        <w:ind w:left="270"/>
      </w:pPr>
      <w:r>
        <w:t xml:space="preserve">Diversification into exports other than commodities is high on the agenda of the SPECA countries because of the need to adapt to changing markets and environmental conditions. Yet </w:t>
      </w:r>
      <w:proofErr w:type="gramStart"/>
      <w:r>
        <w:t>in order to</w:t>
      </w:r>
      <w:proofErr w:type="gramEnd"/>
      <w:r>
        <w:t xml:space="preserve"> assist their diversification efforts, these countries need predictable market access conditions and capacity building.</w:t>
      </w:r>
      <w:r w:rsidR="00FC312F">
        <w:t xml:space="preserve"> </w:t>
      </w:r>
    </w:p>
    <w:p w14:paraId="7326F850" w14:textId="77777777" w:rsidR="00FC312F" w:rsidRDefault="00FC312F" w:rsidP="00FC312F">
      <w:pPr>
        <w:pStyle w:val="NormalWeb"/>
        <w:tabs>
          <w:tab w:val="left" w:pos="284"/>
        </w:tabs>
        <w:spacing w:before="0" w:beforeAutospacing="0" w:after="0" w:afterAutospacing="0"/>
        <w:ind w:left="270"/>
      </w:pPr>
    </w:p>
    <w:p w14:paraId="7971E30F" w14:textId="15C8F100" w:rsidR="00D0393E" w:rsidRDefault="00FC312F" w:rsidP="00D0393E">
      <w:pPr>
        <w:pStyle w:val="NormalWeb"/>
        <w:tabs>
          <w:tab w:val="left" w:pos="284"/>
        </w:tabs>
        <w:spacing w:before="0" w:beforeAutospacing="0" w:after="0" w:afterAutospacing="0"/>
        <w:ind w:left="270"/>
      </w:pPr>
      <w:r w:rsidRPr="00DE7DDA">
        <w:t>Th</w:t>
      </w:r>
      <w:r>
        <w:t>er</w:t>
      </w:r>
      <w:r w:rsidRPr="00DE7DDA">
        <w:t xml:space="preserve">e </w:t>
      </w:r>
      <w:r>
        <w:t xml:space="preserve">is a </w:t>
      </w:r>
      <w:r w:rsidRPr="00DE7DDA">
        <w:t xml:space="preserve">need to recalibrate economic growth structures and patterns such that they are diversified and </w:t>
      </w:r>
      <w:proofErr w:type="gramStart"/>
      <w:r w:rsidRPr="00DE7DDA">
        <w:t>broad-based, and</w:t>
      </w:r>
      <w:proofErr w:type="gramEnd"/>
      <w:r w:rsidRPr="00DE7DDA">
        <w:t xml:space="preserve"> focus on boosting domestic demand to create productive and decent employment, while preserving and promoting environmental sustainability. </w:t>
      </w:r>
      <w:r>
        <w:t>E</w:t>
      </w:r>
      <w:r w:rsidRPr="00DE7DDA">
        <w:t>vidence shows that in many countries economic growth has not necessarily been accompanied by reductions in income inequality or even extreme poverty. This distributional bias of growth needs to be addressed.</w:t>
      </w:r>
      <w:r>
        <w:t xml:space="preserve"> </w:t>
      </w:r>
      <w:r w:rsidRPr="00DE7DDA">
        <w:t>Activities for integrated planning for inclusive and sustainable growth include establishing evidence base analysis for National Plans, promoting economic diversification and sustainable growth pathways, and promoting environmentally sustainable agricultural and industrial practices and access to affordable clean energy.</w:t>
      </w:r>
      <w:r w:rsidR="00D0393E">
        <w:t xml:space="preserve"> In addition, a</w:t>
      </w:r>
      <w:r w:rsidR="00D0393E" w:rsidRPr="00DE7DDA">
        <w:t xml:space="preserve">n inclusive and sustainable growth strategy must prioritize a pattern of growth that creates a sufficient number of jobs to secure productive employment for </w:t>
      </w:r>
      <w:proofErr w:type="gramStart"/>
      <w:r w:rsidR="00D0393E" w:rsidRPr="00DE7DDA">
        <w:t>the majority of</w:t>
      </w:r>
      <w:proofErr w:type="gramEnd"/>
      <w:r w:rsidR="00D0393E" w:rsidRPr="00DE7DDA">
        <w:t xml:space="preserve"> the work-force</w:t>
      </w:r>
    </w:p>
    <w:p w14:paraId="39B450C3" w14:textId="77777777" w:rsidR="00D02E02" w:rsidRDefault="00D02E02" w:rsidP="00F96D51">
      <w:pPr>
        <w:pStyle w:val="NormalWeb"/>
        <w:tabs>
          <w:tab w:val="left" w:pos="284"/>
        </w:tabs>
        <w:spacing w:before="0" w:beforeAutospacing="0" w:after="0" w:afterAutospacing="0"/>
      </w:pPr>
    </w:p>
    <w:p w14:paraId="20D0FE22" w14:textId="4378328B" w:rsidR="00BA750C" w:rsidRPr="00BA750C" w:rsidRDefault="007A2D38" w:rsidP="00BA750C">
      <w:pPr>
        <w:pStyle w:val="NormalWeb"/>
        <w:numPr>
          <w:ilvl w:val="0"/>
          <w:numId w:val="3"/>
        </w:numPr>
        <w:tabs>
          <w:tab w:val="left" w:pos="284"/>
        </w:tabs>
        <w:spacing w:before="0" w:beforeAutospacing="0" w:after="0" w:afterAutospacing="0"/>
        <w:ind w:left="270"/>
      </w:pPr>
      <w:r w:rsidRPr="00B812AB">
        <w:rPr>
          <w:b/>
        </w:rPr>
        <w:t>Ensuring</w:t>
      </w:r>
      <w:r w:rsidR="00B812AB">
        <w:rPr>
          <w:b/>
          <w:lang w:val="bg-BG"/>
        </w:rPr>
        <w:t xml:space="preserve"> </w:t>
      </w:r>
      <w:r w:rsidRPr="00B812AB">
        <w:rPr>
          <w:b/>
        </w:rPr>
        <w:t xml:space="preserve">financing </w:t>
      </w:r>
      <w:r w:rsidR="00B812AB">
        <w:rPr>
          <w:b/>
        </w:rPr>
        <w:t>for green trade</w:t>
      </w:r>
      <w:r w:rsidRPr="00B812AB">
        <w:rPr>
          <w:b/>
        </w:rPr>
        <w:t>.</w:t>
      </w:r>
      <w:r w:rsidR="00B812AB">
        <w:rPr>
          <w:b/>
        </w:rPr>
        <w:t xml:space="preserve"> </w:t>
      </w:r>
      <w:r w:rsidR="00766B0C" w:rsidRPr="004E2B16">
        <w:t xml:space="preserve">Encouraging environmentally sound production and trading patterns </w:t>
      </w:r>
      <w:r w:rsidR="00766B0C">
        <w:t xml:space="preserve">will </w:t>
      </w:r>
      <w:r w:rsidR="00766B0C" w:rsidRPr="004E2B16">
        <w:t>have a positive impact on tackling importan</w:t>
      </w:r>
      <w:r w:rsidR="00766B0C">
        <w:t xml:space="preserve">t environmental issues in the </w:t>
      </w:r>
      <w:r w:rsidR="00766B0C" w:rsidRPr="004E2B16">
        <w:t xml:space="preserve">region. </w:t>
      </w:r>
      <w:r w:rsidR="00766B0C">
        <w:t xml:space="preserve">National budgets and donors that support projects on trade in the </w:t>
      </w:r>
      <w:proofErr w:type="spellStart"/>
      <w:r w:rsidR="00766B0C">
        <w:t>subregion</w:t>
      </w:r>
      <w:proofErr w:type="spellEnd"/>
      <w:r w:rsidR="00766B0C">
        <w:t xml:space="preserve"> and trade financing can play a significant role in promoting sustainable trade. </w:t>
      </w:r>
      <w:r w:rsidR="00F128F3">
        <w:t xml:space="preserve">While providing market-oriented trade finance and remedies for market failures associated with trade finance, </w:t>
      </w:r>
      <w:r w:rsidR="00BA750C">
        <w:t xml:space="preserve">national and international </w:t>
      </w:r>
      <w:proofErr w:type="gramStart"/>
      <w:r w:rsidR="00BA750C">
        <w:t xml:space="preserve">financial </w:t>
      </w:r>
      <w:r w:rsidR="00F128F3">
        <w:t xml:space="preserve"> institutions</w:t>
      </w:r>
      <w:proofErr w:type="gramEnd"/>
      <w:r w:rsidR="00F128F3">
        <w:t xml:space="preserve"> can play a significant role in promoting the SDGs in trade, </w:t>
      </w:r>
      <w:r w:rsidR="00F128F3" w:rsidRPr="00F128F3">
        <w:rPr>
          <w:i/>
          <w:iCs/>
        </w:rPr>
        <w:t>inter alia</w:t>
      </w:r>
      <w:r w:rsidR="00F128F3">
        <w:t xml:space="preserve">, by increasing the analysis of issues and requirements for sustainable development considerations in trade finance projects. </w:t>
      </w:r>
    </w:p>
    <w:p w14:paraId="7B61C22D" w14:textId="77777777" w:rsidR="00BA750C" w:rsidRDefault="00BA750C" w:rsidP="00BA750C">
      <w:pPr>
        <w:pStyle w:val="NormalWeb"/>
        <w:tabs>
          <w:tab w:val="left" w:pos="284"/>
        </w:tabs>
        <w:spacing w:before="0" w:beforeAutospacing="0" w:after="0" w:afterAutospacing="0"/>
        <w:ind w:left="270"/>
      </w:pPr>
    </w:p>
    <w:p w14:paraId="4CAFF18E" w14:textId="741BD67E" w:rsidR="00BA750C" w:rsidRDefault="00BA750C" w:rsidP="00BA750C">
      <w:pPr>
        <w:pStyle w:val="NormalWeb"/>
        <w:tabs>
          <w:tab w:val="left" w:pos="284"/>
        </w:tabs>
        <w:spacing w:before="0" w:beforeAutospacing="0" w:after="0" w:afterAutospacing="0"/>
        <w:ind w:left="270"/>
      </w:pPr>
      <w:r w:rsidRPr="00DE7DDA">
        <w:t xml:space="preserve">Financial markets have increased the number of options to choose from to advance investments that support the transition to more sustainable growth patterns. Activities to mobilize and scale-up financing include promoting fiscal policy consistent with inclusive and sustainable growth objectives; promoting domestic resource </w:t>
      </w:r>
      <w:proofErr w:type="gramStart"/>
      <w:r w:rsidRPr="00DE7DDA">
        <w:t>mobilization, and</w:t>
      </w:r>
      <w:proofErr w:type="gramEnd"/>
      <w:r w:rsidRPr="00DE7DDA">
        <w:t xml:space="preserve"> promoting the adoption of innovative financing mechanisms for environmental sustainability and clean energy.</w:t>
      </w:r>
      <w:r>
        <w:t xml:space="preserve"> </w:t>
      </w:r>
    </w:p>
    <w:p w14:paraId="717A5B9B" w14:textId="5A03E792" w:rsidR="00D0393E" w:rsidRDefault="00D0393E" w:rsidP="00BA750C">
      <w:pPr>
        <w:pStyle w:val="NormalWeb"/>
        <w:tabs>
          <w:tab w:val="left" w:pos="284"/>
        </w:tabs>
        <w:spacing w:before="0" w:beforeAutospacing="0" w:after="0" w:afterAutospacing="0"/>
        <w:ind w:left="270"/>
      </w:pPr>
      <w:r w:rsidRPr="00DE7DDA">
        <w:lastRenderedPageBreak/>
        <w:t>Raising additional domestic revenues remains a challenge for many countries</w:t>
      </w:r>
      <w:r>
        <w:t xml:space="preserve">. </w:t>
      </w:r>
      <w:r w:rsidRPr="00DE7DDA">
        <w:t xml:space="preserve">In many natural resource-rich countries, implementing fiscal regimes that are capable of sustainably managing resource revenues has also proved challenging. For instance, tax incentives in the extractives sector can result in large revenue losses when rent-sharing agreements are negotiated in a way that leads to highly </w:t>
      </w:r>
      <w:proofErr w:type="spellStart"/>
      <w:r w:rsidRPr="00DE7DDA">
        <w:t>favorable</w:t>
      </w:r>
      <w:proofErr w:type="spellEnd"/>
      <w:r w:rsidRPr="00DE7DDA">
        <w:t xml:space="preserve"> terms for investors at the expense of lower public revenues. Hence, countries highly dependent on </w:t>
      </w:r>
      <w:r w:rsidR="00BA750C" w:rsidRPr="00DE7DDA">
        <w:t xml:space="preserve">such </w:t>
      </w:r>
      <w:r w:rsidRPr="00DE7DDA">
        <w:t>sectors as extractives or commodities for revenue</w:t>
      </w:r>
      <w:r>
        <w:t>,</w:t>
      </w:r>
      <w:r w:rsidRPr="00DE7DDA">
        <w:t xml:space="preserve"> require capacity to manage boom time revenues more prudently.</w:t>
      </w:r>
      <w:r w:rsidR="00BA750C">
        <w:t xml:space="preserve"> </w:t>
      </w:r>
      <w:r w:rsidR="00BA750C" w:rsidRPr="00DE7DDA">
        <w:t>Additional fiscal space can also be generated by cutting unproductive expenditures and by preventing the leakage of resources.</w:t>
      </w:r>
    </w:p>
    <w:p w14:paraId="26571218" w14:textId="77777777" w:rsidR="00B60053" w:rsidRDefault="00B60053" w:rsidP="00B60053">
      <w:pPr>
        <w:pStyle w:val="NormalWeb"/>
        <w:tabs>
          <w:tab w:val="left" w:pos="284"/>
        </w:tabs>
        <w:spacing w:before="0" w:beforeAutospacing="0" w:after="0" w:afterAutospacing="0"/>
        <w:ind w:left="270"/>
      </w:pPr>
    </w:p>
    <w:p w14:paraId="6F144172" w14:textId="77777777" w:rsidR="00B60053" w:rsidRDefault="00B60053" w:rsidP="00B60053">
      <w:pPr>
        <w:pStyle w:val="NormalWeb"/>
        <w:numPr>
          <w:ilvl w:val="0"/>
          <w:numId w:val="3"/>
        </w:numPr>
        <w:tabs>
          <w:tab w:val="left" w:pos="284"/>
        </w:tabs>
        <w:spacing w:before="0" w:beforeAutospacing="0" w:after="0" w:afterAutospacing="0"/>
        <w:ind w:left="270"/>
      </w:pPr>
      <w:r w:rsidRPr="00FB5E72">
        <w:t xml:space="preserve">Trade development must be used to </w:t>
      </w:r>
      <w:r w:rsidRPr="00B60053">
        <w:rPr>
          <w:b/>
        </w:rPr>
        <w:t>facilitate the creation of productive employment</w:t>
      </w:r>
      <w:r w:rsidRPr="00FB5E72">
        <w:t xml:space="preserve"> </w:t>
      </w:r>
      <w:r>
        <w:t xml:space="preserve">and </w:t>
      </w:r>
      <w:r w:rsidRPr="00FB5E72">
        <w:t xml:space="preserve">to </w:t>
      </w:r>
      <w:r w:rsidRPr="00B60053">
        <w:rPr>
          <w:b/>
        </w:rPr>
        <w:t>address the inequality of opportunities</w:t>
      </w:r>
      <w:r w:rsidRPr="00FB5E72">
        <w:t xml:space="preserve"> faced by specific groups. Women, ethnic and racial minorities, among others, can get more access to the management of international trade and the from the gains of development. Policy measures must address the inequality of both opportunities and outcomes. </w:t>
      </w:r>
    </w:p>
    <w:p w14:paraId="771FAF2B" w14:textId="77777777" w:rsidR="00B60053" w:rsidRDefault="00B60053" w:rsidP="00B60053">
      <w:pPr>
        <w:pStyle w:val="ListParagraph"/>
      </w:pPr>
    </w:p>
    <w:p w14:paraId="371AD8BB" w14:textId="612FAEA5" w:rsidR="00B60053" w:rsidRDefault="00B60053" w:rsidP="00B60053">
      <w:pPr>
        <w:pStyle w:val="NormalWeb"/>
        <w:numPr>
          <w:ilvl w:val="0"/>
          <w:numId w:val="3"/>
        </w:numPr>
        <w:tabs>
          <w:tab w:val="left" w:pos="284"/>
        </w:tabs>
        <w:spacing w:before="0" w:beforeAutospacing="0" w:after="0" w:afterAutospacing="0"/>
        <w:ind w:left="270"/>
      </w:pPr>
      <w:r w:rsidRPr="00FB5E72">
        <w:t xml:space="preserve">The right trade policies can </w:t>
      </w:r>
      <w:r>
        <w:t>help</w:t>
      </w:r>
      <w:r w:rsidRPr="00FB5E72">
        <w:t xml:space="preserve"> </w:t>
      </w:r>
      <w:r w:rsidRPr="00B60053">
        <w:rPr>
          <w:b/>
        </w:rPr>
        <w:t>manage risks associated with economic and financial crises, and to build economic resilience</w:t>
      </w:r>
      <w:r w:rsidRPr="00FB5E72">
        <w:t xml:space="preserve"> to ensure that growth is stable and sustained. The more dependent a country is on a pattern of growth focused on external sources of revenue and investment, the more vulnerable it is to global trade shocks. Activities to manage risks and building economic resilience include promoting export and economic diversification; address</w:t>
      </w:r>
      <w:r>
        <w:t>ing</w:t>
      </w:r>
      <w:r w:rsidRPr="00FB5E72">
        <w:t xml:space="preserve"> volatility of private capital flows; addressing commodity price volatility; adopting income stabilization measures for commodity producers; enforcing labour standards and social insurance for workers in export sectors; and promoting environmental safety standards and safe-guards for foreign investments.</w:t>
      </w:r>
    </w:p>
    <w:p w14:paraId="53291CA0" w14:textId="77777777" w:rsidR="002D6665" w:rsidRDefault="002D6665" w:rsidP="00F96D51">
      <w:pPr>
        <w:spacing w:after="0" w:line="240" w:lineRule="auto"/>
      </w:pPr>
    </w:p>
    <w:p w14:paraId="6B3C1AA3" w14:textId="77777777" w:rsidR="009A7DCE" w:rsidRPr="00F96D51" w:rsidRDefault="004E2B16" w:rsidP="00F96D51">
      <w:pPr>
        <w:pStyle w:val="NormalWeb"/>
        <w:spacing w:before="0" w:beforeAutospacing="0" w:after="0" w:afterAutospacing="0"/>
        <w:rPr>
          <w:b/>
          <w:bCs/>
        </w:rPr>
      </w:pPr>
      <w:r>
        <w:rPr>
          <w:b/>
          <w:bCs/>
        </w:rPr>
        <w:t>SPECA</w:t>
      </w:r>
      <w:r w:rsidR="009A7DCE" w:rsidRPr="00F96D51">
        <w:rPr>
          <w:b/>
          <w:bCs/>
        </w:rPr>
        <w:t xml:space="preserve"> countries</w:t>
      </w:r>
      <w:r>
        <w:rPr>
          <w:b/>
          <w:bCs/>
        </w:rPr>
        <w:t>, trade</w:t>
      </w:r>
      <w:r w:rsidR="009A7DCE" w:rsidRPr="00F96D51">
        <w:rPr>
          <w:b/>
          <w:bCs/>
        </w:rPr>
        <w:t xml:space="preserve"> and </w:t>
      </w:r>
      <w:r>
        <w:rPr>
          <w:b/>
          <w:bCs/>
        </w:rPr>
        <w:t xml:space="preserve">the </w:t>
      </w:r>
      <w:r w:rsidR="009A7DCE" w:rsidRPr="00F96D51">
        <w:rPr>
          <w:b/>
          <w:bCs/>
        </w:rPr>
        <w:t>green economy</w:t>
      </w:r>
    </w:p>
    <w:p w14:paraId="7BD6CA5C" w14:textId="77777777" w:rsidR="00F96D51" w:rsidRDefault="00F96D51" w:rsidP="00F96D51">
      <w:pPr>
        <w:spacing w:after="0" w:line="240" w:lineRule="auto"/>
      </w:pPr>
    </w:p>
    <w:p w14:paraId="7A1E2208" w14:textId="77777777" w:rsidR="009A7DCE" w:rsidRPr="004E2B16" w:rsidRDefault="00F96D51" w:rsidP="00F96D51">
      <w:pPr>
        <w:spacing w:after="0" w:line="240" w:lineRule="auto"/>
        <w:rPr>
          <w:rFonts w:ascii="Times New Roman" w:hAnsi="Times New Roman" w:cs="Times New Roman"/>
          <w:sz w:val="24"/>
          <w:szCs w:val="24"/>
        </w:rPr>
      </w:pPr>
      <w:r w:rsidRPr="004E2B16">
        <w:rPr>
          <w:rFonts w:ascii="Times New Roman" w:hAnsi="Times New Roman" w:cs="Times New Roman"/>
          <w:sz w:val="24"/>
          <w:szCs w:val="24"/>
        </w:rPr>
        <w:t xml:space="preserve">The </w:t>
      </w:r>
      <w:r w:rsidR="009A7DCE" w:rsidRPr="004E2B16">
        <w:rPr>
          <w:rFonts w:ascii="Times New Roman" w:hAnsi="Times New Roman" w:cs="Times New Roman"/>
          <w:sz w:val="24"/>
          <w:szCs w:val="24"/>
        </w:rPr>
        <w:t xml:space="preserve">Green economy </w:t>
      </w:r>
      <w:r w:rsidRPr="004E2B16">
        <w:rPr>
          <w:rFonts w:ascii="Times New Roman" w:hAnsi="Times New Roman" w:cs="Times New Roman"/>
          <w:sz w:val="24"/>
          <w:szCs w:val="24"/>
        </w:rPr>
        <w:t xml:space="preserve">concept </w:t>
      </w:r>
      <w:r w:rsidR="009A7DCE" w:rsidRPr="004E2B16">
        <w:rPr>
          <w:rFonts w:ascii="Times New Roman" w:hAnsi="Times New Roman" w:cs="Times New Roman"/>
          <w:sz w:val="24"/>
          <w:szCs w:val="24"/>
        </w:rPr>
        <w:t>was recognized as an important tool for achieving sustainable development in the outcome document of the United Nations Conference on Sustainable Development in 2012 (Rio+20), and since that time a number of countries around the world have adopted green economy strategies and policies.</w:t>
      </w:r>
      <w:r w:rsidRPr="004E2B16">
        <w:rPr>
          <w:rFonts w:ascii="Times New Roman" w:hAnsi="Times New Roman" w:cs="Times New Roman"/>
          <w:sz w:val="24"/>
          <w:szCs w:val="24"/>
        </w:rPr>
        <w:t xml:space="preserve"> SPECA </w:t>
      </w:r>
      <w:r w:rsidR="009A7DCE" w:rsidRPr="004E2B16">
        <w:rPr>
          <w:rFonts w:ascii="Times New Roman" w:hAnsi="Times New Roman" w:cs="Times New Roman"/>
          <w:sz w:val="24"/>
          <w:szCs w:val="24"/>
        </w:rPr>
        <w:t>countries have started to adopt sustainable development strategies, some of which contain, to varying degrees, green economy elements.</w:t>
      </w:r>
    </w:p>
    <w:p w14:paraId="710C7B6C" w14:textId="77777777" w:rsidR="009A7DCE" w:rsidRPr="004E2B16" w:rsidRDefault="009A7DCE" w:rsidP="00447DF4">
      <w:pPr>
        <w:pStyle w:val="ListParagraph"/>
        <w:numPr>
          <w:ilvl w:val="0"/>
          <w:numId w:val="11"/>
        </w:numPr>
        <w:spacing w:after="0" w:line="240" w:lineRule="auto"/>
        <w:rPr>
          <w:rFonts w:ascii="Times New Roman" w:hAnsi="Times New Roman" w:cs="Times New Roman"/>
          <w:sz w:val="24"/>
          <w:szCs w:val="24"/>
        </w:rPr>
      </w:pPr>
      <w:r w:rsidRPr="004E2B16">
        <w:rPr>
          <w:rFonts w:ascii="Times New Roman" w:hAnsi="Times New Roman" w:cs="Times New Roman"/>
          <w:sz w:val="24"/>
          <w:szCs w:val="24"/>
        </w:rPr>
        <w:t xml:space="preserve">The Kyrgyz Republic, for example, has identified low carbon green growth as </w:t>
      </w:r>
      <w:r w:rsidR="004E2B16" w:rsidRPr="004E2B16">
        <w:rPr>
          <w:rFonts w:ascii="Times New Roman" w:hAnsi="Times New Roman" w:cs="Times New Roman"/>
          <w:sz w:val="24"/>
          <w:szCs w:val="24"/>
        </w:rPr>
        <w:t xml:space="preserve">its </w:t>
      </w:r>
      <w:r w:rsidRPr="004E2B16">
        <w:rPr>
          <w:rFonts w:ascii="Times New Roman" w:hAnsi="Times New Roman" w:cs="Times New Roman"/>
          <w:sz w:val="24"/>
          <w:szCs w:val="24"/>
        </w:rPr>
        <w:t>priority. In 2012, it established a National Council for Sustainable Development to oversee the mainstreaming of environment int</w:t>
      </w:r>
      <w:r w:rsidR="004E2B16">
        <w:rPr>
          <w:rFonts w:ascii="Times New Roman" w:hAnsi="Times New Roman" w:cs="Times New Roman"/>
          <w:sz w:val="24"/>
          <w:szCs w:val="24"/>
        </w:rPr>
        <w:t>o its overall development plans. I</w:t>
      </w:r>
      <w:r w:rsidRPr="004E2B16">
        <w:rPr>
          <w:rFonts w:ascii="Times New Roman" w:hAnsi="Times New Roman" w:cs="Times New Roman"/>
          <w:sz w:val="24"/>
          <w:szCs w:val="24"/>
        </w:rPr>
        <w:t>n 2016</w:t>
      </w:r>
      <w:r w:rsidR="004E2B16">
        <w:rPr>
          <w:rFonts w:ascii="Times New Roman" w:hAnsi="Times New Roman" w:cs="Times New Roman"/>
          <w:sz w:val="24"/>
          <w:szCs w:val="24"/>
        </w:rPr>
        <w:t>,</w:t>
      </w:r>
      <w:r w:rsidRPr="004E2B16">
        <w:rPr>
          <w:rFonts w:ascii="Times New Roman" w:hAnsi="Times New Roman" w:cs="Times New Roman"/>
          <w:sz w:val="24"/>
          <w:szCs w:val="24"/>
        </w:rPr>
        <w:t xml:space="preserve"> it became a partner country</w:t>
      </w:r>
      <w:r w:rsidR="004E2B16">
        <w:rPr>
          <w:rFonts w:ascii="Times New Roman" w:hAnsi="Times New Roman" w:cs="Times New Roman"/>
          <w:sz w:val="24"/>
          <w:szCs w:val="24"/>
        </w:rPr>
        <w:t xml:space="preserve"> in the Partnership for Action on Green Economy (PAGE) of UN Environment</w:t>
      </w:r>
      <w:r w:rsidRPr="004E2B16">
        <w:rPr>
          <w:rFonts w:ascii="Times New Roman" w:hAnsi="Times New Roman" w:cs="Times New Roman"/>
          <w:sz w:val="24"/>
          <w:szCs w:val="24"/>
        </w:rPr>
        <w:t xml:space="preserve">. </w:t>
      </w:r>
    </w:p>
    <w:p w14:paraId="06E7DB72" w14:textId="77777777" w:rsidR="009A7DCE" w:rsidRPr="004E2B16" w:rsidRDefault="009A7DCE" w:rsidP="00447DF4">
      <w:pPr>
        <w:pStyle w:val="ListParagraph"/>
        <w:numPr>
          <w:ilvl w:val="0"/>
          <w:numId w:val="11"/>
        </w:numPr>
        <w:spacing w:after="0" w:line="240" w:lineRule="auto"/>
        <w:rPr>
          <w:rFonts w:ascii="Times New Roman" w:hAnsi="Times New Roman" w:cs="Times New Roman"/>
          <w:sz w:val="24"/>
          <w:szCs w:val="24"/>
        </w:rPr>
      </w:pPr>
      <w:r w:rsidRPr="004E2B16">
        <w:rPr>
          <w:rFonts w:ascii="Times New Roman" w:hAnsi="Times New Roman" w:cs="Times New Roman"/>
          <w:sz w:val="24"/>
          <w:szCs w:val="24"/>
        </w:rPr>
        <w:t xml:space="preserve">Tajikistan </w:t>
      </w:r>
      <w:r w:rsidR="004E2B16">
        <w:rPr>
          <w:rFonts w:ascii="Times New Roman" w:hAnsi="Times New Roman" w:cs="Times New Roman"/>
          <w:sz w:val="24"/>
          <w:szCs w:val="24"/>
        </w:rPr>
        <w:t xml:space="preserve">has </w:t>
      </w:r>
      <w:r w:rsidRPr="004E2B16">
        <w:rPr>
          <w:rFonts w:ascii="Times New Roman" w:hAnsi="Times New Roman" w:cs="Times New Roman"/>
          <w:sz w:val="24"/>
          <w:szCs w:val="24"/>
        </w:rPr>
        <w:t xml:space="preserve">also </w:t>
      </w:r>
      <w:r w:rsidR="004E2B16">
        <w:rPr>
          <w:rFonts w:ascii="Times New Roman" w:hAnsi="Times New Roman" w:cs="Times New Roman"/>
          <w:sz w:val="24"/>
          <w:szCs w:val="24"/>
        </w:rPr>
        <w:t xml:space="preserve">adopted </w:t>
      </w:r>
      <w:r w:rsidRPr="004E2B16">
        <w:rPr>
          <w:rFonts w:ascii="Times New Roman" w:hAnsi="Times New Roman" w:cs="Times New Roman"/>
          <w:sz w:val="24"/>
          <w:szCs w:val="24"/>
        </w:rPr>
        <w:t xml:space="preserve">a long-term strategy for transitioning to sustainable development (UNECE, 2012). </w:t>
      </w:r>
    </w:p>
    <w:p w14:paraId="07DA459C" w14:textId="77777777" w:rsidR="009A7DCE" w:rsidRPr="004E2B16" w:rsidRDefault="009A7DCE" w:rsidP="00447DF4">
      <w:pPr>
        <w:pStyle w:val="ListParagraph"/>
        <w:numPr>
          <w:ilvl w:val="0"/>
          <w:numId w:val="11"/>
        </w:numPr>
        <w:spacing w:after="0" w:line="240" w:lineRule="auto"/>
        <w:rPr>
          <w:rFonts w:ascii="Times New Roman" w:hAnsi="Times New Roman" w:cs="Times New Roman"/>
          <w:sz w:val="24"/>
          <w:szCs w:val="24"/>
        </w:rPr>
      </w:pPr>
      <w:r w:rsidRPr="004E2B16">
        <w:rPr>
          <w:rFonts w:ascii="Times New Roman" w:hAnsi="Times New Roman" w:cs="Times New Roman"/>
          <w:sz w:val="24"/>
          <w:szCs w:val="24"/>
        </w:rPr>
        <w:t>At the sub-regional level, the Interstate Commission on Sustainable Development (ICSD) has recognized the value of ongoing gre</w:t>
      </w:r>
      <w:r w:rsidR="004E2B16">
        <w:rPr>
          <w:rFonts w:ascii="Times New Roman" w:hAnsi="Times New Roman" w:cs="Times New Roman"/>
          <w:sz w:val="24"/>
          <w:szCs w:val="24"/>
        </w:rPr>
        <w:t>en economy work for its member S</w:t>
      </w:r>
      <w:r w:rsidRPr="004E2B16">
        <w:rPr>
          <w:rFonts w:ascii="Times New Roman" w:hAnsi="Times New Roman" w:cs="Times New Roman"/>
          <w:sz w:val="24"/>
          <w:szCs w:val="24"/>
        </w:rPr>
        <w:t>tates</w:t>
      </w:r>
      <w:r w:rsidR="004E2B16">
        <w:rPr>
          <w:rFonts w:ascii="Times New Roman" w:hAnsi="Times New Roman" w:cs="Times New Roman"/>
          <w:sz w:val="24"/>
          <w:szCs w:val="24"/>
        </w:rPr>
        <w:t>. T</w:t>
      </w:r>
      <w:r w:rsidRPr="004E2B16">
        <w:rPr>
          <w:rFonts w:ascii="Times New Roman" w:hAnsi="Times New Roman" w:cs="Times New Roman"/>
          <w:sz w:val="24"/>
          <w:szCs w:val="24"/>
        </w:rPr>
        <w:t xml:space="preserve">he five Central Asian countries endorsed </w:t>
      </w:r>
      <w:r w:rsidR="004E2B16" w:rsidRPr="004E2B16">
        <w:rPr>
          <w:rFonts w:ascii="Times New Roman" w:hAnsi="Times New Roman" w:cs="Times New Roman"/>
          <w:sz w:val="24"/>
          <w:szCs w:val="24"/>
        </w:rPr>
        <w:t>in 2016</w:t>
      </w:r>
      <w:r w:rsidR="004E2B16">
        <w:rPr>
          <w:rFonts w:ascii="Times New Roman" w:hAnsi="Times New Roman" w:cs="Times New Roman"/>
          <w:sz w:val="24"/>
          <w:szCs w:val="24"/>
        </w:rPr>
        <w:t xml:space="preserve"> </w:t>
      </w:r>
      <w:r w:rsidRPr="004E2B16">
        <w:rPr>
          <w:rFonts w:ascii="Times New Roman" w:hAnsi="Times New Roman" w:cs="Times New Roman"/>
          <w:sz w:val="24"/>
          <w:szCs w:val="24"/>
        </w:rPr>
        <w:t>the voluntary pan-European Strategic Framework for Greening the Economy, a tool that supports countries’</w:t>
      </w:r>
      <w:r w:rsidR="004E2B16">
        <w:rPr>
          <w:rFonts w:ascii="Times New Roman" w:hAnsi="Times New Roman" w:cs="Times New Roman"/>
          <w:sz w:val="24"/>
          <w:szCs w:val="24"/>
        </w:rPr>
        <w:t xml:space="preserve"> </w:t>
      </w:r>
      <w:r w:rsidRPr="004E2B16">
        <w:rPr>
          <w:rFonts w:ascii="Times New Roman" w:hAnsi="Times New Roman" w:cs="Times New Roman"/>
          <w:sz w:val="24"/>
          <w:szCs w:val="24"/>
        </w:rPr>
        <w:t>transition to a green economy and at the same time directly contributes to the implementation of SDGs.</w:t>
      </w:r>
    </w:p>
    <w:p w14:paraId="5BAD370E" w14:textId="77777777" w:rsidR="004E2B16" w:rsidRDefault="004E2B16" w:rsidP="004E2B16">
      <w:pPr>
        <w:spacing w:after="0" w:line="240" w:lineRule="auto"/>
        <w:rPr>
          <w:rFonts w:ascii="Times New Roman" w:hAnsi="Times New Roman" w:cs="Times New Roman"/>
          <w:sz w:val="24"/>
          <w:szCs w:val="24"/>
        </w:rPr>
      </w:pPr>
    </w:p>
    <w:p w14:paraId="1F25F592" w14:textId="13884FB4" w:rsidR="009A7DCE" w:rsidRPr="004E2B16" w:rsidRDefault="009A7DCE" w:rsidP="004E2B16">
      <w:pPr>
        <w:spacing w:after="0" w:line="240" w:lineRule="auto"/>
        <w:rPr>
          <w:rFonts w:ascii="Times New Roman" w:hAnsi="Times New Roman" w:cs="Times New Roman"/>
          <w:sz w:val="24"/>
          <w:szCs w:val="24"/>
        </w:rPr>
      </w:pPr>
      <w:r w:rsidRPr="004E2B16">
        <w:rPr>
          <w:rFonts w:ascii="Times New Roman" w:hAnsi="Times New Roman" w:cs="Times New Roman"/>
          <w:sz w:val="24"/>
          <w:szCs w:val="24"/>
        </w:rPr>
        <w:lastRenderedPageBreak/>
        <w:t xml:space="preserve">Encouraging environmentally sound production and trading patterns would have a positive impact on tackling important environmental issues in the </w:t>
      </w:r>
      <w:proofErr w:type="spellStart"/>
      <w:r w:rsidRPr="004E2B16">
        <w:rPr>
          <w:rFonts w:ascii="Times New Roman" w:hAnsi="Times New Roman" w:cs="Times New Roman"/>
          <w:sz w:val="24"/>
          <w:szCs w:val="24"/>
        </w:rPr>
        <w:t>subregion</w:t>
      </w:r>
      <w:proofErr w:type="spellEnd"/>
      <w:r w:rsidRPr="004E2B16">
        <w:rPr>
          <w:rFonts w:ascii="Times New Roman" w:hAnsi="Times New Roman" w:cs="Times New Roman"/>
          <w:sz w:val="24"/>
          <w:szCs w:val="24"/>
        </w:rPr>
        <w:t xml:space="preserve">. For example, exporting wheat produced on rainwater in </w:t>
      </w:r>
      <w:r w:rsidRPr="00D0740F">
        <w:rPr>
          <w:rFonts w:ascii="Times New Roman" w:hAnsi="Times New Roman" w:cs="Times New Roman"/>
          <w:bCs/>
          <w:sz w:val="24"/>
          <w:szCs w:val="24"/>
        </w:rPr>
        <w:t xml:space="preserve">Kazakhstan </w:t>
      </w:r>
      <w:r w:rsidRPr="004E2B16">
        <w:rPr>
          <w:rFonts w:ascii="Times New Roman" w:hAnsi="Times New Roman" w:cs="Times New Roman"/>
          <w:sz w:val="24"/>
          <w:szCs w:val="24"/>
        </w:rPr>
        <w:t xml:space="preserve">to drier countries to the south would have a positive impact on water management of the two large rivers in the </w:t>
      </w:r>
      <w:proofErr w:type="spellStart"/>
      <w:r w:rsidRPr="004E2B16">
        <w:rPr>
          <w:rFonts w:ascii="Times New Roman" w:hAnsi="Times New Roman" w:cs="Times New Roman"/>
          <w:sz w:val="24"/>
          <w:szCs w:val="24"/>
        </w:rPr>
        <w:t>subregion</w:t>
      </w:r>
      <w:proofErr w:type="spellEnd"/>
      <w:r w:rsidRPr="004E2B16">
        <w:rPr>
          <w:rFonts w:ascii="Times New Roman" w:hAnsi="Times New Roman" w:cs="Times New Roman"/>
          <w:sz w:val="24"/>
          <w:szCs w:val="24"/>
        </w:rPr>
        <w:t xml:space="preserve"> and the Aral Sea.</w:t>
      </w:r>
      <w:r w:rsidR="004E2B16">
        <w:rPr>
          <w:rFonts w:ascii="Times New Roman" w:hAnsi="Times New Roman" w:cs="Times New Roman"/>
          <w:sz w:val="24"/>
          <w:szCs w:val="24"/>
        </w:rPr>
        <w:t xml:space="preserve"> A study on such cases, possible impacts and remedies through regional cooperation may be undertaken in the SPECA framework. </w:t>
      </w:r>
    </w:p>
    <w:p w14:paraId="0E4AA195" w14:textId="77777777" w:rsidR="009A7DCE" w:rsidRPr="004E2B16" w:rsidRDefault="009A7DCE" w:rsidP="00F96D51">
      <w:pPr>
        <w:pStyle w:val="ListParagraph"/>
        <w:spacing w:after="0" w:line="240" w:lineRule="auto"/>
        <w:rPr>
          <w:rFonts w:ascii="Times New Roman" w:hAnsi="Times New Roman" w:cs="Times New Roman"/>
          <w:sz w:val="24"/>
          <w:szCs w:val="24"/>
        </w:rPr>
      </w:pPr>
    </w:p>
    <w:p w14:paraId="602585CD" w14:textId="3BA84A03" w:rsidR="009A7DCE" w:rsidRPr="004E2B16" w:rsidRDefault="00D0740F" w:rsidP="00D0740F">
      <w:pPr>
        <w:spacing w:after="0" w:line="240" w:lineRule="auto"/>
        <w:rPr>
          <w:rFonts w:ascii="Times New Roman" w:hAnsi="Times New Roman" w:cs="Times New Roman"/>
          <w:sz w:val="24"/>
          <w:szCs w:val="24"/>
        </w:rPr>
      </w:pPr>
      <w:r>
        <w:rPr>
          <w:rFonts w:ascii="Times New Roman" w:hAnsi="Times New Roman" w:cs="Times New Roman"/>
          <w:sz w:val="24"/>
          <w:szCs w:val="24"/>
        </w:rPr>
        <w:t>Equally</w:t>
      </w:r>
      <w:r w:rsidR="009A7DCE" w:rsidRPr="004E2B16">
        <w:rPr>
          <w:rFonts w:ascii="Times New Roman" w:hAnsi="Times New Roman" w:cs="Times New Roman"/>
          <w:sz w:val="24"/>
          <w:szCs w:val="24"/>
        </w:rPr>
        <w:t xml:space="preserve">, better water management could improve </w:t>
      </w:r>
      <w:r>
        <w:rPr>
          <w:rFonts w:ascii="Times New Roman" w:hAnsi="Times New Roman" w:cs="Times New Roman"/>
          <w:sz w:val="24"/>
          <w:szCs w:val="24"/>
        </w:rPr>
        <w:t xml:space="preserve">the efficiency of </w:t>
      </w:r>
      <w:r w:rsidR="009A7DCE" w:rsidRPr="004E2B16">
        <w:rPr>
          <w:rFonts w:ascii="Times New Roman" w:hAnsi="Times New Roman" w:cs="Times New Roman"/>
          <w:sz w:val="24"/>
          <w:szCs w:val="24"/>
        </w:rPr>
        <w:t xml:space="preserve">food processing </w:t>
      </w:r>
      <w:r>
        <w:rPr>
          <w:rFonts w:ascii="Times New Roman" w:hAnsi="Times New Roman" w:cs="Times New Roman"/>
          <w:sz w:val="24"/>
          <w:szCs w:val="24"/>
        </w:rPr>
        <w:t xml:space="preserve">and, consequently, </w:t>
      </w:r>
      <w:r w:rsidR="009A7DCE" w:rsidRPr="004E2B16">
        <w:rPr>
          <w:rFonts w:ascii="Times New Roman" w:hAnsi="Times New Roman" w:cs="Times New Roman"/>
          <w:sz w:val="24"/>
          <w:szCs w:val="24"/>
        </w:rPr>
        <w:t xml:space="preserve">increase </w:t>
      </w:r>
      <w:r w:rsidR="00B60053">
        <w:rPr>
          <w:rFonts w:ascii="Times New Roman" w:hAnsi="Times New Roman" w:cs="Times New Roman"/>
          <w:sz w:val="24"/>
          <w:szCs w:val="24"/>
        </w:rPr>
        <w:t xml:space="preserve">supply side capacity, </w:t>
      </w:r>
      <w:r>
        <w:rPr>
          <w:rFonts w:ascii="Times New Roman" w:hAnsi="Times New Roman" w:cs="Times New Roman"/>
          <w:sz w:val="24"/>
          <w:szCs w:val="24"/>
        </w:rPr>
        <w:t xml:space="preserve">exports and </w:t>
      </w:r>
      <w:r w:rsidR="009A7DCE" w:rsidRPr="004E2B16">
        <w:rPr>
          <w:rFonts w:ascii="Times New Roman" w:hAnsi="Times New Roman" w:cs="Times New Roman"/>
          <w:sz w:val="24"/>
          <w:szCs w:val="24"/>
        </w:rPr>
        <w:t xml:space="preserve">jobs in </w:t>
      </w:r>
      <w:r w:rsidR="004E2B16" w:rsidRPr="00D0740F">
        <w:rPr>
          <w:rFonts w:ascii="Times New Roman" w:hAnsi="Times New Roman" w:cs="Times New Roman"/>
          <w:bCs/>
          <w:sz w:val="24"/>
          <w:szCs w:val="24"/>
        </w:rPr>
        <w:t>Tajikistan</w:t>
      </w:r>
      <w:r>
        <w:rPr>
          <w:rFonts w:ascii="Times New Roman" w:hAnsi="Times New Roman" w:cs="Times New Roman"/>
          <w:sz w:val="24"/>
          <w:szCs w:val="24"/>
        </w:rPr>
        <w:t>, where a</w:t>
      </w:r>
      <w:r w:rsidR="009A7DCE" w:rsidRPr="004E2B16">
        <w:rPr>
          <w:rFonts w:ascii="Times New Roman" w:hAnsi="Times New Roman" w:cs="Times New Roman"/>
          <w:sz w:val="24"/>
          <w:szCs w:val="24"/>
        </w:rPr>
        <w:t xml:space="preserve">griculture </w:t>
      </w:r>
      <w:r w:rsidR="004E2B16">
        <w:rPr>
          <w:rFonts w:ascii="Times New Roman" w:hAnsi="Times New Roman" w:cs="Times New Roman"/>
          <w:sz w:val="24"/>
          <w:szCs w:val="24"/>
        </w:rPr>
        <w:t xml:space="preserve">on irrigation </w:t>
      </w:r>
      <w:r w:rsidR="009A7DCE" w:rsidRPr="004E2B16">
        <w:rPr>
          <w:rFonts w:ascii="Times New Roman" w:hAnsi="Times New Roman" w:cs="Times New Roman"/>
          <w:sz w:val="24"/>
          <w:szCs w:val="24"/>
        </w:rPr>
        <w:t xml:space="preserve">accounts for 90 percent of agricultural production in the country, but </w:t>
      </w:r>
      <w:r>
        <w:rPr>
          <w:rFonts w:ascii="Times New Roman" w:hAnsi="Times New Roman" w:cs="Times New Roman"/>
          <w:sz w:val="24"/>
          <w:szCs w:val="24"/>
        </w:rPr>
        <w:t xml:space="preserve">with low </w:t>
      </w:r>
      <w:r w:rsidR="009A7DCE" w:rsidRPr="004E2B16">
        <w:rPr>
          <w:rFonts w:ascii="Times New Roman" w:hAnsi="Times New Roman" w:cs="Times New Roman"/>
          <w:sz w:val="24"/>
          <w:szCs w:val="24"/>
        </w:rPr>
        <w:t xml:space="preserve">water </w:t>
      </w:r>
      <w:r>
        <w:rPr>
          <w:rFonts w:ascii="Times New Roman" w:hAnsi="Times New Roman" w:cs="Times New Roman"/>
          <w:sz w:val="24"/>
          <w:szCs w:val="24"/>
        </w:rPr>
        <w:t>productivity.</w:t>
      </w:r>
      <w:r w:rsidR="009A7DCE" w:rsidRPr="004E2B16">
        <w:rPr>
          <w:rFonts w:ascii="Times New Roman" w:hAnsi="Times New Roman" w:cs="Times New Roman"/>
          <w:sz w:val="24"/>
          <w:szCs w:val="24"/>
        </w:rPr>
        <w:t xml:space="preserve"> </w:t>
      </w:r>
      <w:r>
        <w:rPr>
          <w:rFonts w:ascii="Times New Roman" w:hAnsi="Times New Roman" w:cs="Times New Roman"/>
          <w:sz w:val="24"/>
          <w:szCs w:val="24"/>
        </w:rPr>
        <w:t xml:space="preserve">A way to </w:t>
      </w:r>
      <w:r w:rsidR="009A7DCE" w:rsidRPr="004E2B16">
        <w:rPr>
          <w:rFonts w:ascii="Times New Roman" w:hAnsi="Times New Roman" w:cs="Times New Roman"/>
          <w:sz w:val="24"/>
          <w:szCs w:val="24"/>
        </w:rPr>
        <w:t xml:space="preserve">improve </w:t>
      </w:r>
      <w:r>
        <w:rPr>
          <w:rFonts w:ascii="Times New Roman" w:hAnsi="Times New Roman" w:cs="Times New Roman"/>
          <w:sz w:val="24"/>
          <w:szCs w:val="24"/>
        </w:rPr>
        <w:t xml:space="preserve">this </w:t>
      </w:r>
      <w:r w:rsidR="009A7DCE" w:rsidRPr="004E2B16">
        <w:rPr>
          <w:rFonts w:ascii="Times New Roman" w:hAnsi="Times New Roman" w:cs="Times New Roman"/>
          <w:sz w:val="24"/>
          <w:szCs w:val="24"/>
        </w:rPr>
        <w:t xml:space="preserve">water productivity </w:t>
      </w:r>
      <w:r>
        <w:rPr>
          <w:rFonts w:ascii="Times New Roman" w:hAnsi="Times New Roman" w:cs="Times New Roman"/>
          <w:sz w:val="24"/>
          <w:szCs w:val="24"/>
        </w:rPr>
        <w:t xml:space="preserve">is to </w:t>
      </w:r>
      <w:r w:rsidR="009A7DCE" w:rsidRPr="004E2B16">
        <w:rPr>
          <w:rFonts w:ascii="Times New Roman" w:hAnsi="Times New Roman" w:cs="Times New Roman"/>
          <w:sz w:val="24"/>
          <w:szCs w:val="24"/>
        </w:rPr>
        <w:t xml:space="preserve">construct water reservoirs and shift to more water-efficient irrigation methods. </w:t>
      </w:r>
      <w:r>
        <w:rPr>
          <w:rFonts w:ascii="Times New Roman" w:hAnsi="Times New Roman" w:cs="Times New Roman"/>
          <w:sz w:val="24"/>
          <w:szCs w:val="24"/>
        </w:rPr>
        <w:t xml:space="preserve">More </w:t>
      </w:r>
      <w:r w:rsidR="009A7DCE" w:rsidRPr="004E2B16">
        <w:rPr>
          <w:rFonts w:ascii="Times New Roman" w:hAnsi="Times New Roman" w:cs="Times New Roman"/>
          <w:sz w:val="24"/>
          <w:szCs w:val="24"/>
        </w:rPr>
        <w:t>expertise, technologies and investment</w:t>
      </w:r>
      <w:r>
        <w:rPr>
          <w:rFonts w:ascii="Times New Roman" w:hAnsi="Times New Roman" w:cs="Times New Roman"/>
          <w:sz w:val="24"/>
          <w:szCs w:val="24"/>
        </w:rPr>
        <w:t xml:space="preserve">s (e.g. in </w:t>
      </w:r>
      <w:r w:rsidR="009A7DCE" w:rsidRPr="004E2B16">
        <w:rPr>
          <w:rFonts w:ascii="Times New Roman" w:hAnsi="Times New Roman" w:cs="Times New Roman"/>
          <w:sz w:val="24"/>
          <w:szCs w:val="24"/>
        </w:rPr>
        <w:t>reservoirs and dams</w:t>
      </w:r>
      <w:r>
        <w:rPr>
          <w:rFonts w:ascii="Times New Roman" w:hAnsi="Times New Roman" w:cs="Times New Roman"/>
          <w:sz w:val="24"/>
          <w:szCs w:val="24"/>
        </w:rPr>
        <w:t>) are needed</w:t>
      </w:r>
      <w:r w:rsidR="009A7DCE" w:rsidRPr="004E2B1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A7DCE" w:rsidRPr="004E2B16">
        <w:rPr>
          <w:rFonts w:ascii="Times New Roman" w:hAnsi="Times New Roman" w:cs="Times New Roman"/>
          <w:sz w:val="24"/>
          <w:szCs w:val="24"/>
        </w:rPr>
        <w:t xml:space="preserve">would benefit from better sub-regional cooperation, trade, and access to </w:t>
      </w:r>
      <w:r w:rsidR="005665E4">
        <w:rPr>
          <w:rFonts w:ascii="Times New Roman" w:hAnsi="Times New Roman" w:cs="Times New Roman"/>
          <w:sz w:val="24"/>
          <w:szCs w:val="24"/>
        </w:rPr>
        <w:t xml:space="preserve">funding from </w:t>
      </w:r>
      <w:r w:rsidR="009A7DCE" w:rsidRPr="004E2B16">
        <w:rPr>
          <w:rFonts w:ascii="Times New Roman" w:hAnsi="Times New Roman" w:cs="Times New Roman"/>
          <w:sz w:val="24"/>
          <w:szCs w:val="24"/>
        </w:rPr>
        <w:t>regional and international financial institutions</w:t>
      </w:r>
      <w:r w:rsidR="007A1A43">
        <w:rPr>
          <w:rFonts w:ascii="Times New Roman" w:hAnsi="Times New Roman" w:cs="Times New Roman"/>
          <w:sz w:val="24"/>
          <w:szCs w:val="24"/>
        </w:rPr>
        <w:t>.</w:t>
      </w:r>
      <w:r w:rsidR="00DC0173">
        <w:rPr>
          <w:rStyle w:val="FootnoteReference"/>
          <w:rFonts w:ascii="Times New Roman" w:hAnsi="Times New Roman" w:cs="Times New Roman"/>
          <w:sz w:val="24"/>
          <w:szCs w:val="24"/>
        </w:rPr>
        <w:footnoteReference w:id="5"/>
      </w:r>
      <w:r w:rsidR="009A7DCE" w:rsidRPr="004E2B16">
        <w:rPr>
          <w:rFonts w:ascii="Times New Roman" w:hAnsi="Times New Roman" w:cs="Times New Roman"/>
          <w:sz w:val="24"/>
          <w:szCs w:val="24"/>
        </w:rPr>
        <w:t xml:space="preserve"> </w:t>
      </w:r>
    </w:p>
    <w:p w14:paraId="1A8AFDEA" w14:textId="77777777" w:rsidR="009A7DCE" w:rsidRPr="004E2B16" w:rsidRDefault="009A7DCE" w:rsidP="00F96D51">
      <w:pPr>
        <w:pStyle w:val="ListParagraph"/>
        <w:spacing w:after="0" w:line="240" w:lineRule="auto"/>
        <w:rPr>
          <w:rFonts w:ascii="Times New Roman" w:hAnsi="Times New Roman" w:cs="Times New Roman"/>
          <w:sz w:val="24"/>
          <w:szCs w:val="24"/>
        </w:rPr>
      </w:pPr>
    </w:p>
    <w:p w14:paraId="613BB7D2" w14:textId="5712B621" w:rsidR="009A7DCE" w:rsidRPr="005665E4" w:rsidRDefault="007A1A43" w:rsidP="00E441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 </w:t>
      </w:r>
      <w:r w:rsidRPr="005665E4">
        <w:rPr>
          <w:rFonts w:ascii="Times New Roman" w:hAnsi="Times New Roman" w:cs="Times New Roman"/>
          <w:sz w:val="24"/>
          <w:szCs w:val="24"/>
        </w:rPr>
        <w:t xml:space="preserve">development of </w:t>
      </w:r>
      <w:r>
        <w:rPr>
          <w:rFonts w:ascii="Times New Roman" w:hAnsi="Times New Roman" w:cs="Times New Roman"/>
          <w:sz w:val="24"/>
          <w:szCs w:val="24"/>
        </w:rPr>
        <w:t>green energy (</w:t>
      </w:r>
      <w:r w:rsidRPr="005665E4">
        <w:rPr>
          <w:rFonts w:ascii="Times New Roman" w:hAnsi="Times New Roman" w:cs="Times New Roman"/>
          <w:sz w:val="24"/>
          <w:szCs w:val="24"/>
        </w:rPr>
        <w:t>hydropower, wind and solar projects</w:t>
      </w:r>
      <w:r>
        <w:rPr>
          <w:rFonts w:ascii="Times New Roman" w:hAnsi="Times New Roman" w:cs="Times New Roman"/>
          <w:sz w:val="24"/>
          <w:szCs w:val="24"/>
        </w:rPr>
        <w:t xml:space="preserve">) is a priority for the </w:t>
      </w:r>
      <w:proofErr w:type="spellStart"/>
      <w:r>
        <w:rPr>
          <w:rFonts w:ascii="Times New Roman" w:hAnsi="Times New Roman" w:cs="Times New Roman"/>
          <w:sz w:val="24"/>
          <w:szCs w:val="24"/>
        </w:rPr>
        <w:t>subregion</w:t>
      </w:r>
      <w:proofErr w:type="spellEnd"/>
      <w:r>
        <w:rPr>
          <w:rFonts w:ascii="Times New Roman" w:hAnsi="Times New Roman" w:cs="Times New Roman"/>
          <w:sz w:val="24"/>
          <w:szCs w:val="24"/>
        </w:rPr>
        <w:t xml:space="preserve">, it is important to support trade in goods and technologies </w:t>
      </w:r>
      <w:r w:rsidR="00E44112">
        <w:rPr>
          <w:rFonts w:ascii="Times New Roman" w:hAnsi="Times New Roman" w:cs="Times New Roman"/>
          <w:sz w:val="24"/>
          <w:szCs w:val="24"/>
        </w:rPr>
        <w:t>as inputs for these green technologies</w:t>
      </w:r>
      <w:r w:rsidRPr="005665E4">
        <w:rPr>
          <w:rFonts w:ascii="Times New Roman" w:hAnsi="Times New Roman" w:cs="Times New Roman"/>
          <w:sz w:val="24"/>
          <w:szCs w:val="24"/>
        </w:rPr>
        <w:t xml:space="preserve">. </w:t>
      </w:r>
      <w:r w:rsidR="009A7DCE" w:rsidRPr="005665E4">
        <w:rPr>
          <w:rFonts w:ascii="Times New Roman" w:hAnsi="Times New Roman" w:cs="Times New Roman"/>
          <w:sz w:val="24"/>
          <w:szCs w:val="24"/>
        </w:rPr>
        <w:t xml:space="preserve">The European Bank for Reconstruction and Development (EBRD), UNDP, the European Commission and other </w:t>
      </w:r>
      <w:r w:rsidR="00E44112">
        <w:rPr>
          <w:rFonts w:ascii="Times New Roman" w:hAnsi="Times New Roman" w:cs="Times New Roman"/>
          <w:sz w:val="24"/>
          <w:szCs w:val="24"/>
        </w:rPr>
        <w:t xml:space="preserve">development </w:t>
      </w:r>
      <w:r w:rsidR="009A7DCE" w:rsidRPr="005665E4">
        <w:rPr>
          <w:rFonts w:ascii="Times New Roman" w:hAnsi="Times New Roman" w:cs="Times New Roman"/>
          <w:sz w:val="24"/>
          <w:szCs w:val="24"/>
        </w:rPr>
        <w:t xml:space="preserve">partners </w:t>
      </w:r>
      <w:r w:rsidR="00E44112">
        <w:rPr>
          <w:rFonts w:ascii="Times New Roman" w:hAnsi="Times New Roman" w:cs="Times New Roman"/>
          <w:sz w:val="24"/>
          <w:szCs w:val="24"/>
        </w:rPr>
        <w:t xml:space="preserve">work </w:t>
      </w:r>
      <w:r w:rsidR="009A7DCE" w:rsidRPr="005665E4">
        <w:rPr>
          <w:rFonts w:ascii="Times New Roman" w:hAnsi="Times New Roman" w:cs="Times New Roman"/>
          <w:sz w:val="24"/>
          <w:szCs w:val="24"/>
        </w:rPr>
        <w:t xml:space="preserve">with relevant national agencies and institutions in </w:t>
      </w:r>
      <w:r w:rsidR="009A7DCE" w:rsidRPr="00E44112">
        <w:rPr>
          <w:rFonts w:ascii="Times New Roman" w:hAnsi="Times New Roman" w:cs="Times New Roman"/>
          <w:bCs/>
          <w:sz w:val="24"/>
          <w:szCs w:val="24"/>
        </w:rPr>
        <w:t>Kazakhstan, the Kyrgyz Republic, and Uzbekistan</w:t>
      </w:r>
      <w:r w:rsidR="00E44112">
        <w:rPr>
          <w:rFonts w:ascii="Times New Roman" w:hAnsi="Times New Roman" w:cs="Times New Roman"/>
          <w:sz w:val="24"/>
          <w:szCs w:val="24"/>
        </w:rPr>
        <w:t xml:space="preserve"> to develop </w:t>
      </w:r>
      <w:r w:rsidR="00E44112" w:rsidRPr="005665E4">
        <w:rPr>
          <w:rFonts w:ascii="Times New Roman" w:hAnsi="Times New Roman" w:cs="Times New Roman"/>
          <w:sz w:val="24"/>
          <w:szCs w:val="24"/>
        </w:rPr>
        <w:t xml:space="preserve">production capabilities in </w:t>
      </w:r>
      <w:r w:rsidR="00E44112">
        <w:rPr>
          <w:rFonts w:ascii="Times New Roman" w:hAnsi="Times New Roman" w:cs="Times New Roman"/>
          <w:sz w:val="24"/>
          <w:szCs w:val="24"/>
        </w:rPr>
        <w:t>these areas</w:t>
      </w:r>
      <w:r w:rsidR="009A7DCE" w:rsidRPr="005665E4">
        <w:rPr>
          <w:rFonts w:ascii="Times New Roman" w:hAnsi="Times New Roman" w:cs="Times New Roman"/>
          <w:sz w:val="24"/>
          <w:szCs w:val="24"/>
        </w:rPr>
        <w:t xml:space="preserve">. </w:t>
      </w:r>
      <w:r w:rsidR="00E44112">
        <w:rPr>
          <w:rFonts w:ascii="Times New Roman" w:hAnsi="Times New Roman" w:cs="Times New Roman"/>
          <w:sz w:val="24"/>
          <w:szCs w:val="24"/>
        </w:rPr>
        <w:t>In addition, c</w:t>
      </w:r>
      <w:r w:rsidR="009A7DCE" w:rsidRPr="005665E4">
        <w:rPr>
          <w:rFonts w:ascii="Times New Roman" w:hAnsi="Times New Roman" w:cs="Times New Roman"/>
          <w:sz w:val="24"/>
          <w:szCs w:val="24"/>
        </w:rPr>
        <w:t xml:space="preserve">ooperative planning may enable </w:t>
      </w:r>
      <w:r w:rsidR="005665E4">
        <w:rPr>
          <w:rFonts w:ascii="Times New Roman" w:hAnsi="Times New Roman" w:cs="Times New Roman"/>
          <w:sz w:val="24"/>
          <w:szCs w:val="24"/>
        </w:rPr>
        <w:t>SPECA</w:t>
      </w:r>
      <w:r w:rsidR="009A7DCE" w:rsidRPr="005665E4">
        <w:rPr>
          <w:rFonts w:ascii="Times New Roman" w:hAnsi="Times New Roman" w:cs="Times New Roman"/>
          <w:sz w:val="24"/>
          <w:szCs w:val="24"/>
        </w:rPr>
        <w:t xml:space="preserve"> countries to find ways to import more renewable energy from other countries of the region that have surplus capacity (e.g. hydropower in Tajikistan or wind power in </w:t>
      </w:r>
      <w:r w:rsidR="00E44112">
        <w:rPr>
          <w:rFonts w:ascii="Times New Roman" w:hAnsi="Times New Roman" w:cs="Times New Roman"/>
          <w:sz w:val="24"/>
          <w:szCs w:val="24"/>
        </w:rPr>
        <w:t>Kazakhstan</w:t>
      </w:r>
      <w:r w:rsidR="009A7DCE" w:rsidRPr="005665E4">
        <w:rPr>
          <w:rFonts w:ascii="Times New Roman" w:hAnsi="Times New Roman" w:cs="Times New Roman"/>
          <w:sz w:val="24"/>
          <w:szCs w:val="24"/>
        </w:rPr>
        <w:t xml:space="preserve">) and would benefit from </w:t>
      </w:r>
      <w:r w:rsidR="00E44112">
        <w:rPr>
          <w:rFonts w:ascii="Times New Roman" w:hAnsi="Times New Roman" w:cs="Times New Roman"/>
          <w:sz w:val="24"/>
          <w:szCs w:val="24"/>
        </w:rPr>
        <w:t>resulting</w:t>
      </w:r>
      <w:r w:rsidR="009A7DCE" w:rsidRPr="005665E4">
        <w:rPr>
          <w:rFonts w:ascii="Times New Roman" w:hAnsi="Times New Roman" w:cs="Times New Roman"/>
          <w:sz w:val="24"/>
          <w:szCs w:val="24"/>
        </w:rPr>
        <w:t xml:space="preserve"> economies of scale from increased trade.</w:t>
      </w:r>
      <w:r w:rsidR="00C1094D">
        <w:rPr>
          <w:rStyle w:val="FootnoteReference"/>
          <w:rFonts w:ascii="Times New Roman" w:hAnsi="Times New Roman" w:cs="Times New Roman"/>
          <w:sz w:val="24"/>
          <w:szCs w:val="24"/>
        </w:rPr>
        <w:footnoteReference w:id="6"/>
      </w:r>
    </w:p>
    <w:p w14:paraId="4B07EDDF" w14:textId="77777777" w:rsidR="009A7DCE" w:rsidRDefault="009A7DCE" w:rsidP="002D6665">
      <w:pPr>
        <w:spacing w:after="0" w:line="240" w:lineRule="auto"/>
      </w:pPr>
    </w:p>
    <w:p w14:paraId="0A3D6426" w14:textId="7836CF51" w:rsidR="002D6665" w:rsidRPr="002D6665" w:rsidRDefault="00A53865" w:rsidP="002D6665">
      <w:pPr>
        <w:pStyle w:val="NormalWeb"/>
        <w:spacing w:before="0" w:beforeAutospacing="0" w:after="0" w:afterAutospacing="0"/>
        <w:rPr>
          <w:b/>
          <w:bCs/>
        </w:rPr>
      </w:pPr>
      <w:r>
        <w:rPr>
          <w:b/>
          <w:bCs/>
        </w:rPr>
        <w:t>R</w:t>
      </w:r>
      <w:r w:rsidR="002D6665" w:rsidRPr="002D6665">
        <w:rPr>
          <w:b/>
          <w:bCs/>
        </w:rPr>
        <w:t xml:space="preserve">egional trade </w:t>
      </w:r>
      <w:r>
        <w:rPr>
          <w:b/>
          <w:bCs/>
        </w:rPr>
        <w:t xml:space="preserve">growth </w:t>
      </w:r>
      <w:r w:rsidR="002D6665" w:rsidRPr="002D6665">
        <w:rPr>
          <w:b/>
          <w:bCs/>
        </w:rPr>
        <w:t>and sustainable development</w:t>
      </w:r>
    </w:p>
    <w:p w14:paraId="7037BB00" w14:textId="2FCB6937" w:rsidR="002D6665" w:rsidRDefault="002D6665" w:rsidP="002D6665">
      <w:pPr>
        <w:pStyle w:val="NormalWeb"/>
        <w:spacing w:before="0" w:beforeAutospacing="0" w:after="0" w:afterAutospacing="0"/>
      </w:pPr>
    </w:p>
    <w:p w14:paraId="2F4ABC98" w14:textId="70A328FF" w:rsidR="00A53865" w:rsidRDefault="00A53865" w:rsidP="00A53865">
      <w:pPr>
        <w:pStyle w:val="NormalWeb"/>
        <w:spacing w:before="0" w:beforeAutospacing="0" w:after="0" w:afterAutospacing="0"/>
      </w:pPr>
      <w:r>
        <w:t xml:space="preserve">The SPECA region </w:t>
      </w:r>
      <w:proofErr w:type="gramStart"/>
      <w:r>
        <w:t>as a whole has</w:t>
      </w:r>
      <w:proofErr w:type="gramEnd"/>
      <w:r>
        <w:t xml:space="preserve"> made great progress in the last years in the achievement of SDG 17.10: promotion of the international rules-based trading system based on the WTO. With the accession of Afghanistan and Kazakhstan, more than 50% of the </w:t>
      </w:r>
      <w:r w:rsidR="00B60053">
        <w:t xml:space="preserve">SPECA </w:t>
      </w:r>
      <w:r>
        <w:t xml:space="preserve">countries are </w:t>
      </w:r>
      <w:r w:rsidR="00B60053">
        <w:t>now</w:t>
      </w:r>
      <w:r>
        <w:t xml:space="preserve"> members of the organization. Four countries are already full members: Afghanistan, Kazakhstan, Kyrgyzstan and Tajikistan. Two are observers: Azerbaijan and Uzbekistan, which are in the process of accession. </w:t>
      </w:r>
      <w:proofErr w:type="gramStart"/>
      <w:r>
        <w:t>With regard to</w:t>
      </w:r>
      <w:proofErr w:type="gramEnd"/>
      <w:r>
        <w:t xml:space="preserve"> Turkmenistan, much was done in the framework of SPECA for the</w:t>
      </w:r>
      <w:r w:rsidR="00B60053">
        <w:t xml:space="preserve"> information of Turkmenistan’s G</w:t>
      </w:r>
      <w:r>
        <w:t>overnment on the WTO and the accession process: the country participated on a very high level in the SPECA trade meeting</w:t>
      </w:r>
      <w:r w:rsidR="00B60053">
        <w:t>s</w:t>
      </w:r>
      <w:r>
        <w:t xml:space="preserve"> in 2015</w:t>
      </w:r>
      <w:r w:rsidR="00B60053">
        <w:t xml:space="preserve"> and 2017</w:t>
      </w:r>
      <w:r>
        <w:t xml:space="preserve">, the delegation met the WTO Director General. In May 2016, Turkmenistan organized a very successful regional Trade Policy Forum and meeting of the SPECA Working Group on Trade. </w:t>
      </w:r>
    </w:p>
    <w:p w14:paraId="295057FA" w14:textId="0A4BD24D" w:rsidR="00A53865" w:rsidRDefault="00A53865" w:rsidP="00A53865">
      <w:pPr>
        <w:pStyle w:val="NormalWeb"/>
        <w:spacing w:before="0" w:beforeAutospacing="0" w:after="0" w:afterAutospacing="0"/>
      </w:pPr>
    </w:p>
    <w:p w14:paraId="08880F27" w14:textId="61DA30B1" w:rsidR="006074D1" w:rsidRDefault="00A53865" w:rsidP="00B812AB">
      <w:pPr>
        <w:pStyle w:val="NormalWeb"/>
        <w:spacing w:before="0" w:beforeAutospacing="0" w:after="0" w:afterAutospacing="0"/>
      </w:pPr>
      <w:proofErr w:type="gramStart"/>
      <w:r>
        <w:t>With regard to</w:t>
      </w:r>
      <w:proofErr w:type="gramEnd"/>
      <w:r>
        <w:t xml:space="preserve"> SDG 17.11: increase the share of developing countries in world exports, the focus of SPECA is on increasing intra-regional trade, which is exceptionally low (see fig.</w:t>
      </w:r>
      <w:r w:rsidR="00B60053">
        <w:t>3 below</w:t>
      </w:r>
      <w:r w:rsidR="002056D7">
        <w:t>)</w:t>
      </w:r>
      <w:r w:rsidR="006074D1">
        <w:t xml:space="preserve">. </w:t>
      </w:r>
      <w:r w:rsidR="006074D1" w:rsidRPr="00FB52AE">
        <w:t>Export values of al</w:t>
      </w:r>
      <w:r w:rsidR="006074D1">
        <w:t xml:space="preserve">l SPECA countries to the world </w:t>
      </w:r>
      <w:r w:rsidR="006074D1" w:rsidRPr="00FB52AE">
        <w:t xml:space="preserve">in 2016 </w:t>
      </w:r>
      <w:r w:rsidR="006074D1">
        <w:t>declined compared to 2014 by 49%</w:t>
      </w:r>
      <w:r w:rsidR="006074D1" w:rsidRPr="00FB52AE">
        <w:t>.</w:t>
      </w:r>
      <w:r w:rsidR="006074D1">
        <w:t xml:space="preserve"> For the same period, total world export values decreased as well by 16</w:t>
      </w:r>
      <w:proofErr w:type="gramStart"/>
      <w:r w:rsidR="006074D1">
        <w:t>%</w:t>
      </w:r>
      <w:r w:rsidR="00B60053">
        <w:t xml:space="preserve"> </w:t>
      </w:r>
      <w:r w:rsidR="00A46C3C">
        <w:t>.</w:t>
      </w:r>
      <w:proofErr w:type="gramEnd"/>
      <w:r w:rsidR="006074D1">
        <w:t xml:space="preserve"> </w:t>
      </w:r>
      <w:r w:rsidR="00242C77">
        <w:t>E</w:t>
      </w:r>
      <w:r w:rsidR="006074D1">
        <w:t xml:space="preserve">xport share of SPECA countries in the world trade </w:t>
      </w:r>
      <w:r w:rsidR="00242C77">
        <w:t>declined from 0,75</w:t>
      </w:r>
      <w:r w:rsidR="006074D1">
        <w:t xml:space="preserve"> percentage point in 2014 to</w:t>
      </w:r>
      <w:r w:rsidR="00242C77">
        <w:t xml:space="preserve"> 0,45 percentage points in 2016 (see fig.4). </w:t>
      </w:r>
      <w:r w:rsidR="00B44E07">
        <w:t xml:space="preserve">There is a high potential to improve regional trade </w:t>
      </w:r>
      <w:r w:rsidR="007A2D38">
        <w:t xml:space="preserve">as well as </w:t>
      </w:r>
      <w:r w:rsidR="00B812AB">
        <w:t xml:space="preserve">the countries’ </w:t>
      </w:r>
      <w:r w:rsidR="007A2D38">
        <w:t>share in world</w:t>
      </w:r>
      <w:r w:rsidR="00B812AB">
        <w:t xml:space="preserve"> exports</w:t>
      </w:r>
      <w:r w:rsidR="007A2D38">
        <w:t>.</w:t>
      </w:r>
    </w:p>
    <w:p w14:paraId="0A487F13" w14:textId="1A3FB932" w:rsidR="006074D1" w:rsidRDefault="006074D1" w:rsidP="006074D1">
      <w:pPr>
        <w:pStyle w:val="NormalWeb"/>
        <w:spacing w:before="0" w:beforeAutospacing="0" w:after="0" w:afterAutospacing="0"/>
      </w:pPr>
    </w:p>
    <w:p w14:paraId="22B70CB7" w14:textId="0C3F7B5C" w:rsidR="006074D1" w:rsidRDefault="006074D1" w:rsidP="006074D1">
      <w:pPr>
        <w:pStyle w:val="NormalWeb"/>
        <w:spacing w:before="0" w:beforeAutospacing="0" w:after="0" w:afterAutospacing="0"/>
        <w:rPr>
          <w:b/>
          <w:bCs/>
        </w:rPr>
      </w:pPr>
      <w:r>
        <w:rPr>
          <w:b/>
          <w:bCs/>
        </w:rPr>
        <w:t>Conclusion</w:t>
      </w:r>
    </w:p>
    <w:p w14:paraId="7A6C3BA1" w14:textId="77777777" w:rsidR="00242C77" w:rsidRPr="005665E4" w:rsidRDefault="00242C77" w:rsidP="006074D1">
      <w:pPr>
        <w:pStyle w:val="NormalWeb"/>
        <w:spacing w:before="0" w:beforeAutospacing="0" w:after="0" w:afterAutospacing="0"/>
        <w:rPr>
          <w:b/>
          <w:bCs/>
        </w:rPr>
      </w:pPr>
    </w:p>
    <w:p w14:paraId="636F7B0E" w14:textId="0A8C459B" w:rsidR="006074D1" w:rsidRPr="007024C8" w:rsidRDefault="006074D1" w:rsidP="00A46C3C">
      <w:pPr>
        <w:spacing w:after="0" w:line="240" w:lineRule="auto"/>
        <w:jc w:val="both"/>
        <w:rPr>
          <w:rFonts w:ascii="Times New Roman" w:hAnsi="Times New Roman" w:cs="Times New Roman"/>
          <w:sz w:val="24"/>
          <w:szCs w:val="24"/>
        </w:rPr>
      </w:pPr>
      <w:proofErr w:type="spellStart"/>
      <w:r w:rsidRPr="007024C8">
        <w:rPr>
          <w:rFonts w:ascii="Times New Roman" w:hAnsi="Times New Roman" w:cs="Times New Roman"/>
          <w:sz w:val="24"/>
          <w:szCs w:val="24"/>
        </w:rPr>
        <w:t>Subregional</w:t>
      </w:r>
      <w:proofErr w:type="spellEnd"/>
      <w:r w:rsidRPr="007024C8">
        <w:rPr>
          <w:rFonts w:ascii="Times New Roman" w:hAnsi="Times New Roman" w:cs="Times New Roman"/>
          <w:sz w:val="24"/>
          <w:szCs w:val="24"/>
        </w:rPr>
        <w:t xml:space="preserve"> cooperation on developing rules and practices promoting the parallel advance of trade and sustainable development will help achieve a more efficient shift to sustainable trade policies and practices</w:t>
      </w:r>
      <w:r w:rsidR="00A46C3C">
        <w:rPr>
          <w:rFonts w:ascii="Times New Roman" w:hAnsi="Times New Roman" w:cs="Times New Roman"/>
          <w:sz w:val="24"/>
          <w:szCs w:val="24"/>
        </w:rPr>
        <w:t xml:space="preserve"> in the SPECA </w:t>
      </w:r>
      <w:proofErr w:type="spellStart"/>
      <w:r w:rsidR="00A46C3C">
        <w:rPr>
          <w:rFonts w:ascii="Times New Roman" w:hAnsi="Times New Roman" w:cs="Times New Roman"/>
          <w:sz w:val="24"/>
          <w:szCs w:val="24"/>
        </w:rPr>
        <w:t>subregion</w:t>
      </w:r>
      <w:proofErr w:type="spellEnd"/>
      <w:r w:rsidRPr="007024C8">
        <w:rPr>
          <w:rFonts w:ascii="Times New Roman" w:hAnsi="Times New Roman" w:cs="Times New Roman"/>
          <w:sz w:val="24"/>
          <w:szCs w:val="24"/>
        </w:rPr>
        <w:t xml:space="preserve">. </w:t>
      </w:r>
      <w:r>
        <w:rPr>
          <w:rFonts w:ascii="Times New Roman" w:hAnsi="Times New Roman" w:cs="Times New Roman"/>
          <w:sz w:val="24"/>
          <w:szCs w:val="24"/>
        </w:rPr>
        <w:t>E</w:t>
      </w:r>
      <w:r w:rsidRPr="007024C8">
        <w:rPr>
          <w:rFonts w:ascii="Times New Roman" w:hAnsi="Times New Roman" w:cs="Times New Roman"/>
          <w:sz w:val="24"/>
          <w:szCs w:val="24"/>
        </w:rPr>
        <w:t xml:space="preserve">conomic and trade diversification, as well as economic, environmental and social innovations related to sustainable development would create more trade opportunities and generate larger scale efficiency, while creating new “green” jobs. </w:t>
      </w:r>
    </w:p>
    <w:p w14:paraId="46D0B93A" w14:textId="77777777" w:rsidR="006074D1" w:rsidRPr="007024C8" w:rsidRDefault="006074D1" w:rsidP="006074D1">
      <w:pPr>
        <w:spacing w:after="0" w:line="240" w:lineRule="auto"/>
        <w:rPr>
          <w:rFonts w:ascii="Times New Roman" w:hAnsi="Times New Roman" w:cs="Times New Roman"/>
          <w:sz w:val="24"/>
          <w:szCs w:val="24"/>
        </w:rPr>
      </w:pPr>
    </w:p>
    <w:p w14:paraId="05B5FB5C" w14:textId="7CEEADA8" w:rsidR="007A2D38" w:rsidRDefault="006074D1" w:rsidP="006074D1">
      <w:pPr>
        <w:spacing w:after="0" w:line="240" w:lineRule="auto"/>
        <w:jc w:val="both"/>
        <w:rPr>
          <w:rFonts w:ascii="Times New Roman" w:hAnsi="Times New Roman"/>
          <w:sz w:val="24"/>
          <w:szCs w:val="24"/>
        </w:rPr>
      </w:pPr>
      <w:r w:rsidRPr="007024C8">
        <w:rPr>
          <w:rFonts w:ascii="Times New Roman" w:hAnsi="Times New Roman" w:cs="Times New Roman"/>
          <w:sz w:val="24"/>
          <w:szCs w:val="24"/>
        </w:rPr>
        <w:t xml:space="preserve">The SPECA framework may serve as a platform to analyze the effects of potential growth of intra-regional trade, as well as possible impact of trade policy reform and </w:t>
      </w:r>
      <w:proofErr w:type="spellStart"/>
      <w:r w:rsidRPr="007024C8">
        <w:rPr>
          <w:rFonts w:ascii="Times New Roman" w:hAnsi="Times New Roman" w:cs="Times New Roman"/>
          <w:sz w:val="24"/>
          <w:szCs w:val="24"/>
        </w:rPr>
        <w:t>subregional</w:t>
      </w:r>
      <w:proofErr w:type="spellEnd"/>
      <w:r w:rsidRPr="007024C8">
        <w:rPr>
          <w:rFonts w:ascii="Times New Roman" w:hAnsi="Times New Roman" w:cs="Times New Roman"/>
          <w:sz w:val="24"/>
          <w:szCs w:val="24"/>
        </w:rPr>
        <w:t xml:space="preserve"> cooperation on the capacity of SPECA countries to implement the sustainable development goals related to trade. </w:t>
      </w:r>
      <w:r w:rsidRPr="001544EF">
        <w:rPr>
          <w:rFonts w:ascii="Times New Roman" w:hAnsi="Times New Roman"/>
          <w:sz w:val="24"/>
          <w:szCs w:val="24"/>
        </w:rPr>
        <w:t xml:space="preserve">Based on </w:t>
      </w:r>
      <w:r>
        <w:rPr>
          <w:rFonts w:ascii="Times New Roman" w:hAnsi="Times New Roman"/>
          <w:sz w:val="24"/>
          <w:szCs w:val="24"/>
        </w:rPr>
        <w:t xml:space="preserve">such an </w:t>
      </w:r>
      <w:r w:rsidRPr="001544EF">
        <w:rPr>
          <w:rFonts w:ascii="Times New Roman" w:hAnsi="Times New Roman"/>
          <w:sz w:val="24"/>
          <w:szCs w:val="24"/>
        </w:rPr>
        <w:t xml:space="preserve">analysis, a list of recommendations </w:t>
      </w:r>
      <w:r>
        <w:rPr>
          <w:rFonts w:ascii="Times New Roman" w:hAnsi="Times New Roman"/>
          <w:sz w:val="24"/>
          <w:szCs w:val="24"/>
        </w:rPr>
        <w:t>to the countries and the UN secretariat would be prepared in the SPECA framework, with a focus on:</w:t>
      </w:r>
    </w:p>
    <w:p w14:paraId="5F8D4CF3" w14:textId="77777777" w:rsidR="006074D1" w:rsidRDefault="006074D1" w:rsidP="007A2D38">
      <w:pPr>
        <w:numPr>
          <w:ilvl w:val="1"/>
          <w:numId w:val="12"/>
        </w:numPr>
        <w:spacing w:after="0" w:line="240" w:lineRule="auto"/>
        <w:ind w:left="720"/>
        <w:jc w:val="both"/>
        <w:rPr>
          <w:rFonts w:ascii="Times New Roman" w:hAnsi="Times New Roman"/>
          <w:sz w:val="24"/>
          <w:szCs w:val="24"/>
        </w:rPr>
      </w:pPr>
      <w:r>
        <w:rPr>
          <w:rFonts w:ascii="Times New Roman" w:hAnsi="Times New Roman"/>
          <w:sz w:val="24"/>
          <w:szCs w:val="24"/>
        </w:rPr>
        <w:t xml:space="preserve">Possible input to policy decisions in </w:t>
      </w:r>
      <w:r w:rsidRPr="001544EF">
        <w:rPr>
          <w:rFonts w:ascii="Times New Roman" w:hAnsi="Times New Roman"/>
          <w:sz w:val="24"/>
          <w:szCs w:val="24"/>
        </w:rPr>
        <w:t>SPECA countries</w:t>
      </w:r>
      <w:r>
        <w:rPr>
          <w:rFonts w:ascii="Times New Roman" w:hAnsi="Times New Roman"/>
          <w:sz w:val="24"/>
          <w:szCs w:val="24"/>
        </w:rPr>
        <w:t xml:space="preserve">’ efforts to achieve the SDGs. </w:t>
      </w:r>
    </w:p>
    <w:p w14:paraId="4ACDFC4A" w14:textId="634A0BDD" w:rsidR="006074D1" w:rsidRDefault="006074D1" w:rsidP="007A2D38">
      <w:pPr>
        <w:numPr>
          <w:ilvl w:val="1"/>
          <w:numId w:val="12"/>
        </w:numPr>
        <w:spacing w:after="0" w:line="240" w:lineRule="auto"/>
        <w:ind w:left="720"/>
        <w:jc w:val="both"/>
        <w:rPr>
          <w:rFonts w:ascii="Times New Roman" w:hAnsi="Times New Roman"/>
          <w:sz w:val="24"/>
          <w:szCs w:val="24"/>
        </w:rPr>
      </w:pPr>
      <w:r>
        <w:rPr>
          <w:rFonts w:ascii="Times New Roman" w:hAnsi="Times New Roman"/>
          <w:sz w:val="24"/>
          <w:szCs w:val="24"/>
        </w:rPr>
        <w:t xml:space="preserve">Identification of </w:t>
      </w:r>
      <w:r w:rsidRPr="00B16B77">
        <w:rPr>
          <w:rFonts w:ascii="Times New Roman" w:hAnsi="Times New Roman"/>
          <w:sz w:val="24"/>
          <w:szCs w:val="24"/>
        </w:rPr>
        <w:t>next steps</w:t>
      </w:r>
      <w:r>
        <w:rPr>
          <w:rFonts w:ascii="Times New Roman" w:hAnsi="Times New Roman"/>
          <w:sz w:val="24"/>
          <w:szCs w:val="24"/>
        </w:rPr>
        <w:t xml:space="preserve">, in terms of work </w:t>
      </w:r>
      <w:proofErr w:type="spellStart"/>
      <w:r>
        <w:rPr>
          <w:rFonts w:ascii="Times New Roman" w:hAnsi="Times New Roman"/>
          <w:sz w:val="24"/>
          <w:szCs w:val="24"/>
        </w:rPr>
        <w:t>programmes</w:t>
      </w:r>
      <w:proofErr w:type="spellEnd"/>
      <w:r>
        <w:rPr>
          <w:rFonts w:ascii="Times New Roman" w:hAnsi="Times New Roman"/>
          <w:sz w:val="24"/>
          <w:szCs w:val="24"/>
        </w:rPr>
        <w:t>, cooperation plans, exchange of best practices, standards and tools for sustainable trade, water management</w:t>
      </w:r>
      <w:r w:rsidR="00A46C3C">
        <w:rPr>
          <w:rFonts w:ascii="Times New Roman" w:hAnsi="Times New Roman"/>
          <w:sz w:val="24"/>
          <w:szCs w:val="24"/>
        </w:rPr>
        <w:t>,</w:t>
      </w:r>
      <w:r>
        <w:rPr>
          <w:rFonts w:ascii="Times New Roman" w:hAnsi="Times New Roman"/>
          <w:sz w:val="24"/>
          <w:szCs w:val="24"/>
        </w:rPr>
        <w:t xml:space="preserve"> food security</w:t>
      </w:r>
      <w:r w:rsidRPr="00EB0835">
        <w:rPr>
          <w:rFonts w:ascii="Times New Roman" w:hAnsi="Times New Roman"/>
          <w:sz w:val="24"/>
          <w:szCs w:val="24"/>
        </w:rPr>
        <w:t xml:space="preserve">, </w:t>
      </w:r>
      <w:r w:rsidR="00A46C3C">
        <w:rPr>
          <w:rFonts w:ascii="Times New Roman" w:hAnsi="Times New Roman"/>
          <w:sz w:val="24"/>
          <w:szCs w:val="24"/>
        </w:rPr>
        <w:t xml:space="preserve">and other areas, </w:t>
      </w:r>
      <w:proofErr w:type="gramStart"/>
      <w:r w:rsidRPr="00EB0835">
        <w:rPr>
          <w:rFonts w:ascii="Times New Roman" w:hAnsi="Times New Roman"/>
          <w:sz w:val="24"/>
          <w:szCs w:val="24"/>
        </w:rPr>
        <w:t>in order to</w:t>
      </w:r>
      <w:proofErr w:type="gramEnd"/>
      <w:r w:rsidRPr="00EB0835">
        <w:rPr>
          <w:rFonts w:ascii="Times New Roman" w:hAnsi="Times New Roman"/>
          <w:sz w:val="24"/>
          <w:szCs w:val="24"/>
        </w:rPr>
        <w:t xml:space="preserve"> achieve the SDGs in the SPECA </w:t>
      </w:r>
      <w:proofErr w:type="spellStart"/>
      <w:r w:rsidRPr="00EB0835">
        <w:rPr>
          <w:rFonts w:ascii="Times New Roman" w:hAnsi="Times New Roman"/>
          <w:sz w:val="24"/>
          <w:szCs w:val="24"/>
        </w:rPr>
        <w:t>subregion</w:t>
      </w:r>
      <w:proofErr w:type="spellEnd"/>
      <w:r>
        <w:rPr>
          <w:rFonts w:ascii="Times New Roman" w:hAnsi="Times New Roman"/>
          <w:sz w:val="24"/>
          <w:szCs w:val="24"/>
        </w:rPr>
        <w:t>.</w:t>
      </w:r>
    </w:p>
    <w:p w14:paraId="5B547FF1" w14:textId="49CF0539" w:rsidR="006074D1" w:rsidRPr="001544EF" w:rsidRDefault="006074D1" w:rsidP="007A2D38">
      <w:pPr>
        <w:numPr>
          <w:ilvl w:val="1"/>
          <w:numId w:val="12"/>
        </w:numPr>
        <w:spacing w:after="0" w:line="240" w:lineRule="auto"/>
        <w:ind w:left="720"/>
        <w:jc w:val="both"/>
        <w:rPr>
          <w:rFonts w:ascii="Times New Roman" w:hAnsi="Times New Roman"/>
          <w:sz w:val="24"/>
          <w:szCs w:val="24"/>
        </w:rPr>
      </w:pPr>
      <w:r>
        <w:rPr>
          <w:rFonts w:ascii="Times New Roman" w:hAnsi="Times New Roman"/>
          <w:sz w:val="24"/>
          <w:szCs w:val="24"/>
        </w:rPr>
        <w:t xml:space="preserve">Definition of </w:t>
      </w:r>
      <w:r w:rsidRPr="001544EF">
        <w:rPr>
          <w:rFonts w:ascii="Times New Roman" w:hAnsi="Times New Roman"/>
          <w:sz w:val="24"/>
          <w:szCs w:val="24"/>
        </w:rPr>
        <w:t xml:space="preserve">areas, in which </w:t>
      </w:r>
      <w:proofErr w:type="spellStart"/>
      <w:r w:rsidRPr="001544EF">
        <w:rPr>
          <w:rFonts w:ascii="Times New Roman" w:hAnsi="Times New Roman"/>
          <w:sz w:val="24"/>
          <w:szCs w:val="24"/>
        </w:rPr>
        <w:t>subregional</w:t>
      </w:r>
      <w:proofErr w:type="spellEnd"/>
      <w:r w:rsidRPr="001544EF">
        <w:rPr>
          <w:rFonts w:ascii="Times New Roman" w:hAnsi="Times New Roman"/>
          <w:sz w:val="24"/>
          <w:szCs w:val="24"/>
        </w:rPr>
        <w:t xml:space="preserve"> projects </w:t>
      </w:r>
      <w:r w:rsidR="00A46C3C">
        <w:rPr>
          <w:rFonts w:ascii="Times New Roman" w:hAnsi="Times New Roman"/>
          <w:sz w:val="24"/>
          <w:szCs w:val="24"/>
        </w:rPr>
        <w:t xml:space="preserve">on sustainable trade </w:t>
      </w:r>
      <w:r w:rsidRPr="001544EF">
        <w:rPr>
          <w:rFonts w:ascii="Times New Roman" w:hAnsi="Times New Roman"/>
          <w:sz w:val="24"/>
          <w:szCs w:val="24"/>
        </w:rPr>
        <w:t>would be likely to attract funding</w:t>
      </w:r>
      <w:r>
        <w:rPr>
          <w:rFonts w:ascii="Times New Roman" w:hAnsi="Times New Roman"/>
          <w:sz w:val="24"/>
          <w:szCs w:val="24"/>
        </w:rPr>
        <w:t xml:space="preserve"> for these next steps</w:t>
      </w:r>
      <w:r w:rsidRPr="001544EF">
        <w:rPr>
          <w:rFonts w:ascii="Times New Roman" w:hAnsi="Times New Roman"/>
          <w:sz w:val="24"/>
          <w:szCs w:val="24"/>
        </w:rPr>
        <w:t>.</w:t>
      </w:r>
    </w:p>
    <w:p w14:paraId="747F89EE" w14:textId="4548D5CE" w:rsidR="00DB1872" w:rsidRDefault="00DB1872" w:rsidP="00A53865">
      <w:pPr>
        <w:pStyle w:val="NormalWeb"/>
        <w:spacing w:before="0" w:beforeAutospacing="0" w:after="0" w:afterAutospacing="0"/>
      </w:pPr>
    </w:p>
    <w:p w14:paraId="5F1CA8EE" w14:textId="72B4A014" w:rsidR="00DB1872" w:rsidRDefault="00DB1872" w:rsidP="00A53865">
      <w:pPr>
        <w:pStyle w:val="NormalWeb"/>
        <w:spacing w:before="0" w:beforeAutospacing="0" w:after="0" w:afterAutospacing="0"/>
      </w:pPr>
    </w:p>
    <w:p w14:paraId="166E2444" w14:textId="3BA22ECC" w:rsidR="00DB1872" w:rsidRDefault="00DB1872" w:rsidP="00A53865">
      <w:pPr>
        <w:pStyle w:val="NormalWeb"/>
        <w:spacing w:before="0" w:beforeAutospacing="0" w:after="0" w:afterAutospacing="0"/>
      </w:pPr>
    </w:p>
    <w:p w14:paraId="57EA1343" w14:textId="002E10A8" w:rsidR="00DB1872" w:rsidRDefault="00DB1872" w:rsidP="00A53865">
      <w:pPr>
        <w:pStyle w:val="NormalWeb"/>
        <w:spacing w:before="0" w:beforeAutospacing="0" w:after="0" w:afterAutospacing="0"/>
      </w:pPr>
    </w:p>
    <w:p w14:paraId="0F5BD5CF" w14:textId="09C7C97D" w:rsidR="00DB1872" w:rsidRDefault="00DB1872" w:rsidP="00A53865">
      <w:pPr>
        <w:pStyle w:val="NormalWeb"/>
        <w:spacing w:before="0" w:beforeAutospacing="0" w:after="0" w:afterAutospacing="0"/>
        <w:sectPr w:rsidR="00DB1872" w:rsidSect="00FE1DA2">
          <w:headerReference w:type="default" r:id="rId9"/>
          <w:headerReference w:type="first" r:id="rId10"/>
          <w:pgSz w:w="12240" w:h="15840" w:code="1"/>
          <w:pgMar w:top="900" w:right="1440" w:bottom="1080" w:left="1440" w:header="270" w:footer="720" w:gutter="0"/>
          <w:cols w:space="720"/>
          <w:titlePg/>
          <w:docGrid w:linePitch="360"/>
        </w:sectPr>
      </w:pPr>
    </w:p>
    <w:p w14:paraId="75CEA8D8" w14:textId="22861DE5" w:rsidR="00887015" w:rsidRDefault="00FE1DA2" w:rsidP="00FE1DA2">
      <w:pPr>
        <w:pStyle w:val="Caption"/>
        <w:ind w:left="-990"/>
        <w:jc w:val="center"/>
        <w:rPr>
          <w:rFonts w:ascii="Times New Roman" w:hAnsi="Times New Roman" w:cs="Times New Roman"/>
          <w:bCs/>
          <w:color w:val="auto"/>
          <w:sz w:val="24"/>
          <w:szCs w:val="24"/>
        </w:rPr>
      </w:pPr>
      <w:r w:rsidRPr="00C3489B">
        <w:rPr>
          <w:rFonts w:ascii="Times New Roman" w:hAnsi="Times New Roman" w:cs="Times New Roman"/>
          <w:b/>
          <w:i w:val="0"/>
          <w:color w:val="auto"/>
          <w:sz w:val="24"/>
          <w:szCs w:val="24"/>
        </w:rPr>
        <w:lastRenderedPageBreak/>
        <w:t xml:space="preserve">Figure </w:t>
      </w:r>
      <w:r w:rsidRPr="00C3489B">
        <w:rPr>
          <w:rFonts w:ascii="Times New Roman" w:hAnsi="Times New Roman" w:cs="Times New Roman"/>
          <w:b/>
          <w:i w:val="0"/>
          <w:color w:val="auto"/>
          <w:sz w:val="24"/>
          <w:szCs w:val="24"/>
        </w:rPr>
        <w:fldChar w:fldCharType="begin"/>
      </w:r>
      <w:r w:rsidRPr="00C3489B">
        <w:rPr>
          <w:rFonts w:ascii="Times New Roman" w:hAnsi="Times New Roman" w:cs="Times New Roman"/>
          <w:b/>
          <w:i w:val="0"/>
          <w:color w:val="auto"/>
          <w:sz w:val="24"/>
          <w:szCs w:val="24"/>
        </w:rPr>
        <w:instrText xml:space="preserve"> SEQ Figure \* ARABIC </w:instrText>
      </w:r>
      <w:r w:rsidRPr="00C3489B">
        <w:rPr>
          <w:rFonts w:ascii="Times New Roman" w:hAnsi="Times New Roman" w:cs="Times New Roman"/>
          <w:b/>
          <w:i w:val="0"/>
          <w:color w:val="auto"/>
          <w:sz w:val="24"/>
          <w:szCs w:val="24"/>
        </w:rPr>
        <w:fldChar w:fldCharType="separate"/>
      </w:r>
      <w:r w:rsidR="001037F0">
        <w:rPr>
          <w:rFonts w:ascii="Times New Roman" w:hAnsi="Times New Roman" w:cs="Times New Roman"/>
          <w:b/>
          <w:i w:val="0"/>
          <w:noProof/>
          <w:color w:val="auto"/>
          <w:sz w:val="24"/>
          <w:szCs w:val="24"/>
        </w:rPr>
        <w:t>2</w:t>
      </w:r>
      <w:r w:rsidRPr="00C3489B">
        <w:rPr>
          <w:rFonts w:ascii="Times New Roman" w:hAnsi="Times New Roman" w:cs="Times New Roman"/>
          <w:b/>
          <w:i w:val="0"/>
          <w:color w:val="auto"/>
          <w:sz w:val="24"/>
          <w:szCs w:val="24"/>
        </w:rPr>
        <w:fldChar w:fldCharType="end"/>
      </w:r>
      <w:r w:rsidRPr="00C3489B">
        <w:rPr>
          <w:rFonts w:ascii="Times New Roman" w:hAnsi="Times New Roman" w:cs="Times New Roman"/>
          <w:color w:val="auto"/>
          <w:sz w:val="24"/>
          <w:szCs w:val="24"/>
        </w:rPr>
        <w:t xml:space="preserve">: </w:t>
      </w:r>
      <w:r w:rsidRPr="00C3489B">
        <w:rPr>
          <w:rFonts w:ascii="Times New Roman" w:hAnsi="Times New Roman" w:cs="Times New Roman"/>
          <w:bCs/>
          <w:color w:val="auto"/>
          <w:sz w:val="24"/>
          <w:szCs w:val="24"/>
        </w:rPr>
        <w:t xml:space="preserve">Trade </w:t>
      </w:r>
      <w:r w:rsidR="00887015">
        <w:rPr>
          <w:rFonts w:ascii="Times New Roman" w:hAnsi="Times New Roman" w:cs="Times New Roman"/>
          <w:bCs/>
          <w:color w:val="auto"/>
          <w:sz w:val="24"/>
          <w:szCs w:val="24"/>
        </w:rPr>
        <w:t xml:space="preserve">in goods </w:t>
      </w:r>
      <w:r w:rsidRPr="00C3489B">
        <w:rPr>
          <w:rFonts w:ascii="Times New Roman" w:hAnsi="Times New Roman" w:cs="Times New Roman"/>
          <w:bCs/>
          <w:color w:val="auto"/>
          <w:sz w:val="24"/>
          <w:szCs w:val="24"/>
        </w:rPr>
        <w:t xml:space="preserve">among SPECA countries (in </w:t>
      </w:r>
      <w:proofErr w:type="gramStart"/>
      <w:r w:rsidRPr="00C3489B">
        <w:rPr>
          <w:rFonts w:ascii="Times New Roman" w:hAnsi="Times New Roman" w:cs="Times New Roman"/>
          <w:bCs/>
          <w:color w:val="auto"/>
          <w:sz w:val="24"/>
          <w:szCs w:val="24"/>
        </w:rPr>
        <w:t>thousands</w:t>
      </w:r>
      <w:proofErr w:type="gramEnd"/>
      <w:r w:rsidRPr="00C3489B">
        <w:rPr>
          <w:rFonts w:ascii="Times New Roman" w:hAnsi="Times New Roman" w:cs="Times New Roman"/>
          <w:bCs/>
          <w:color w:val="auto"/>
          <w:sz w:val="24"/>
          <w:szCs w:val="24"/>
        </w:rPr>
        <w:t xml:space="preserve"> US dollars) 2014</w:t>
      </w:r>
      <w:r w:rsidR="00887015">
        <w:rPr>
          <w:rFonts w:ascii="Times New Roman" w:hAnsi="Times New Roman" w:cs="Times New Roman"/>
          <w:bCs/>
          <w:color w:val="auto"/>
          <w:sz w:val="24"/>
          <w:szCs w:val="24"/>
        </w:rPr>
        <w:t>-</w:t>
      </w:r>
      <w:r w:rsidRPr="00C3489B">
        <w:rPr>
          <w:rFonts w:ascii="Times New Roman" w:hAnsi="Times New Roman" w:cs="Times New Roman"/>
          <w:bCs/>
          <w:color w:val="auto"/>
          <w:sz w:val="24"/>
          <w:szCs w:val="24"/>
        </w:rPr>
        <w:t>201</w:t>
      </w:r>
      <w:r w:rsidR="00887015">
        <w:rPr>
          <w:rFonts w:ascii="Times New Roman" w:hAnsi="Times New Roman" w:cs="Times New Roman"/>
          <w:bCs/>
          <w:color w:val="auto"/>
          <w:sz w:val="24"/>
          <w:szCs w:val="24"/>
        </w:rPr>
        <w:t>7</w:t>
      </w:r>
      <w:r w:rsidRPr="00C3489B">
        <w:rPr>
          <w:rFonts w:ascii="Times New Roman" w:hAnsi="Times New Roman" w:cs="Times New Roman"/>
          <w:bCs/>
          <w:color w:val="auto"/>
          <w:sz w:val="24"/>
          <w:szCs w:val="24"/>
        </w:rPr>
        <w:t xml:space="preserve">. </w:t>
      </w:r>
      <w:r w:rsidRPr="00C3489B">
        <w:rPr>
          <w:color w:val="auto"/>
        </w:rPr>
        <w:t xml:space="preserve"> </w:t>
      </w:r>
      <w:r w:rsidRPr="00C3489B">
        <w:rPr>
          <w:rFonts w:ascii="Times New Roman" w:hAnsi="Times New Roman" w:cs="Times New Roman"/>
          <w:bCs/>
          <w:color w:val="auto"/>
          <w:sz w:val="24"/>
          <w:szCs w:val="24"/>
        </w:rPr>
        <w:t>Source: UNCOMTRADE</w:t>
      </w:r>
      <w:r w:rsidR="00887015">
        <w:rPr>
          <w:rFonts w:ascii="Times New Roman" w:hAnsi="Times New Roman" w:cs="Times New Roman"/>
          <w:bCs/>
          <w:color w:val="auto"/>
          <w:sz w:val="24"/>
          <w:szCs w:val="24"/>
        </w:rPr>
        <w:t xml:space="preserve"> </w:t>
      </w:r>
      <w:r w:rsidR="00FC312F">
        <w:rPr>
          <w:rFonts w:ascii="Times New Roman" w:hAnsi="Times New Roman" w:cs="Times New Roman"/>
          <w:bCs/>
          <w:color w:val="auto"/>
          <w:sz w:val="24"/>
          <w:szCs w:val="24"/>
        </w:rPr>
        <w:t>m</w:t>
      </w:r>
      <w:r w:rsidR="00887015">
        <w:rPr>
          <w:rFonts w:ascii="Times New Roman" w:hAnsi="Times New Roman" w:cs="Times New Roman"/>
          <w:bCs/>
          <w:color w:val="auto"/>
          <w:sz w:val="24"/>
          <w:szCs w:val="24"/>
        </w:rPr>
        <w:t>irror data estimates</w:t>
      </w:r>
      <w:r w:rsidRPr="00C3489B">
        <w:rPr>
          <w:rFonts w:ascii="Times New Roman" w:hAnsi="Times New Roman" w:cs="Times New Roman"/>
          <w:bCs/>
          <w:color w:val="auto"/>
          <w:sz w:val="24"/>
          <w:szCs w:val="24"/>
        </w:rPr>
        <w:t xml:space="preserve"> </w:t>
      </w:r>
    </w:p>
    <w:tbl>
      <w:tblPr>
        <w:tblW w:w="10686" w:type="dxa"/>
        <w:tblLook w:val="04A0" w:firstRow="1" w:lastRow="0" w:firstColumn="1" w:lastColumn="0" w:noHBand="0" w:noVBand="1"/>
      </w:tblPr>
      <w:tblGrid>
        <w:gridCol w:w="2200"/>
        <w:gridCol w:w="1040"/>
        <w:gridCol w:w="56"/>
        <w:gridCol w:w="1096"/>
        <w:gridCol w:w="18"/>
        <w:gridCol w:w="1080"/>
        <w:gridCol w:w="1096"/>
        <w:gridCol w:w="74"/>
        <w:gridCol w:w="921"/>
        <w:gridCol w:w="74"/>
        <w:gridCol w:w="923"/>
        <w:gridCol w:w="74"/>
        <w:gridCol w:w="923"/>
        <w:gridCol w:w="74"/>
        <w:gridCol w:w="923"/>
        <w:gridCol w:w="87"/>
        <w:gridCol w:w="29"/>
      </w:tblGrid>
      <w:tr w:rsidR="00887015" w:rsidRPr="00C40E68" w14:paraId="0D8294E8" w14:textId="77777777" w:rsidTr="00887015">
        <w:trPr>
          <w:trHeight w:val="300"/>
        </w:trPr>
        <w:tc>
          <w:tcPr>
            <w:tcW w:w="2200" w:type="dxa"/>
            <w:tcBorders>
              <w:top w:val="nil"/>
              <w:left w:val="nil"/>
              <w:bottom w:val="nil"/>
              <w:right w:val="nil"/>
            </w:tcBorders>
            <w:shd w:val="clear" w:color="auto" w:fill="auto"/>
            <w:noWrap/>
            <w:vAlign w:val="bottom"/>
          </w:tcPr>
          <w:p w14:paraId="7FA558EA" w14:textId="0EECC80B" w:rsidR="00887015" w:rsidRPr="00887015" w:rsidRDefault="00887015" w:rsidP="00887015">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Afghanistan</w:t>
            </w:r>
          </w:p>
        </w:tc>
        <w:tc>
          <w:tcPr>
            <w:tcW w:w="8486" w:type="dxa"/>
            <w:gridSpan w:val="16"/>
            <w:tcBorders>
              <w:top w:val="nil"/>
              <w:left w:val="nil"/>
              <w:bottom w:val="single" w:sz="4" w:space="0" w:color="auto"/>
              <w:right w:val="nil"/>
            </w:tcBorders>
            <w:shd w:val="clear" w:color="auto" w:fill="auto"/>
            <w:noWrap/>
            <w:vAlign w:val="bottom"/>
            <w:hideMark/>
          </w:tcPr>
          <w:p w14:paraId="0550F2E3" w14:textId="77777777" w:rsidR="00887015" w:rsidRPr="00C40E68" w:rsidRDefault="00887015" w:rsidP="00FF1217">
            <w:pPr>
              <w:spacing w:after="0" w:line="240" w:lineRule="auto"/>
              <w:jc w:val="center"/>
              <w:rPr>
                <w:rFonts w:ascii="Times New Roman" w:eastAsia="Times New Roman" w:hAnsi="Times New Roman" w:cs="Times New Roman"/>
                <w:sz w:val="20"/>
                <w:szCs w:val="20"/>
              </w:rPr>
            </w:pPr>
          </w:p>
        </w:tc>
      </w:tr>
      <w:tr w:rsidR="00887015" w:rsidRPr="00C40E68" w14:paraId="04701966" w14:textId="77777777" w:rsidTr="00887015">
        <w:trPr>
          <w:gridAfter w:val="1"/>
          <w:wAfter w:w="27" w:type="dxa"/>
          <w:trHeight w:val="300"/>
        </w:trPr>
        <w:tc>
          <w:tcPr>
            <w:tcW w:w="2200" w:type="dxa"/>
            <w:tcBorders>
              <w:top w:val="nil"/>
              <w:left w:val="nil"/>
              <w:bottom w:val="nil"/>
              <w:right w:val="single" w:sz="4" w:space="0" w:color="auto"/>
            </w:tcBorders>
            <w:shd w:val="clear" w:color="auto" w:fill="auto"/>
            <w:noWrap/>
            <w:vAlign w:val="bottom"/>
            <w:hideMark/>
          </w:tcPr>
          <w:p w14:paraId="659742B9" w14:textId="77777777" w:rsidR="00887015" w:rsidRPr="00C40E68" w:rsidRDefault="00887015" w:rsidP="00FF1217">
            <w:pPr>
              <w:spacing w:after="0" w:line="240" w:lineRule="auto"/>
              <w:rPr>
                <w:rFonts w:ascii="Times New Roman" w:eastAsia="Times New Roman" w:hAnsi="Times New Roman" w:cs="Times New Roman"/>
                <w:sz w:val="20"/>
                <w:szCs w:val="20"/>
              </w:rPr>
            </w:pPr>
          </w:p>
        </w:tc>
        <w:tc>
          <w:tcPr>
            <w:tcW w:w="44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7A71E" w14:textId="77777777" w:rsidR="00887015" w:rsidRPr="00C40E68" w:rsidRDefault="00887015" w:rsidP="00FF1217">
            <w:pPr>
              <w:spacing w:after="0" w:line="240" w:lineRule="auto"/>
              <w:jc w:val="center"/>
              <w:rPr>
                <w:rFonts w:ascii="Times New Roman" w:eastAsia="Times New Roman" w:hAnsi="Times New Roman" w:cs="Times New Roman"/>
                <w:sz w:val="20"/>
                <w:szCs w:val="20"/>
              </w:rPr>
            </w:pPr>
            <w:r w:rsidRPr="00C40E68">
              <w:rPr>
                <w:rFonts w:ascii="Times New Roman" w:eastAsia="Times New Roman" w:hAnsi="Times New Roman" w:cs="Times New Roman"/>
                <w:color w:val="000000"/>
              </w:rPr>
              <w:t>Export</w:t>
            </w:r>
          </w:p>
        </w:tc>
        <w:tc>
          <w:tcPr>
            <w:tcW w:w="399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32A07" w14:textId="77777777" w:rsidR="00887015" w:rsidRPr="00C40E68" w:rsidRDefault="00887015" w:rsidP="00FF1217">
            <w:pPr>
              <w:spacing w:after="0" w:line="240" w:lineRule="auto"/>
              <w:jc w:val="center"/>
              <w:rPr>
                <w:rFonts w:ascii="Times New Roman" w:eastAsia="Times New Roman" w:hAnsi="Times New Roman" w:cs="Times New Roman"/>
                <w:sz w:val="20"/>
                <w:szCs w:val="20"/>
              </w:rPr>
            </w:pPr>
            <w:r w:rsidRPr="00C40E68">
              <w:rPr>
                <w:rFonts w:ascii="Times New Roman" w:eastAsia="Times New Roman" w:hAnsi="Times New Roman" w:cs="Times New Roman"/>
                <w:color w:val="000000"/>
              </w:rPr>
              <w:t>Import</w:t>
            </w:r>
          </w:p>
        </w:tc>
      </w:tr>
      <w:tr w:rsidR="00887015" w:rsidRPr="00C40E68" w14:paraId="0D0B57CF" w14:textId="77777777" w:rsidTr="00887015">
        <w:trPr>
          <w:gridAfter w:val="1"/>
          <w:wAfter w:w="27" w:type="dxa"/>
          <w:trHeight w:val="300"/>
        </w:trPr>
        <w:tc>
          <w:tcPr>
            <w:tcW w:w="2200" w:type="dxa"/>
            <w:tcBorders>
              <w:top w:val="nil"/>
              <w:left w:val="nil"/>
              <w:bottom w:val="single" w:sz="4" w:space="0" w:color="auto"/>
              <w:right w:val="single" w:sz="4" w:space="0" w:color="auto"/>
            </w:tcBorders>
            <w:shd w:val="clear" w:color="auto" w:fill="auto"/>
            <w:noWrap/>
            <w:vAlign w:val="bottom"/>
            <w:hideMark/>
          </w:tcPr>
          <w:p w14:paraId="5B8B2323" w14:textId="77777777" w:rsidR="00887015" w:rsidRPr="00C40E68" w:rsidRDefault="00887015" w:rsidP="00FF1217">
            <w:pPr>
              <w:spacing w:after="0" w:line="240" w:lineRule="auto"/>
              <w:rPr>
                <w:rFonts w:ascii="Times New Roman" w:eastAsia="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FE1B1"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1ECF6"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C72E9"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10A72"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A7AED"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AA2D4"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5527E"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A7D72"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r>
      <w:tr w:rsidR="00887015" w:rsidRPr="00C40E68" w14:paraId="70DF4981" w14:textId="77777777" w:rsidTr="00887015">
        <w:trPr>
          <w:gridAfter w:val="1"/>
          <w:wAfter w:w="27"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44811"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Afghanistan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D5990"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1DBA8"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476B3"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A937D"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8C999"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ACC59"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E3D0A"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85FC7"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r>
      <w:tr w:rsidR="00887015" w:rsidRPr="00C40E68" w14:paraId="6EF0DA16" w14:textId="77777777" w:rsidTr="00887015">
        <w:trPr>
          <w:gridAfter w:val="1"/>
          <w:wAfter w:w="27"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3CF93"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Azerbaijan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F2208"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94866"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B536F"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CB620"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39336"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301971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3512F"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121169</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E7EB9"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27833</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0426A"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33058</w:t>
            </w:r>
          </w:p>
        </w:tc>
      </w:tr>
      <w:tr w:rsidR="00887015" w:rsidRPr="00C40E68" w14:paraId="66719590" w14:textId="77777777" w:rsidTr="00887015">
        <w:trPr>
          <w:gridAfter w:val="1"/>
          <w:wAfter w:w="27"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B73DB"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Kazakhstan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867C1"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2056</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15718"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4630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6F07D"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2104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4AACD"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2416</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95E94"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340238</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E2104"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381495</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57AB5"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484209</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14CF1"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670111</w:t>
            </w:r>
          </w:p>
        </w:tc>
      </w:tr>
      <w:tr w:rsidR="00887015" w:rsidRPr="00C40E68" w14:paraId="2051C008" w14:textId="77777777" w:rsidTr="00887015">
        <w:trPr>
          <w:gridAfter w:val="1"/>
          <w:wAfter w:w="27"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39140"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Kyrgyzstan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81939"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84</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C5270"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52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3450A"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55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C6CDE"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198</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9717E"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14460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3B762"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5921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EDE74"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3926</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8D64A"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1153</w:t>
            </w:r>
          </w:p>
        </w:tc>
      </w:tr>
      <w:tr w:rsidR="00887015" w:rsidRPr="00C40E68" w14:paraId="46A5E332" w14:textId="77777777" w:rsidTr="00887015">
        <w:trPr>
          <w:gridAfter w:val="1"/>
          <w:wAfter w:w="27"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0C300" w14:textId="77777777" w:rsidR="00887015" w:rsidRPr="00C40E68" w:rsidRDefault="00887015" w:rsidP="00FF1217">
            <w:pPr>
              <w:spacing w:after="0" w:line="240" w:lineRule="auto"/>
              <w:rPr>
                <w:rFonts w:ascii="Times New Roman" w:eastAsia="Times New Roman" w:hAnsi="Times New Roman" w:cs="Times New Roman"/>
                <w:color w:val="000000"/>
              </w:rPr>
            </w:pPr>
            <w:proofErr w:type="spellStart"/>
            <w:r w:rsidRPr="00C40E68">
              <w:rPr>
                <w:rFonts w:ascii="Times New Roman" w:eastAsia="Times New Roman" w:hAnsi="Times New Roman" w:cs="Times New Roman"/>
                <w:color w:val="000000"/>
              </w:rPr>
              <w:t>Tajikstan</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5DDDE"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51045</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D8C0D"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24617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2B90B"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19840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1D19B"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23572</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315C0"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31637</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65CE9"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50357</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741A4"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43025</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E191A"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64779</w:t>
            </w:r>
          </w:p>
        </w:tc>
      </w:tr>
      <w:tr w:rsidR="00887015" w:rsidRPr="00C40E68" w14:paraId="60B14D5A" w14:textId="77777777" w:rsidTr="00887015">
        <w:trPr>
          <w:gridAfter w:val="1"/>
          <w:wAfter w:w="27"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9CC74"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Turkmenistan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56F6F"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0C161"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668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767BA"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1153</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31AF8"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E721C"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C8A19"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594987</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A802D"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287633</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426CD"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r>
      <w:tr w:rsidR="00887015" w:rsidRPr="00C40E68" w14:paraId="0590C52D" w14:textId="77777777" w:rsidTr="00887015">
        <w:trPr>
          <w:gridAfter w:val="1"/>
          <w:wAfter w:w="27"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16F75"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Uzbekistan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D955A"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759DD"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187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F47A8"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264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CBFBC"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488FB"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7DE6C"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358790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CBBE2"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361159</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0C775"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460527</w:t>
            </w:r>
          </w:p>
        </w:tc>
      </w:tr>
      <w:tr w:rsidR="00887015" w:rsidRPr="00C40E68" w14:paraId="59C26584" w14:textId="77777777" w:rsidTr="00887015">
        <w:trPr>
          <w:gridAfter w:val="1"/>
          <w:wAfter w:w="27"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8F198"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Whole World</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90813"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570534</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768B2"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571405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81316"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596455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10317"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780000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07781"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7697178</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543C9"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7722865</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67180"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6534140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D2287"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7700000</w:t>
            </w:r>
          </w:p>
        </w:tc>
      </w:tr>
      <w:tr w:rsidR="00887015" w:rsidRPr="00C40E68" w14:paraId="7CC0D5D6" w14:textId="77777777" w:rsidTr="00887015">
        <w:trPr>
          <w:gridAfter w:val="1"/>
          <w:wAfter w:w="27"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D55F1"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Total SPECA</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6C1FD"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53185</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CCCAB"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30156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49A14"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23416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7E8EE"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26186</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FA903"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688307</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3948F"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1512720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6FBD3"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1207785</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7D19A"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1229627</w:t>
            </w:r>
          </w:p>
        </w:tc>
      </w:tr>
      <w:tr w:rsidR="00887015" w:rsidRPr="00C40E68" w14:paraId="1284DFE0" w14:textId="77777777" w:rsidTr="00887015">
        <w:trPr>
          <w:gridAfter w:val="1"/>
          <w:wAfter w:w="27"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86B3B"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Trade with SPECA in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66CE8" w14:textId="77777777" w:rsidR="00887015" w:rsidRPr="00C40E68" w:rsidRDefault="00887015" w:rsidP="00FF1217">
            <w:pPr>
              <w:ind w:left="-14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9.3</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CDC24" w14:textId="77777777" w:rsidR="00887015" w:rsidRPr="00C40E68" w:rsidRDefault="00887015" w:rsidP="00FF1217">
            <w:pPr>
              <w:ind w:left="-14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64570" w14:textId="77777777" w:rsidR="00887015" w:rsidRPr="00C40E68" w:rsidRDefault="00887015" w:rsidP="00FF1217">
            <w:pPr>
              <w:ind w:left="-14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3.9</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2DD44" w14:textId="77777777" w:rsidR="00887015" w:rsidRPr="00C40E68" w:rsidRDefault="00887015" w:rsidP="00FF1217">
            <w:pPr>
              <w:ind w:left="-14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3.4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F2BAF" w14:textId="77777777" w:rsidR="00887015" w:rsidRPr="00C40E68" w:rsidRDefault="00887015" w:rsidP="00FF1217">
            <w:pPr>
              <w:ind w:left="-14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8.9</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B91F8" w14:textId="77777777" w:rsidR="00887015" w:rsidRPr="00C40E68" w:rsidRDefault="00887015" w:rsidP="00FF1217">
            <w:pPr>
              <w:ind w:left="-14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19.6</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BB62E" w14:textId="77777777" w:rsidR="00887015" w:rsidRPr="00C40E68" w:rsidRDefault="00887015" w:rsidP="00FF1217">
            <w:pPr>
              <w:ind w:left="-14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18.5</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8C972" w14:textId="77777777" w:rsidR="00887015" w:rsidRPr="00C40E68" w:rsidRDefault="00887015" w:rsidP="00FF1217">
            <w:pPr>
              <w:ind w:left="-14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16.0</w:t>
            </w:r>
          </w:p>
        </w:tc>
      </w:tr>
      <w:tr w:rsidR="00887015" w:rsidRPr="00C40E68" w14:paraId="6CFF6886" w14:textId="77777777" w:rsidTr="00887015">
        <w:trPr>
          <w:gridAfter w:val="2"/>
          <w:wAfter w:w="116" w:type="dxa"/>
          <w:trHeight w:val="300"/>
        </w:trPr>
        <w:tc>
          <w:tcPr>
            <w:tcW w:w="2200" w:type="dxa"/>
            <w:tcBorders>
              <w:top w:val="nil"/>
              <w:left w:val="nil"/>
              <w:bottom w:val="nil"/>
              <w:right w:val="nil"/>
            </w:tcBorders>
            <w:shd w:val="clear" w:color="auto" w:fill="auto"/>
            <w:noWrap/>
            <w:vAlign w:val="bottom"/>
          </w:tcPr>
          <w:p w14:paraId="687FEE7B" w14:textId="77777777" w:rsidR="00887015" w:rsidRDefault="00887015" w:rsidP="00FF1217">
            <w:pPr>
              <w:spacing w:after="0" w:line="240" w:lineRule="auto"/>
              <w:jc w:val="center"/>
              <w:rPr>
                <w:rFonts w:ascii="Times New Roman" w:eastAsia="Times New Roman" w:hAnsi="Times New Roman" w:cs="Times New Roman"/>
                <w:b/>
                <w:bCs/>
                <w:color w:val="000000"/>
                <w:sz w:val="32"/>
                <w:szCs w:val="32"/>
              </w:rPr>
            </w:pPr>
          </w:p>
          <w:p w14:paraId="72E10A65" w14:textId="2CC2FBEE" w:rsidR="00887015" w:rsidRPr="00887015" w:rsidRDefault="00887015" w:rsidP="00887015">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Azerbaijan</w:t>
            </w:r>
          </w:p>
        </w:tc>
        <w:tc>
          <w:tcPr>
            <w:tcW w:w="8370" w:type="dxa"/>
            <w:gridSpan w:val="14"/>
            <w:tcBorders>
              <w:top w:val="nil"/>
              <w:left w:val="nil"/>
              <w:bottom w:val="single" w:sz="4" w:space="0" w:color="auto"/>
              <w:right w:val="nil"/>
            </w:tcBorders>
            <w:shd w:val="clear" w:color="auto" w:fill="auto"/>
            <w:noWrap/>
            <w:vAlign w:val="bottom"/>
            <w:hideMark/>
          </w:tcPr>
          <w:p w14:paraId="3E58BAB4" w14:textId="77777777" w:rsidR="00887015" w:rsidRPr="00C40E68" w:rsidRDefault="00887015" w:rsidP="00FF1217">
            <w:pPr>
              <w:spacing w:after="0" w:line="240" w:lineRule="auto"/>
              <w:jc w:val="center"/>
              <w:rPr>
                <w:rFonts w:ascii="Times New Roman" w:eastAsia="Times New Roman" w:hAnsi="Times New Roman" w:cs="Times New Roman"/>
                <w:sz w:val="20"/>
                <w:szCs w:val="20"/>
              </w:rPr>
            </w:pPr>
          </w:p>
        </w:tc>
      </w:tr>
      <w:tr w:rsidR="00887015" w:rsidRPr="00C40E68" w14:paraId="2BA288E2" w14:textId="77777777" w:rsidTr="00887015">
        <w:trPr>
          <w:gridAfter w:val="2"/>
          <w:wAfter w:w="116" w:type="dxa"/>
          <w:trHeight w:val="300"/>
        </w:trPr>
        <w:tc>
          <w:tcPr>
            <w:tcW w:w="2200" w:type="dxa"/>
            <w:tcBorders>
              <w:top w:val="nil"/>
              <w:left w:val="nil"/>
              <w:bottom w:val="nil"/>
              <w:right w:val="single" w:sz="4" w:space="0" w:color="auto"/>
            </w:tcBorders>
            <w:shd w:val="clear" w:color="auto" w:fill="auto"/>
            <w:noWrap/>
            <w:vAlign w:val="bottom"/>
            <w:hideMark/>
          </w:tcPr>
          <w:p w14:paraId="1D59D46B" w14:textId="77777777" w:rsidR="00887015" w:rsidRPr="00C40E68" w:rsidRDefault="00887015" w:rsidP="00FF1217">
            <w:pPr>
              <w:spacing w:after="0" w:line="240" w:lineRule="auto"/>
              <w:rPr>
                <w:rFonts w:ascii="Times New Roman" w:eastAsia="Times New Roman" w:hAnsi="Times New Roman" w:cs="Times New Roman"/>
              </w:rPr>
            </w:pPr>
          </w:p>
        </w:tc>
        <w:tc>
          <w:tcPr>
            <w:tcW w:w="43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6CA8A" w14:textId="77777777" w:rsidR="00887015" w:rsidRPr="00C40E68" w:rsidRDefault="00887015" w:rsidP="00FF1217">
            <w:pPr>
              <w:spacing w:after="0" w:line="240" w:lineRule="auto"/>
              <w:jc w:val="center"/>
              <w:rPr>
                <w:rFonts w:ascii="Times New Roman" w:eastAsia="Times New Roman" w:hAnsi="Times New Roman" w:cs="Times New Roman"/>
              </w:rPr>
            </w:pPr>
            <w:r w:rsidRPr="00C40E68">
              <w:rPr>
                <w:rFonts w:ascii="Times New Roman" w:eastAsia="Times New Roman" w:hAnsi="Times New Roman" w:cs="Times New Roman"/>
                <w:color w:val="000000"/>
              </w:rPr>
              <w:t>Export</w:t>
            </w:r>
          </w:p>
        </w:tc>
        <w:tc>
          <w:tcPr>
            <w:tcW w:w="398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4D66A" w14:textId="77777777" w:rsidR="00887015" w:rsidRPr="00C40E68" w:rsidRDefault="00887015" w:rsidP="00FF1217">
            <w:pPr>
              <w:spacing w:after="0" w:line="240" w:lineRule="auto"/>
              <w:jc w:val="center"/>
              <w:rPr>
                <w:rFonts w:ascii="Times New Roman" w:eastAsia="Times New Roman" w:hAnsi="Times New Roman" w:cs="Times New Roman"/>
              </w:rPr>
            </w:pPr>
            <w:r w:rsidRPr="00C40E68">
              <w:rPr>
                <w:rFonts w:ascii="Times New Roman" w:eastAsia="Times New Roman" w:hAnsi="Times New Roman" w:cs="Times New Roman"/>
                <w:color w:val="000000"/>
              </w:rPr>
              <w:t>Import</w:t>
            </w:r>
          </w:p>
        </w:tc>
      </w:tr>
      <w:tr w:rsidR="00887015" w:rsidRPr="00C40E68" w14:paraId="752B6787" w14:textId="77777777" w:rsidTr="00887015">
        <w:trPr>
          <w:gridAfter w:val="2"/>
          <w:wAfter w:w="116" w:type="dxa"/>
          <w:trHeight w:val="300"/>
        </w:trPr>
        <w:tc>
          <w:tcPr>
            <w:tcW w:w="2200" w:type="dxa"/>
            <w:tcBorders>
              <w:top w:val="nil"/>
              <w:left w:val="nil"/>
              <w:bottom w:val="single" w:sz="4" w:space="0" w:color="auto"/>
              <w:right w:val="single" w:sz="4" w:space="0" w:color="auto"/>
            </w:tcBorders>
            <w:shd w:val="clear" w:color="auto" w:fill="auto"/>
            <w:noWrap/>
            <w:vAlign w:val="bottom"/>
            <w:hideMark/>
          </w:tcPr>
          <w:p w14:paraId="156A20EB" w14:textId="77777777" w:rsidR="00887015" w:rsidRPr="00C40E68" w:rsidRDefault="00887015" w:rsidP="00FF1217">
            <w:pPr>
              <w:spacing w:after="0" w:line="240" w:lineRule="auto"/>
              <w:rPr>
                <w:rFonts w:ascii="Times New Roman" w:eastAsia="Times New Roman" w:hAnsi="Times New Roman" w:cs="Times New Roman"/>
              </w:rPr>
            </w:pP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D908B"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EEEAD"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735F1"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D4940"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FE8E7"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6B8C9"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BF32D"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CDE5C"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r>
      <w:tr w:rsidR="00887015" w:rsidRPr="00C40E68" w14:paraId="7FF81911" w14:textId="77777777" w:rsidTr="00887015">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FACD7"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Afghanistan</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68541"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336736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2DD97"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136548</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BAE91"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34889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4B9CE"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42894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8F877"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0C4E5"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E72F5"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D252E"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0</w:t>
            </w:r>
          </w:p>
        </w:tc>
      </w:tr>
      <w:tr w:rsidR="00887015" w:rsidRPr="00C40E68" w14:paraId="078A8497" w14:textId="77777777" w:rsidTr="00887015">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6ACB1"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Azerbaijan</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BE489"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B1458"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82CC3"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A28E7"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4223</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00DB2"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A2F17"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D85DC"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5102E"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6476</w:t>
            </w:r>
          </w:p>
        </w:tc>
      </w:tr>
      <w:tr w:rsidR="00887015" w:rsidRPr="00C40E68" w14:paraId="7918C5BD" w14:textId="77777777" w:rsidTr="00887015">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D3A18"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Kazakhstan</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A8F1F"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37966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18163"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17286</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D86BC"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33464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B6FC"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35922</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6AF78"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221056</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68B34"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98673</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70011"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97557</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A4C29"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105764</w:t>
            </w:r>
          </w:p>
        </w:tc>
      </w:tr>
      <w:tr w:rsidR="00887015" w:rsidRPr="00C40E68" w14:paraId="4798599D" w14:textId="77777777" w:rsidTr="00887015">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6E5CF"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Kyrgyzstan</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B23AB"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33948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43F6D"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5850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1E615"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7218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470EB"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551</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CD789"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1703</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59FBF"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1604</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E61B0"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1261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68E27"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1202</w:t>
            </w:r>
          </w:p>
        </w:tc>
      </w:tr>
      <w:tr w:rsidR="00887015" w:rsidRPr="00C40E68" w14:paraId="6CDD0E1F" w14:textId="77777777" w:rsidTr="00887015">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2C802" w14:textId="77777777" w:rsidR="00887015" w:rsidRPr="00C40E68" w:rsidRDefault="00887015" w:rsidP="00FF1217">
            <w:pPr>
              <w:spacing w:after="0" w:line="240" w:lineRule="auto"/>
              <w:rPr>
                <w:rFonts w:ascii="Times New Roman" w:eastAsia="Times New Roman" w:hAnsi="Times New Roman" w:cs="Times New Roman"/>
                <w:color w:val="000000"/>
              </w:rPr>
            </w:pPr>
            <w:proofErr w:type="spellStart"/>
            <w:r w:rsidRPr="00C40E68">
              <w:rPr>
                <w:rFonts w:ascii="Times New Roman" w:eastAsia="Times New Roman" w:hAnsi="Times New Roman" w:cs="Times New Roman"/>
                <w:color w:val="000000"/>
              </w:rPr>
              <w:t>Tajikstan</w:t>
            </w:r>
            <w:proofErr w:type="spellEnd"/>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FC4BF"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3208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BD34A"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2722</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59A1F"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14263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661BD"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2105</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7EA1"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188</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6C0B3"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B878B"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238</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BA45B"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47</w:t>
            </w:r>
          </w:p>
        </w:tc>
      </w:tr>
      <w:tr w:rsidR="00887015" w:rsidRPr="00C40E68" w14:paraId="05EA40AC" w14:textId="77777777" w:rsidTr="00887015">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3BE02"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Turkmenistan</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D5195"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47294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F8889"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15535</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5CD95"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137383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C907D"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58315</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FF090"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13198</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CA665"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19619</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8419D"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38286</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A0478"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110108</w:t>
            </w:r>
          </w:p>
        </w:tc>
      </w:tr>
      <w:tr w:rsidR="00887015" w:rsidRPr="00C40E68" w14:paraId="64CC97FF" w14:textId="77777777" w:rsidTr="00887015">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FA822"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Uzbekistan</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1C2D3"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47167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BBB0C"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32583</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37D25"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4128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4EC2D"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4266</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55E60"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23612</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27586"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6234</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357D6"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11253</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DBBDB"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25822</w:t>
            </w:r>
          </w:p>
        </w:tc>
      </w:tr>
      <w:tr w:rsidR="00887015" w:rsidRPr="00C40E68" w14:paraId="2883FF37" w14:textId="77777777" w:rsidTr="00887015">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010DE"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Whole World</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3D875"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30219800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3E91B"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16592300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27A29"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13118400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5706E"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15800000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6F76A"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9178588</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E73F9"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9211126</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408D3"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8515807</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359AD"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8766505</w:t>
            </w:r>
          </w:p>
        </w:tc>
      </w:tr>
      <w:tr w:rsidR="00887015" w:rsidRPr="00C40E68" w14:paraId="2F548AE5" w14:textId="77777777" w:rsidTr="00887015">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2B1C0"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Total SPECA</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A0B9D"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506319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C3911"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210523</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5E909"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231344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9F063"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148276</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7E8F1"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259757</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063BC"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126130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ED247"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148595</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5C35D"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249420</w:t>
            </w:r>
          </w:p>
        </w:tc>
      </w:tr>
      <w:tr w:rsidR="00887015" w:rsidRPr="00C40E68" w14:paraId="71A638AE" w14:textId="77777777" w:rsidTr="00887015">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1514D"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Trade with SPECA in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8D636"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E83ED"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1.3</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7D851"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25E44"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0.9</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70B15"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2.8</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0D6D5"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1.4</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E77AE"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1.7</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220EE"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2.8</w:t>
            </w:r>
          </w:p>
        </w:tc>
      </w:tr>
    </w:tbl>
    <w:p w14:paraId="10D94C79" w14:textId="77777777" w:rsidR="00887015" w:rsidRDefault="00887015" w:rsidP="00887015"/>
    <w:p w14:paraId="7B5768BD" w14:textId="77777777" w:rsidR="00887015" w:rsidRDefault="00887015" w:rsidP="00887015">
      <w:pPr>
        <w:spacing w:after="0" w:line="240" w:lineRule="auto"/>
        <w:jc w:val="center"/>
      </w:pPr>
      <w:r>
        <w:br w:type="page"/>
      </w:r>
    </w:p>
    <w:tbl>
      <w:tblPr>
        <w:tblW w:w="10456" w:type="dxa"/>
        <w:tblLook w:val="04A0" w:firstRow="1" w:lastRow="0" w:firstColumn="1" w:lastColumn="0" w:noHBand="0" w:noVBand="1"/>
      </w:tblPr>
      <w:tblGrid>
        <w:gridCol w:w="2200"/>
        <w:gridCol w:w="1040"/>
        <w:gridCol w:w="1002"/>
        <w:gridCol w:w="1068"/>
        <w:gridCol w:w="1002"/>
        <w:gridCol w:w="987"/>
        <w:gridCol w:w="987"/>
        <w:gridCol w:w="1074"/>
        <w:gridCol w:w="1096"/>
      </w:tblGrid>
      <w:tr w:rsidR="00887015" w:rsidRPr="00C40E68" w14:paraId="4551CC06" w14:textId="77777777" w:rsidTr="00887015">
        <w:trPr>
          <w:trHeight w:val="300"/>
        </w:trPr>
        <w:tc>
          <w:tcPr>
            <w:tcW w:w="2200" w:type="dxa"/>
            <w:tcBorders>
              <w:top w:val="nil"/>
              <w:left w:val="nil"/>
              <w:bottom w:val="nil"/>
              <w:right w:val="nil"/>
            </w:tcBorders>
            <w:shd w:val="clear" w:color="auto" w:fill="auto"/>
            <w:noWrap/>
            <w:vAlign w:val="bottom"/>
          </w:tcPr>
          <w:p w14:paraId="436F92FD" w14:textId="4F479A33" w:rsidR="00887015" w:rsidRPr="00C40E68" w:rsidRDefault="00887015" w:rsidP="00887015">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lastRenderedPageBreak/>
              <w:t>Kazakhstan</w:t>
            </w:r>
          </w:p>
        </w:tc>
        <w:tc>
          <w:tcPr>
            <w:tcW w:w="8256" w:type="dxa"/>
            <w:gridSpan w:val="8"/>
            <w:tcBorders>
              <w:top w:val="nil"/>
              <w:left w:val="nil"/>
              <w:bottom w:val="single" w:sz="4" w:space="0" w:color="auto"/>
              <w:right w:val="nil"/>
            </w:tcBorders>
            <w:shd w:val="clear" w:color="auto" w:fill="auto"/>
            <w:noWrap/>
            <w:vAlign w:val="bottom"/>
            <w:hideMark/>
          </w:tcPr>
          <w:p w14:paraId="2A66D04C" w14:textId="77777777" w:rsidR="00887015" w:rsidRPr="00C40E68" w:rsidRDefault="00887015" w:rsidP="00FF1217">
            <w:pPr>
              <w:spacing w:after="0" w:line="240" w:lineRule="auto"/>
              <w:jc w:val="center"/>
              <w:rPr>
                <w:rFonts w:ascii="Times New Roman" w:eastAsia="Times New Roman" w:hAnsi="Times New Roman" w:cs="Times New Roman"/>
                <w:sz w:val="20"/>
                <w:szCs w:val="20"/>
              </w:rPr>
            </w:pPr>
          </w:p>
        </w:tc>
      </w:tr>
      <w:tr w:rsidR="00887015" w:rsidRPr="00C40E68" w14:paraId="53BC1251" w14:textId="77777777" w:rsidTr="00887015">
        <w:trPr>
          <w:trHeight w:val="300"/>
        </w:trPr>
        <w:tc>
          <w:tcPr>
            <w:tcW w:w="2200" w:type="dxa"/>
            <w:tcBorders>
              <w:top w:val="nil"/>
              <w:left w:val="nil"/>
              <w:bottom w:val="nil"/>
              <w:right w:val="single" w:sz="4" w:space="0" w:color="auto"/>
            </w:tcBorders>
            <w:shd w:val="clear" w:color="auto" w:fill="auto"/>
            <w:noWrap/>
            <w:vAlign w:val="bottom"/>
            <w:hideMark/>
          </w:tcPr>
          <w:p w14:paraId="6E0CE8E7" w14:textId="77777777" w:rsidR="00887015" w:rsidRPr="00C40E68" w:rsidRDefault="00887015" w:rsidP="00FF1217">
            <w:pPr>
              <w:spacing w:after="0" w:line="240" w:lineRule="auto"/>
              <w:rPr>
                <w:rFonts w:ascii="Times New Roman" w:eastAsia="Times New Roman" w:hAnsi="Times New Roman" w:cs="Times New Roman"/>
              </w:rPr>
            </w:pPr>
          </w:p>
        </w:tc>
        <w:tc>
          <w:tcPr>
            <w:tcW w:w="4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FE740" w14:textId="77777777" w:rsidR="00887015" w:rsidRPr="00C40E68" w:rsidRDefault="00887015" w:rsidP="00FF1217">
            <w:pPr>
              <w:spacing w:after="0" w:line="240" w:lineRule="auto"/>
              <w:jc w:val="center"/>
              <w:rPr>
                <w:rFonts w:ascii="Times New Roman" w:eastAsia="Times New Roman" w:hAnsi="Times New Roman" w:cs="Times New Roman"/>
              </w:rPr>
            </w:pPr>
            <w:r w:rsidRPr="00C40E68">
              <w:rPr>
                <w:rFonts w:ascii="Times New Roman" w:eastAsia="Times New Roman" w:hAnsi="Times New Roman" w:cs="Times New Roman"/>
                <w:color w:val="000000"/>
              </w:rPr>
              <w:t>Export</w:t>
            </w:r>
          </w:p>
        </w:tc>
        <w:tc>
          <w:tcPr>
            <w:tcW w:w="41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72326" w14:textId="77777777" w:rsidR="00887015" w:rsidRPr="00C40E68" w:rsidRDefault="00887015" w:rsidP="00FF1217">
            <w:pPr>
              <w:spacing w:after="0" w:line="240" w:lineRule="auto"/>
              <w:jc w:val="center"/>
              <w:rPr>
                <w:rFonts w:ascii="Times New Roman" w:eastAsia="Times New Roman" w:hAnsi="Times New Roman" w:cs="Times New Roman"/>
              </w:rPr>
            </w:pPr>
            <w:r w:rsidRPr="00C40E68">
              <w:rPr>
                <w:rFonts w:ascii="Times New Roman" w:eastAsia="Times New Roman" w:hAnsi="Times New Roman" w:cs="Times New Roman"/>
                <w:color w:val="000000"/>
              </w:rPr>
              <w:t>Import</w:t>
            </w:r>
          </w:p>
        </w:tc>
      </w:tr>
      <w:tr w:rsidR="00887015" w:rsidRPr="00C40E68" w14:paraId="2F31E029" w14:textId="77777777" w:rsidTr="00887015">
        <w:trPr>
          <w:trHeight w:val="300"/>
        </w:trPr>
        <w:tc>
          <w:tcPr>
            <w:tcW w:w="2200" w:type="dxa"/>
            <w:tcBorders>
              <w:top w:val="nil"/>
              <w:left w:val="nil"/>
              <w:bottom w:val="single" w:sz="4" w:space="0" w:color="auto"/>
              <w:right w:val="single" w:sz="4" w:space="0" w:color="auto"/>
            </w:tcBorders>
            <w:shd w:val="clear" w:color="auto" w:fill="auto"/>
            <w:noWrap/>
            <w:vAlign w:val="bottom"/>
            <w:hideMark/>
          </w:tcPr>
          <w:p w14:paraId="71178765" w14:textId="77777777" w:rsidR="00887015" w:rsidRPr="00C40E68" w:rsidRDefault="00887015" w:rsidP="00FF1217">
            <w:pPr>
              <w:spacing w:after="0" w:line="240" w:lineRule="auto"/>
              <w:rPr>
                <w:rFonts w:ascii="Times New Roman" w:eastAsia="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2152B"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2E69F"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606A1"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9100E"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9A598"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27266"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BA1C4"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98AE2"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r>
      <w:tr w:rsidR="00887015" w:rsidRPr="00C40E68" w14:paraId="5BF9CE14" w14:textId="77777777" w:rsidTr="00887015">
        <w:trPr>
          <w:trHeight w:val="17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1597E"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Afghanistan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2ED06" w14:textId="77777777" w:rsidR="00887015" w:rsidRPr="00C40E68" w:rsidRDefault="00887015" w:rsidP="00FF1217">
            <w:pPr>
              <w:spacing w:after="0" w:line="240" w:lineRule="auto"/>
              <w:ind w:left="-14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333522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BC623" w14:textId="77777777" w:rsidR="00887015" w:rsidRPr="00C40E68" w:rsidRDefault="00887015" w:rsidP="00FF1217">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372434</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D0714" w14:textId="77777777" w:rsidR="00887015" w:rsidRPr="00C40E68" w:rsidRDefault="00887015" w:rsidP="00FF1217">
            <w:pPr>
              <w:spacing w:after="0" w:line="240" w:lineRule="auto"/>
              <w:ind w:left="-22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486886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56659" w14:textId="77777777" w:rsidR="00887015" w:rsidRPr="00C40E68" w:rsidRDefault="00887015" w:rsidP="00FF1217">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562760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46D99"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3036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D7DCC"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6303</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FAE4A"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3037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E02AE"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2254</w:t>
            </w:r>
          </w:p>
        </w:tc>
      </w:tr>
      <w:tr w:rsidR="00887015" w:rsidRPr="00C40E68" w14:paraId="1DD1E2E3" w14:textId="77777777" w:rsidTr="00887015">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3B028"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Azerbaijan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9AEAC" w14:textId="77777777" w:rsidR="00887015" w:rsidRPr="00C40E68" w:rsidRDefault="00887015" w:rsidP="00FF1217">
            <w:pPr>
              <w:spacing w:after="0" w:line="240" w:lineRule="auto"/>
              <w:ind w:left="-14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220051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EC28C" w14:textId="77777777" w:rsidR="00887015" w:rsidRPr="00C40E68" w:rsidRDefault="00887015" w:rsidP="00FF1217">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109801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A21F7" w14:textId="77777777" w:rsidR="00887015" w:rsidRPr="00C40E68" w:rsidRDefault="00887015" w:rsidP="00FF1217">
            <w:pPr>
              <w:spacing w:after="0" w:line="240" w:lineRule="auto"/>
              <w:ind w:left="-22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106471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5E7E8" w14:textId="77777777" w:rsidR="00887015" w:rsidRPr="00C40E68" w:rsidRDefault="00887015" w:rsidP="00FF1217">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105924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E8DC4"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29793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173EA"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14631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8BE70"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26348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E8DC6"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31975</w:t>
            </w:r>
          </w:p>
        </w:tc>
      </w:tr>
      <w:tr w:rsidR="00887015" w:rsidRPr="00C40E68" w14:paraId="3A40EA26" w14:textId="77777777" w:rsidTr="00887015">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9DEFB"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Kazakhstan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C05B8" w14:textId="77777777" w:rsidR="00887015" w:rsidRPr="00C40E68" w:rsidRDefault="00887015" w:rsidP="00FF1217">
            <w:pPr>
              <w:spacing w:after="0" w:line="240" w:lineRule="auto"/>
              <w:ind w:left="-149"/>
              <w:rPr>
                <w:rFonts w:ascii="Times New Roman" w:eastAsia="Times New Roman" w:hAnsi="Times New Roman" w:cs="Times New Roman"/>
                <w:color w:val="000000"/>
              </w:rPr>
            </w:pPr>
            <w:r w:rsidRPr="00C40E68">
              <w:rPr>
                <w:rFonts w:ascii="Times New Roman" w:eastAsia="Times New Roman" w:hAnsi="Times New Roman" w:cs="Times New Roman"/>
                <w:color w:val="000000"/>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44912" w14:textId="77777777" w:rsidR="00887015" w:rsidRPr="00C40E68" w:rsidRDefault="00887015" w:rsidP="00FF1217">
            <w:pPr>
              <w:spacing w:after="0" w:line="240" w:lineRule="auto"/>
              <w:ind w:left="-104"/>
              <w:rPr>
                <w:rFonts w:ascii="Times New Roman" w:eastAsia="Times New Roman" w:hAnsi="Times New Roman" w:cs="Times New Roman"/>
                <w:color w:val="000000"/>
              </w:rPr>
            </w:pPr>
            <w:r w:rsidRPr="00C40E68">
              <w:rPr>
                <w:rFonts w:ascii="Times New Roman" w:eastAsia="Times New Roman" w:hAnsi="Times New Roman" w:cs="Times New Roman"/>
                <w:color w:val="000000"/>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42098" w14:textId="77777777" w:rsidR="00887015" w:rsidRPr="00C40E68" w:rsidRDefault="00887015" w:rsidP="00FF1217">
            <w:pPr>
              <w:spacing w:after="0" w:line="240" w:lineRule="auto"/>
              <w:ind w:left="-224"/>
              <w:rPr>
                <w:rFonts w:ascii="Times New Roman" w:eastAsia="Times New Roman" w:hAnsi="Times New Roman" w:cs="Times New Roman"/>
                <w:color w:val="000000"/>
              </w:rPr>
            </w:pPr>
            <w:r w:rsidRPr="00C40E68">
              <w:rPr>
                <w:rFonts w:ascii="Times New Roman" w:eastAsia="Times New Roman" w:hAnsi="Times New Roman" w:cs="Times New Roman"/>
                <w:color w:val="000000"/>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30DA9" w14:textId="77777777" w:rsidR="00887015" w:rsidRPr="00C40E68" w:rsidRDefault="00887015" w:rsidP="00FF1217">
            <w:pPr>
              <w:spacing w:after="0" w:line="240" w:lineRule="auto"/>
              <w:ind w:left="-104"/>
              <w:rPr>
                <w:rFonts w:ascii="Times New Roman" w:eastAsia="Times New Roman" w:hAnsi="Times New Roman" w:cs="Times New Roman"/>
                <w:color w:val="000000"/>
              </w:rPr>
            </w:pPr>
            <w:r w:rsidRPr="00C40E68">
              <w:rPr>
                <w:rFonts w:ascii="Times New Roman" w:eastAsia="Times New Roman" w:hAnsi="Times New Roman" w:cs="Times New Roman"/>
                <w:color w:val="000000"/>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FC6D7" w14:textId="77777777" w:rsidR="00887015" w:rsidRPr="00C40E68" w:rsidRDefault="00887015" w:rsidP="00FF1217">
            <w:pPr>
              <w:spacing w:after="0" w:line="240" w:lineRule="auto"/>
              <w:ind w:left="-119"/>
              <w:rPr>
                <w:rFonts w:ascii="Times New Roman" w:eastAsia="Times New Roman" w:hAnsi="Times New Roman" w:cs="Times New Roman"/>
                <w:color w:val="000000"/>
              </w:rPr>
            </w:pPr>
            <w:r w:rsidRPr="00C40E68">
              <w:rPr>
                <w:rFonts w:ascii="Times New Roman" w:eastAsia="Times New Roman" w:hAnsi="Times New Roman" w:cs="Times New Roman"/>
                <w:color w:val="000000"/>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BF3A8" w14:textId="77777777" w:rsidR="00887015" w:rsidRPr="00C40E68" w:rsidRDefault="00887015" w:rsidP="00FF1217">
            <w:pPr>
              <w:spacing w:after="0" w:line="240" w:lineRule="auto"/>
              <w:ind w:left="-119"/>
              <w:rPr>
                <w:rFonts w:ascii="Times New Roman" w:eastAsia="Times New Roman" w:hAnsi="Times New Roman" w:cs="Times New Roman"/>
                <w:color w:val="000000"/>
              </w:rPr>
            </w:pPr>
            <w:r w:rsidRPr="00C40E68">
              <w:rPr>
                <w:rFonts w:ascii="Times New Roman" w:eastAsia="Times New Roman" w:hAnsi="Times New Roman" w:cs="Times New Roman"/>
                <w:color w:val="000000"/>
              </w:rPr>
              <w: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F4DCB" w14:textId="77777777" w:rsidR="00887015" w:rsidRPr="00C40E68" w:rsidRDefault="00887015" w:rsidP="00FF1217">
            <w:pPr>
              <w:spacing w:after="0" w:line="240" w:lineRule="auto"/>
              <w:ind w:left="-119"/>
              <w:rPr>
                <w:rFonts w:ascii="Times New Roman" w:eastAsia="Times New Roman" w:hAnsi="Times New Roman" w:cs="Times New Roman"/>
                <w:color w:val="000000"/>
              </w:rPr>
            </w:pPr>
            <w:r w:rsidRPr="00C40E68">
              <w:rPr>
                <w:rFonts w:ascii="Times New Roman" w:eastAsia="Times New Roman" w:hAnsi="Times New Roman" w:cs="Times New Roman"/>
                <w:color w:val="000000"/>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855D1"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w:t>
            </w:r>
          </w:p>
        </w:tc>
      </w:tr>
      <w:tr w:rsidR="00887015" w:rsidRPr="00C40E68" w14:paraId="684E72B2" w14:textId="77777777" w:rsidTr="00887015">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3889F"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Kyrgyzstan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D2D47" w14:textId="77777777" w:rsidR="00887015" w:rsidRPr="00C40E68" w:rsidRDefault="00887015" w:rsidP="00FF1217">
            <w:pPr>
              <w:spacing w:after="0" w:line="240" w:lineRule="auto"/>
              <w:ind w:left="-14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703986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EDDC1" w14:textId="77777777" w:rsidR="00887015" w:rsidRPr="00C40E68" w:rsidRDefault="00887015" w:rsidP="00FF1217">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517722</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DEA63" w14:textId="77777777" w:rsidR="00887015" w:rsidRPr="00C40E68" w:rsidRDefault="00887015" w:rsidP="00FF1217">
            <w:pPr>
              <w:spacing w:after="0" w:line="240" w:lineRule="auto"/>
              <w:ind w:left="-22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376134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5B76C" w14:textId="77777777" w:rsidR="00887015" w:rsidRPr="00C40E68" w:rsidRDefault="00887015" w:rsidP="00FF1217">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503233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A93CF"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304636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5436B"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201619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823D5"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171077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3728D"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256825</w:t>
            </w:r>
          </w:p>
        </w:tc>
      </w:tr>
      <w:tr w:rsidR="00887015" w:rsidRPr="00C40E68" w14:paraId="519C7BCC" w14:textId="77777777" w:rsidTr="00887015">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310F3" w14:textId="77777777" w:rsidR="00887015" w:rsidRPr="00C40E68" w:rsidRDefault="00887015" w:rsidP="00FF1217">
            <w:pPr>
              <w:spacing w:after="0" w:line="240" w:lineRule="auto"/>
              <w:rPr>
                <w:rFonts w:ascii="Times New Roman" w:eastAsia="Times New Roman" w:hAnsi="Times New Roman" w:cs="Times New Roman"/>
                <w:color w:val="000000"/>
              </w:rPr>
            </w:pPr>
            <w:proofErr w:type="spellStart"/>
            <w:r w:rsidRPr="00C40E68">
              <w:rPr>
                <w:rFonts w:ascii="Times New Roman" w:eastAsia="Times New Roman" w:hAnsi="Times New Roman" w:cs="Times New Roman"/>
                <w:color w:val="000000"/>
              </w:rPr>
              <w:t>Tajikstan</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DFE8A" w14:textId="77777777" w:rsidR="00887015" w:rsidRPr="00C40E68" w:rsidRDefault="00887015" w:rsidP="00FF1217">
            <w:pPr>
              <w:spacing w:after="0" w:line="240" w:lineRule="auto"/>
              <w:ind w:left="-14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518920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AB9D2" w14:textId="77777777" w:rsidR="00887015" w:rsidRPr="00C40E68" w:rsidRDefault="00887015" w:rsidP="00FF1217">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418451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75DEB" w14:textId="77777777" w:rsidR="00887015" w:rsidRPr="00C40E68" w:rsidRDefault="00887015" w:rsidP="00FF1217">
            <w:pPr>
              <w:spacing w:after="0" w:line="240" w:lineRule="auto"/>
              <w:ind w:left="-22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371888</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AD5CB" w14:textId="77777777" w:rsidR="00887015" w:rsidRPr="00C40E68" w:rsidRDefault="00887015" w:rsidP="00FF1217">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458347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899EC"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119973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5D006"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111854</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A2F20"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139964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EBA43"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205728</w:t>
            </w:r>
          </w:p>
        </w:tc>
      </w:tr>
      <w:tr w:rsidR="00887015" w:rsidRPr="00C40E68" w14:paraId="6358812A" w14:textId="77777777" w:rsidTr="00887015">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62AAE"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Turkmenistan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052CA" w14:textId="77777777" w:rsidR="00887015" w:rsidRPr="00C40E68" w:rsidRDefault="00887015" w:rsidP="00FF1217">
            <w:pPr>
              <w:spacing w:after="0" w:line="240" w:lineRule="auto"/>
              <w:ind w:left="-14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353799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4F9B5" w14:textId="77777777" w:rsidR="00887015" w:rsidRPr="00C40E68" w:rsidRDefault="00887015" w:rsidP="00FF1217">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114543</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C64ED" w14:textId="77777777" w:rsidR="00887015" w:rsidRPr="00C40E68" w:rsidRDefault="00887015" w:rsidP="00FF1217">
            <w:pPr>
              <w:spacing w:after="0" w:line="240" w:lineRule="auto"/>
              <w:ind w:left="-22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69104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8BF94" w14:textId="77777777" w:rsidR="00887015" w:rsidRPr="00C40E68" w:rsidRDefault="00887015" w:rsidP="00FF1217">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55117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A3E52"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113943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5BA69"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61515</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D3A32"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196040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E40CA"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40744</w:t>
            </w:r>
          </w:p>
        </w:tc>
      </w:tr>
      <w:tr w:rsidR="00887015" w:rsidRPr="00C40E68" w14:paraId="24F9F400" w14:textId="77777777" w:rsidTr="00887015">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004CB"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Uzbekistan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4C619" w14:textId="77777777" w:rsidR="00887015" w:rsidRPr="00C40E68" w:rsidRDefault="00887015" w:rsidP="00FF1217">
            <w:pPr>
              <w:spacing w:after="0" w:line="240" w:lineRule="auto"/>
              <w:ind w:left="-14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1083947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08B91" w14:textId="77777777" w:rsidR="00887015" w:rsidRPr="00C40E68" w:rsidRDefault="00887015" w:rsidP="00FF1217">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942267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71563" w14:textId="77777777" w:rsidR="00887015" w:rsidRPr="00C40E68" w:rsidRDefault="00887015" w:rsidP="00FF1217">
            <w:pPr>
              <w:spacing w:after="0" w:line="240" w:lineRule="auto"/>
              <w:ind w:left="-22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922532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C5D65" w14:textId="77777777" w:rsidR="00887015" w:rsidRPr="00C40E68" w:rsidRDefault="00887015" w:rsidP="00FF1217">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1250332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7AAC8"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957588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F923F"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700733</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A61B1"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537473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27EDE"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678150</w:t>
            </w:r>
          </w:p>
        </w:tc>
      </w:tr>
      <w:tr w:rsidR="00887015" w:rsidRPr="00C40E68" w14:paraId="6DD94166" w14:textId="77777777" w:rsidTr="00887015">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26650"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Whole World</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BDB62" w14:textId="77777777" w:rsidR="00887015" w:rsidRPr="00C40E68" w:rsidRDefault="00887015" w:rsidP="00FF1217">
            <w:pPr>
              <w:spacing w:after="0" w:line="240" w:lineRule="auto"/>
              <w:ind w:left="-14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79458749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C3404" w14:textId="77777777" w:rsidR="00887015" w:rsidRPr="00C40E68" w:rsidRDefault="00887015" w:rsidP="00FF1217">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45954426</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44935" w14:textId="77777777" w:rsidR="00887015" w:rsidRPr="00C40E68" w:rsidRDefault="00887015" w:rsidP="00FF1217">
            <w:pPr>
              <w:spacing w:after="0" w:line="240" w:lineRule="auto"/>
              <w:ind w:left="-22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36775323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9423C" w14:textId="77777777" w:rsidR="00887015" w:rsidRPr="00C40E68" w:rsidRDefault="00887015" w:rsidP="00FF1217">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48342074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EB252"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41295456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BA1F1"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30567159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0968E"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25174779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CB71A"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29345935</w:t>
            </w:r>
          </w:p>
        </w:tc>
      </w:tr>
      <w:tr w:rsidR="00887015" w:rsidRPr="00C40E68" w14:paraId="0BD26B50" w14:textId="77777777" w:rsidTr="00887015">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EE7E8"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Total SPECA</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380E1" w14:textId="77777777" w:rsidR="00887015" w:rsidRPr="00C40E68" w:rsidRDefault="00887015" w:rsidP="00FF1217">
            <w:pPr>
              <w:spacing w:after="0" w:line="240" w:lineRule="auto"/>
              <w:ind w:left="-14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3214226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40A28" w14:textId="77777777" w:rsidR="00887015" w:rsidRPr="00C40E68" w:rsidRDefault="00887015" w:rsidP="00FF1217">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2475218</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6993D" w14:textId="77777777" w:rsidR="00887015" w:rsidRPr="00C40E68" w:rsidRDefault="00887015" w:rsidP="00FF1217">
            <w:pPr>
              <w:spacing w:after="0" w:line="240" w:lineRule="auto"/>
              <w:ind w:left="-22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2333016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1AAE7" w14:textId="77777777" w:rsidR="00887015" w:rsidRPr="00C40E68" w:rsidRDefault="00887015" w:rsidP="00FF1217">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2935713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62F6C"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1528968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5EAFE"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1096654</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50B48" w14:textId="77777777" w:rsidR="00887015" w:rsidRPr="00C40E68" w:rsidRDefault="00887015" w:rsidP="00FF1217">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1073938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EB068"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1215675</w:t>
            </w:r>
          </w:p>
        </w:tc>
      </w:tr>
      <w:tr w:rsidR="00887015" w:rsidRPr="00C40E68" w14:paraId="3962AD03" w14:textId="77777777" w:rsidTr="00887015">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B9443"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Trade with SPECA in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38AA9" w14:textId="77777777" w:rsidR="00887015" w:rsidRPr="00C40E68" w:rsidRDefault="00887015" w:rsidP="00FF1217">
            <w:pPr>
              <w:ind w:left="-14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4.0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B3157" w14:textId="77777777" w:rsidR="00887015" w:rsidRPr="00C40E68" w:rsidRDefault="00887015" w:rsidP="00FF1217">
            <w:pPr>
              <w:ind w:left="-104"/>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5.4</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09612" w14:textId="77777777" w:rsidR="00887015" w:rsidRPr="00C40E68" w:rsidRDefault="00887015" w:rsidP="00FF1217">
            <w:pPr>
              <w:ind w:left="-224"/>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6.3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A049C" w14:textId="77777777" w:rsidR="00887015" w:rsidRPr="00C40E68" w:rsidRDefault="00887015" w:rsidP="00FF1217">
            <w:pPr>
              <w:ind w:left="-104"/>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6.1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FA6DF" w14:textId="77777777" w:rsidR="00887015" w:rsidRPr="00C40E68" w:rsidRDefault="00887015" w:rsidP="00FF1217">
            <w:pPr>
              <w:ind w:left="-11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3.7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17674" w14:textId="77777777" w:rsidR="00887015" w:rsidRPr="00C40E68" w:rsidRDefault="00887015" w:rsidP="00FF1217">
            <w:pPr>
              <w:ind w:left="-11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3.6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A17E2" w14:textId="77777777" w:rsidR="00887015" w:rsidRPr="00C40E68" w:rsidRDefault="00887015" w:rsidP="00FF1217">
            <w:pPr>
              <w:ind w:left="-11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4.3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30779" w14:textId="77777777" w:rsidR="00887015" w:rsidRPr="00C40E68" w:rsidRDefault="00887015" w:rsidP="00FF1217">
            <w:pPr>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4.1</w:t>
            </w:r>
          </w:p>
        </w:tc>
      </w:tr>
    </w:tbl>
    <w:p w14:paraId="6032D327" w14:textId="77777777" w:rsidR="00887015" w:rsidRDefault="00887015" w:rsidP="00887015">
      <w:pPr>
        <w:ind w:left="-149"/>
        <w:jc w:val="right"/>
        <w:rPr>
          <w:rFonts w:ascii="Times New Roman" w:hAnsi="Times New Roman" w:cs="Times New Roman"/>
        </w:rPr>
      </w:pPr>
    </w:p>
    <w:tbl>
      <w:tblPr>
        <w:tblW w:w="10456" w:type="dxa"/>
        <w:tblLook w:val="04A0" w:firstRow="1" w:lastRow="0" w:firstColumn="1" w:lastColumn="0" w:noHBand="0" w:noVBand="1"/>
      </w:tblPr>
      <w:tblGrid>
        <w:gridCol w:w="2200"/>
        <w:gridCol w:w="1040"/>
        <w:gridCol w:w="1002"/>
        <w:gridCol w:w="1068"/>
        <w:gridCol w:w="1002"/>
        <w:gridCol w:w="987"/>
        <w:gridCol w:w="987"/>
        <w:gridCol w:w="1074"/>
        <w:gridCol w:w="1096"/>
      </w:tblGrid>
      <w:tr w:rsidR="00887015" w:rsidRPr="00C40E68" w14:paraId="67B103D8" w14:textId="77777777" w:rsidTr="00FF1217">
        <w:trPr>
          <w:trHeight w:val="300"/>
        </w:trPr>
        <w:tc>
          <w:tcPr>
            <w:tcW w:w="2200" w:type="dxa"/>
            <w:tcBorders>
              <w:top w:val="nil"/>
              <w:left w:val="nil"/>
              <w:bottom w:val="nil"/>
              <w:right w:val="nil"/>
            </w:tcBorders>
            <w:shd w:val="clear" w:color="auto" w:fill="auto"/>
            <w:noWrap/>
            <w:vAlign w:val="bottom"/>
          </w:tcPr>
          <w:p w14:paraId="3539CDA3" w14:textId="7DCE9BF5" w:rsidR="00887015" w:rsidRPr="00C40E68" w:rsidRDefault="00887015" w:rsidP="00887015">
            <w:pPr>
              <w:spacing w:after="0" w:line="240" w:lineRule="auto"/>
              <w:jc w:val="center"/>
              <w:rPr>
                <w:rFonts w:ascii="Times New Roman" w:eastAsia="Times New Roman" w:hAnsi="Times New Roman" w:cs="Times New Roman"/>
                <w:b/>
                <w:bCs/>
                <w:color w:val="000000"/>
                <w:sz w:val="32"/>
                <w:szCs w:val="32"/>
              </w:rPr>
            </w:pPr>
            <w:r w:rsidRPr="00016DBC">
              <w:rPr>
                <w:rFonts w:ascii="Times New Roman" w:eastAsia="Times New Roman" w:hAnsi="Times New Roman" w:cs="Times New Roman"/>
                <w:b/>
                <w:bCs/>
                <w:color w:val="000000"/>
                <w:sz w:val="32"/>
                <w:szCs w:val="32"/>
              </w:rPr>
              <w:t>Kyrgyzstan</w:t>
            </w:r>
          </w:p>
        </w:tc>
        <w:tc>
          <w:tcPr>
            <w:tcW w:w="8256" w:type="dxa"/>
            <w:gridSpan w:val="8"/>
            <w:tcBorders>
              <w:top w:val="nil"/>
              <w:left w:val="nil"/>
              <w:bottom w:val="single" w:sz="4" w:space="0" w:color="auto"/>
              <w:right w:val="nil"/>
            </w:tcBorders>
            <w:shd w:val="clear" w:color="auto" w:fill="auto"/>
            <w:noWrap/>
            <w:vAlign w:val="bottom"/>
            <w:hideMark/>
          </w:tcPr>
          <w:p w14:paraId="0592B186" w14:textId="77777777" w:rsidR="00887015" w:rsidRPr="00C40E68" w:rsidRDefault="00887015" w:rsidP="00FF1217">
            <w:pPr>
              <w:ind w:left="-149"/>
              <w:jc w:val="right"/>
              <w:rPr>
                <w:rFonts w:ascii="Times New Roman" w:eastAsia="Times New Roman" w:hAnsi="Times New Roman" w:cs="Times New Roman"/>
                <w:color w:val="000000"/>
              </w:rPr>
            </w:pPr>
          </w:p>
        </w:tc>
      </w:tr>
      <w:tr w:rsidR="00887015" w:rsidRPr="00016DBC" w14:paraId="0547561F" w14:textId="77777777" w:rsidTr="00FF1217">
        <w:trPr>
          <w:trHeight w:val="300"/>
        </w:trPr>
        <w:tc>
          <w:tcPr>
            <w:tcW w:w="2200" w:type="dxa"/>
            <w:tcBorders>
              <w:top w:val="nil"/>
              <w:left w:val="nil"/>
              <w:bottom w:val="nil"/>
              <w:right w:val="single" w:sz="4" w:space="0" w:color="auto"/>
            </w:tcBorders>
            <w:shd w:val="clear" w:color="auto" w:fill="auto"/>
            <w:noWrap/>
            <w:vAlign w:val="bottom"/>
            <w:hideMark/>
          </w:tcPr>
          <w:p w14:paraId="0CED6F15" w14:textId="77777777" w:rsidR="00887015" w:rsidRPr="00C40E68" w:rsidRDefault="00887015" w:rsidP="00FF1217">
            <w:pPr>
              <w:spacing w:after="0" w:line="240" w:lineRule="auto"/>
              <w:rPr>
                <w:rFonts w:ascii="Times New Roman" w:eastAsia="Times New Roman" w:hAnsi="Times New Roman" w:cs="Times New Roman"/>
              </w:rPr>
            </w:pPr>
          </w:p>
        </w:tc>
        <w:tc>
          <w:tcPr>
            <w:tcW w:w="4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B248A"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Export</w:t>
            </w:r>
          </w:p>
        </w:tc>
        <w:tc>
          <w:tcPr>
            <w:tcW w:w="41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5868C"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Import</w:t>
            </w:r>
          </w:p>
        </w:tc>
      </w:tr>
      <w:tr w:rsidR="00887015" w:rsidRPr="00016DBC" w14:paraId="560F90A0" w14:textId="77777777" w:rsidTr="00FF1217">
        <w:trPr>
          <w:trHeight w:val="300"/>
        </w:trPr>
        <w:tc>
          <w:tcPr>
            <w:tcW w:w="2200" w:type="dxa"/>
            <w:tcBorders>
              <w:top w:val="nil"/>
              <w:left w:val="nil"/>
              <w:bottom w:val="single" w:sz="4" w:space="0" w:color="auto"/>
              <w:right w:val="single" w:sz="4" w:space="0" w:color="auto"/>
            </w:tcBorders>
            <w:shd w:val="clear" w:color="auto" w:fill="auto"/>
            <w:noWrap/>
            <w:vAlign w:val="bottom"/>
            <w:hideMark/>
          </w:tcPr>
          <w:p w14:paraId="1CBF8BA7" w14:textId="77777777" w:rsidR="00887015" w:rsidRPr="00C40E68" w:rsidRDefault="00887015" w:rsidP="00FF1217">
            <w:pPr>
              <w:spacing w:after="0" w:line="240" w:lineRule="auto"/>
              <w:rPr>
                <w:rFonts w:ascii="Times New Roman" w:eastAsia="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D3578"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93873"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7775B"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AC742"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B09B7"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08A0B"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CBCA9"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E7231"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r>
      <w:tr w:rsidR="00887015" w:rsidRPr="00C40E68" w14:paraId="0C439F9B" w14:textId="77777777" w:rsidTr="00FF1217">
        <w:trPr>
          <w:trHeight w:val="17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C2743"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Afghanistan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B06B6"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26643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D57FF"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6412</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5B06D"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5094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DF075"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1241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E8E74"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116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BA95F"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73</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D61F3"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87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38935"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239</w:t>
            </w:r>
          </w:p>
        </w:tc>
      </w:tr>
      <w:tr w:rsidR="00887015" w:rsidRPr="00C40E68" w14:paraId="773B93D7"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EBF9F"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Azerbaijan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A0715"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2738</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EA60A"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2670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4BFBF"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1253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CF4BA"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1267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5649A"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30738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14A67"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6072</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01ED2"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6557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B2A1E"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440</w:t>
            </w:r>
          </w:p>
        </w:tc>
      </w:tr>
      <w:tr w:rsidR="00887015" w:rsidRPr="00C40E68" w14:paraId="1A4B257F"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3A23B"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Kazakhstan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38679"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414843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AD660"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223760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F1BFB"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231751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156CF"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293493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C08E1"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719739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D9D18"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677407</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07737"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635548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A361F"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585816</w:t>
            </w:r>
          </w:p>
        </w:tc>
      </w:tr>
      <w:tr w:rsidR="00887015" w:rsidRPr="00C40E68" w14:paraId="678B9348"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A31A2"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Kyrgyzstan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EEC0A" w14:textId="77777777" w:rsidR="00887015" w:rsidRPr="00016DBC" w:rsidRDefault="00887015" w:rsidP="00FF1217">
            <w:pPr>
              <w:spacing w:after="0" w:line="240" w:lineRule="auto"/>
              <w:rPr>
                <w:rFonts w:ascii="Times New Roman" w:eastAsia="Times New Roman" w:hAnsi="Times New Roman" w:cs="Times New Roman"/>
                <w:color w:val="000000"/>
              </w:rPr>
            </w:pPr>
            <w:r w:rsidRPr="00016DBC">
              <w:rPr>
                <w:rFonts w:ascii="Times New Roman" w:eastAsia="Times New Roman" w:hAnsi="Times New Roman" w:cs="Times New Roman"/>
                <w:color w:val="000000"/>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233D2" w14:textId="77777777" w:rsidR="00887015" w:rsidRPr="00016DBC" w:rsidRDefault="00887015" w:rsidP="00FF1217">
            <w:pPr>
              <w:spacing w:after="0" w:line="240" w:lineRule="auto"/>
              <w:rPr>
                <w:rFonts w:ascii="Times New Roman" w:eastAsia="Times New Roman" w:hAnsi="Times New Roman" w:cs="Times New Roman"/>
                <w:color w:val="000000"/>
              </w:rPr>
            </w:pPr>
            <w:r w:rsidRPr="00016DBC">
              <w:rPr>
                <w:rFonts w:ascii="Times New Roman" w:eastAsia="Times New Roman" w:hAnsi="Times New Roman" w:cs="Times New Roman"/>
                <w:color w:val="000000"/>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AC040" w14:textId="77777777" w:rsidR="00887015" w:rsidRPr="00016DBC" w:rsidRDefault="00887015" w:rsidP="00FF1217">
            <w:pPr>
              <w:spacing w:after="0" w:line="240" w:lineRule="auto"/>
              <w:rPr>
                <w:rFonts w:ascii="Times New Roman" w:eastAsia="Times New Roman" w:hAnsi="Times New Roman" w:cs="Times New Roman"/>
                <w:color w:val="000000"/>
              </w:rPr>
            </w:pPr>
            <w:r w:rsidRPr="00016DBC">
              <w:rPr>
                <w:rFonts w:ascii="Times New Roman" w:eastAsia="Times New Roman" w:hAnsi="Times New Roman" w:cs="Times New Roman"/>
                <w:color w:val="000000"/>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E4398" w14:textId="77777777" w:rsidR="00887015" w:rsidRPr="00016DBC" w:rsidRDefault="00887015" w:rsidP="00FF1217">
            <w:pPr>
              <w:spacing w:after="0" w:line="240" w:lineRule="auto"/>
              <w:rPr>
                <w:rFonts w:ascii="Times New Roman" w:eastAsia="Times New Roman" w:hAnsi="Times New Roman" w:cs="Times New Roman"/>
                <w:color w:val="000000"/>
              </w:rPr>
            </w:pPr>
            <w:r w:rsidRPr="00016DBC">
              <w:rPr>
                <w:rFonts w:ascii="Times New Roman" w:eastAsia="Times New Roman" w:hAnsi="Times New Roman" w:cs="Times New Roman"/>
                <w:color w:val="000000"/>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41115" w14:textId="77777777" w:rsidR="00887015" w:rsidRPr="00016DBC" w:rsidRDefault="00887015" w:rsidP="00FF1217">
            <w:pPr>
              <w:spacing w:after="0" w:line="240" w:lineRule="auto"/>
              <w:rPr>
                <w:rFonts w:ascii="Times New Roman" w:eastAsia="Times New Roman" w:hAnsi="Times New Roman" w:cs="Times New Roman"/>
                <w:color w:val="000000"/>
              </w:rPr>
            </w:pPr>
            <w:r w:rsidRPr="00016DBC">
              <w:rPr>
                <w:rFonts w:ascii="Times New Roman" w:eastAsia="Times New Roman" w:hAnsi="Times New Roman" w:cs="Times New Roman"/>
                <w:color w:val="000000"/>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03E00" w14:textId="77777777" w:rsidR="00887015" w:rsidRPr="00016DBC" w:rsidRDefault="00887015" w:rsidP="00FF1217">
            <w:pPr>
              <w:spacing w:after="0" w:line="240" w:lineRule="auto"/>
              <w:rPr>
                <w:rFonts w:ascii="Times New Roman" w:eastAsia="Times New Roman" w:hAnsi="Times New Roman" w:cs="Times New Roman"/>
                <w:color w:val="000000"/>
              </w:rPr>
            </w:pPr>
            <w:r w:rsidRPr="00016DBC">
              <w:rPr>
                <w:rFonts w:ascii="Times New Roman" w:eastAsia="Times New Roman" w:hAnsi="Times New Roman" w:cs="Times New Roman"/>
                <w:color w:val="000000"/>
              </w:rPr>
              <w: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76B14" w14:textId="77777777" w:rsidR="00887015" w:rsidRPr="00016DBC" w:rsidRDefault="00887015" w:rsidP="00FF1217">
            <w:pPr>
              <w:spacing w:after="0" w:line="240" w:lineRule="auto"/>
              <w:rPr>
                <w:rFonts w:ascii="Times New Roman" w:eastAsia="Times New Roman" w:hAnsi="Times New Roman" w:cs="Times New Roman"/>
                <w:color w:val="000000"/>
              </w:rPr>
            </w:pPr>
            <w:r w:rsidRPr="00016DBC">
              <w:rPr>
                <w:rFonts w:ascii="Times New Roman" w:eastAsia="Times New Roman" w:hAnsi="Times New Roman" w:cs="Times New Roman"/>
                <w:color w:val="000000"/>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3B962" w14:textId="77777777" w:rsidR="00887015" w:rsidRPr="00016DBC" w:rsidRDefault="00887015" w:rsidP="00FF1217">
            <w:pPr>
              <w:spacing w:after="0" w:line="240" w:lineRule="auto"/>
              <w:rPr>
                <w:rFonts w:ascii="Times New Roman" w:eastAsia="Times New Roman" w:hAnsi="Times New Roman" w:cs="Times New Roman"/>
                <w:color w:val="000000"/>
              </w:rPr>
            </w:pPr>
            <w:r w:rsidRPr="00016DBC">
              <w:rPr>
                <w:rFonts w:ascii="Times New Roman" w:eastAsia="Times New Roman" w:hAnsi="Times New Roman" w:cs="Times New Roman"/>
                <w:color w:val="000000"/>
              </w:rPr>
              <w:t>..</w:t>
            </w:r>
          </w:p>
        </w:tc>
      </w:tr>
      <w:tr w:rsidR="00887015" w:rsidRPr="00C40E68" w14:paraId="6770B398"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E1136" w14:textId="77777777" w:rsidR="00887015" w:rsidRPr="00C40E68" w:rsidRDefault="00887015" w:rsidP="00FF1217">
            <w:pPr>
              <w:spacing w:after="0" w:line="240" w:lineRule="auto"/>
              <w:rPr>
                <w:rFonts w:ascii="Times New Roman" w:eastAsia="Times New Roman" w:hAnsi="Times New Roman" w:cs="Times New Roman"/>
                <w:color w:val="000000"/>
              </w:rPr>
            </w:pPr>
            <w:proofErr w:type="spellStart"/>
            <w:r w:rsidRPr="00C40E68">
              <w:rPr>
                <w:rFonts w:ascii="Times New Roman" w:eastAsia="Times New Roman" w:hAnsi="Times New Roman" w:cs="Times New Roman"/>
                <w:color w:val="000000"/>
              </w:rPr>
              <w:t>Tajikstan</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73F92"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46002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EC716"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30371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88B5C"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32014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6FF46"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26313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BD268"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10854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3BF89"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8135</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7F037"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6427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75B26"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14450</w:t>
            </w:r>
          </w:p>
        </w:tc>
      </w:tr>
      <w:tr w:rsidR="00887015" w:rsidRPr="00C40E68" w14:paraId="242F89A4"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6B28C"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Turkmenistan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C8704"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7647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47C58"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6581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31848"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6795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7539C"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5062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F25CB" w14:textId="77777777" w:rsidR="00887015" w:rsidRPr="00016DBC" w:rsidRDefault="00887015" w:rsidP="00FF1217">
            <w:pPr>
              <w:spacing w:after="0" w:line="240" w:lineRule="auto"/>
              <w:rPr>
                <w:rFonts w:ascii="Times New Roman" w:eastAsia="Times New Roman" w:hAnsi="Times New Roman" w:cs="Times New Roman"/>
                <w:color w:val="000000"/>
              </w:rPr>
            </w:pPr>
            <w:r w:rsidRPr="00016DBC">
              <w:rPr>
                <w:rFonts w:ascii="Times New Roman" w:eastAsia="Times New Roman" w:hAnsi="Times New Roman" w:cs="Times New Roman"/>
                <w:color w:val="000000"/>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9B755"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3892</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B3741"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4361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3B0BA"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463</w:t>
            </w:r>
          </w:p>
        </w:tc>
      </w:tr>
      <w:tr w:rsidR="00887015" w:rsidRPr="00C40E68" w14:paraId="2A4B074D"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029A6"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Uzbekistan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AB3AD"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151961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BBCAD"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111289</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227F8"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176795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416E2"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183954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EA203"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88620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A12A0"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59219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94D2F"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69767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2BB5E"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163618</w:t>
            </w:r>
          </w:p>
        </w:tc>
      </w:tr>
      <w:tr w:rsidR="00887015" w:rsidRPr="00C40E68" w14:paraId="0DFFC164"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3DC15"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Whole World</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ED390"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1884041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73586"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1441468</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D12F8"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1423028</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DA442"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1783967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374F6"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5720560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AB3F2"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4068084</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615B1"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3844473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B0BC7"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4473860</w:t>
            </w:r>
          </w:p>
        </w:tc>
      </w:tr>
      <w:tr w:rsidR="00887015" w:rsidRPr="00C40E68" w14:paraId="2EB4049B"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AC29E"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Total SPECA</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8DE18"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649834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D2F7C"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381083</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3900C"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453702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9FAB3"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511330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34C71"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850066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8535A"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754796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2AEC3"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722747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74D7A" w14:textId="77777777" w:rsidR="00887015" w:rsidRPr="00016DBC" w:rsidRDefault="00887015" w:rsidP="00FF1217">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765025</w:t>
            </w:r>
          </w:p>
        </w:tc>
      </w:tr>
      <w:tr w:rsidR="00887015" w:rsidRPr="00C40E68" w14:paraId="5242B2CE"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18C7E"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Trade with SPECA in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7A3F9"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34.5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A7E5E"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26.4</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EC01A"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31.9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C8B20"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28.7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210C3"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14.9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9BCEB"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18.6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14011"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18.8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38498"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17.1</w:t>
            </w:r>
          </w:p>
        </w:tc>
      </w:tr>
    </w:tbl>
    <w:p w14:paraId="63D25EC7" w14:textId="77777777" w:rsidR="00887015" w:rsidRDefault="00887015" w:rsidP="00887015">
      <w:pPr>
        <w:ind w:left="-149"/>
        <w:jc w:val="right"/>
        <w:rPr>
          <w:rFonts w:ascii="Times New Roman" w:hAnsi="Times New Roman" w:cs="Times New Roman"/>
        </w:rPr>
      </w:pPr>
    </w:p>
    <w:p w14:paraId="188ADF3F" w14:textId="77777777" w:rsidR="00887015" w:rsidRDefault="00887015" w:rsidP="00887015">
      <w:pPr>
        <w:rPr>
          <w:rFonts w:ascii="Times New Roman" w:hAnsi="Times New Roman" w:cs="Times New Roman"/>
        </w:rPr>
      </w:pPr>
      <w:r>
        <w:rPr>
          <w:rFonts w:ascii="Times New Roman" w:hAnsi="Times New Roman" w:cs="Times New Roman"/>
        </w:rPr>
        <w:br w:type="page"/>
      </w:r>
    </w:p>
    <w:tbl>
      <w:tblPr>
        <w:tblW w:w="10456" w:type="dxa"/>
        <w:tblLook w:val="04A0" w:firstRow="1" w:lastRow="0" w:firstColumn="1" w:lastColumn="0" w:noHBand="0" w:noVBand="1"/>
      </w:tblPr>
      <w:tblGrid>
        <w:gridCol w:w="2200"/>
        <w:gridCol w:w="1040"/>
        <w:gridCol w:w="1002"/>
        <w:gridCol w:w="1068"/>
        <w:gridCol w:w="1002"/>
        <w:gridCol w:w="987"/>
        <w:gridCol w:w="987"/>
        <w:gridCol w:w="1074"/>
        <w:gridCol w:w="1096"/>
      </w:tblGrid>
      <w:tr w:rsidR="00887015" w:rsidRPr="00C40E68" w14:paraId="503EB9BF" w14:textId="77777777" w:rsidTr="00FF1217">
        <w:trPr>
          <w:trHeight w:val="300"/>
        </w:trPr>
        <w:tc>
          <w:tcPr>
            <w:tcW w:w="2200" w:type="dxa"/>
            <w:tcBorders>
              <w:top w:val="nil"/>
              <w:left w:val="nil"/>
              <w:bottom w:val="nil"/>
              <w:right w:val="nil"/>
            </w:tcBorders>
            <w:shd w:val="clear" w:color="auto" w:fill="auto"/>
            <w:noWrap/>
            <w:vAlign w:val="bottom"/>
          </w:tcPr>
          <w:p w14:paraId="22A33D65" w14:textId="77777777" w:rsidR="00887015" w:rsidRPr="00C40E68" w:rsidRDefault="00887015" w:rsidP="00FF1217">
            <w:pPr>
              <w:spacing w:after="0" w:line="240" w:lineRule="auto"/>
              <w:rPr>
                <w:rFonts w:ascii="Times New Roman" w:eastAsia="Times New Roman" w:hAnsi="Times New Roman" w:cs="Times New Roman"/>
                <w:b/>
                <w:bCs/>
                <w:color w:val="000000"/>
                <w:sz w:val="32"/>
                <w:szCs w:val="32"/>
              </w:rPr>
            </w:pPr>
            <w:r w:rsidRPr="00016DBC">
              <w:rPr>
                <w:rFonts w:ascii="Times New Roman" w:eastAsia="Times New Roman" w:hAnsi="Times New Roman" w:cs="Times New Roman"/>
                <w:b/>
                <w:bCs/>
                <w:color w:val="000000"/>
                <w:sz w:val="32"/>
                <w:szCs w:val="32"/>
              </w:rPr>
              <w:lastRenderedPageBreak/>
              <w:t>Tajikistan</w:t>
            </w:r>
          </w:p>
        </w:tc>
        <w:tc>
          <w:tcPr>
            <w:tcW w:w="8256" w:type="dxa"/>
            <w:gridSpan w:val="8"/>
            <w:tcBorders>
              <w:top w:val="nil"/>
              <w:left w:val="nil"/>
              <w:bottom w:val="single" w:sz="4" w:space="0" w:color="auto"/>
              <w:right w:val="nil"/>
            </w:tcBorders>
            <w:shd w:val="clear" w:color="auto" w:fill="auto"/>
            <w:noWrap/>
            <w:vAlign w:val="bottom"/>
            <w:hideMark/>
          </w:tcPr>
          <w:p w14:paraId="6B77066F" w14:textId="77777777" w:rsidR="00887015" w:rsidRPr="00C40E68" w:rsidRDefault="00887015" w:rsidP="00FF1217">
            <w:pPr>
              <w:spacing w:after="0" w:line="240" w:lineRule="auto"/>
              <w:jc w:val="center"/>
              <w:rPr>
                <w:rFonts w:ascii="Times New Roman" w:eastAsia="Times New Roman" w:hAnsi="Times New Roman" w:cs="Times New Roman"/>
                <w:sz w:val="20"/>
                <w:szCs w:val="20"/>
              </w:rPr>
            </w:pPr>
          </w:p>
        </w:tc>
      </w:tr>
      <w:tr w:rsidR="00887015" w:rsidRPr="00C40E68" w14:paraId="0A2F6E05" w14:textId="77777777" w:rsidTr="00FF1217">
        <w:trPr>
          <w:trHeight w:val="300"/>
        </w:trPr>
        <w:tc>
          <w:tcPr>
            <w:tcW w:w="2200" w:type="dxa"/>
            <w:tcBorders>
              <w:top w:val="nil"/>
              <w:left w:val="nil"/>
              <w:bottom w:val="nil"/>
              <w:right w:val="single" w:sz="4" w:space="0" w:color="auto"/>
            </w:tcBorders>
            <w:shd w:val="clear" w:color="auto" w:fill="auto"/>
            <w:noWrap/>
            <w:vAlign w:val="bottom"/>
            <w:hideMark/>
          </w:tcPr>
          <w:p w14:paraId="1168C41C" w14:textId="77777777" w:rsidR="00887015" w:rsidRPr="00C40E68" w:rsidRDefault="00887015" w:rsidP="00FF1217">
            <w:pPr>
              <w:spacing w:after="0" w:line="240" w:lineRule="auto"/>
              <w:rPr>
                <w:rFonts w:ascii="Times New Roman" w:eastAsia="Times New Roman" w:hAnsi="Times New Roman" w:cs="Times New Roman"/>
              </w:rPr>
            </w:pPr>
          </w:p>
        </w:tc>
        <w:tc>
          <w:tcPr>
            <w:tcW w:w="4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812FA" w14:textId="77777777" w:rsidR="00887015" w:rsidRPr="00C40E68" w:rsidRDefault="00887015" w:rsidP="00FF1217">
            <w:pPr>
              <w:spacing w:after="0" w:line="240" w:lineRule="auto"/>
              <w:jc w:val="center"/>
              <w:rPr>
                <w:rFonts w:ascii="Times New Roman" w:eastAsia="Times New Roman" w:hAnsi="Times New Roman" w:cs="Times New Roman"/>
              </w:rPr>
            </w:pPr>
            <w:r w:rsidRPr="00C40E68">
              <w:rPr>
                <w:rFonts w:ascii="Times New Roman" w:eastAsia="Times New Roman" w:hAnsi="Times New Roman" w:cs="Times New Roman"/>
                <w:color w:val="000000"/>
              </w:rPr>
              <w:t>Export</w:t>
            </w:r>
          </w:p>
        </w:tc>
        <w:tc>
          <w:tcPr>
            <w:tcW w:w="41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CF27D" w14:textId="77777777" w:rsidR="00887015" w:rsidRPr="00C40E68" w:rsidRDefault="00887015" w:rsidP="00FF1217">
            <w:pPr>
              <w:spacing w:after="0" w:line="240" w:lineRule="auto"/>
              <w:jc w:val="center"/>
              <w:rPr>
                <w:rFonts w:ascii="Times New Roman" w:eastAsia="Times New Roman" w:hAnsi="Times New Roman" w:cs="Times New Roman"/>
              </w:rPr>
            </w:pPr>
            <w:r w:rsidRPr="00C40E68">
              <w:rPr>
                <w:rFonts w:ascii="Times New Roman" w:eastAsia="Times New Roman" w:hAnsi="Times New Roman" w:cs="Times New Roman"/>
                <w:color w:val="000000"/>
              </w:rPr>
              <w:t>Import</w:t>
            </w:r>
          </w:p>
        </w:tc>
      </w:tr>
      <w:tr w:rsidR="00887015" w:rsidRPr="00C40E68" w14:paraId="35C644AD" w14:textId="77777777" w:rsidTr="00FF1217">
        <w:trPr>
          <w:trHeight w:val="300"/>
        </w:trPr>
        <w:tc>
          <w:tcPr>
            <w:tcW w:w="2200" w:type="dxa"/>
            <w:tcBorders>
              <w:top w:val="nil"/>
              <w:left w:val="nil"/>
              <w:bottom w:val="single" w:sz="4" w:space="0" w:color="auto"/>
              <w:right w:val="single" w:sz="4" w:space="0" w:color="auto"/>
            </w:tcBorders>
            <w:shd w:val="clear" w:color="auto" w:fill="auto"/>
            <w:noWrap/>
            <w:vAlign w:val="bottom"/>
            <w:hideMark/>
          </w:tcPr>
          <w:p w14:paraId="589C69AA" w14:textId="77777777" w:rsidR="00887015" w:rsidRPr="00C40E68" w:rsidRDefault="00887015" w:rsidP="00FF1217">
            <w:pPr>
              <w:spacing w:after="0" w:line="240" w:lineRule="auto"/>
              <w:rPr>
                <w:rFonts w:ascii="Times New Roman" w:eastAsia="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E9346"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4A938"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C7315"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7A6C6"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5D1F8"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50158"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1562E"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3C195"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r>
      <w:tr w:rsidR="00887015" w:rsidRPr="00C40E68" w14:paraId="131E73FE" w14:textId="77777777" w:rsidTr="00FF1217">
        <w:trPr>
          <w:trHeight w:val="17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7FA3"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Afghanistan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E3B14"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30124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D1DD8"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46787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ECE6C"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45974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1CEBD"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68792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509C5"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62270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48DA1"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28366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A22C5"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23717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4ABC5"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23091</w:t>
            </w:r>
          </w:p>
        </w:tc>
      </w:tr>
      <w:tr w:rsidR="00887015" w:rsidRPr="00C40E68" w14:paraId="499EE7DC"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49F6F"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Azerbaijan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515BA"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197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F6772"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06951"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246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5074A"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52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58AF0"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11813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FBFC6"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18630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CFDAC"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15413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C9B4E"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7401</w:t>
            </w:r>
          </w:p>
        </w:tc>
      </w:tr>
      <w:tr w:rsidR="00887015" w:rsidRPr="00C40E68" w14:paraId="35EA2DB4"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1CBAB"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Kazakhstan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F5CC7"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81435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7094D"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68292</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C7BA2"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94248</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FB339"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147382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B531E"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433839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095B1"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359625</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B8170"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338411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1933C"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370622</w:t>
            </w:r>
          </w:p>
        </w:tc>
      </w:tr>
      <w:tr w:rsidR="00887015" w:rsidRPr="00C40E68" w14:paraId="3F4FA599"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8221D"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Kyrgyzstan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19691"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8146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9FF09"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5629</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9C53F"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5321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0FEF1"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10697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1438A"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30146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8AC65"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25159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A7F6D"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22758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73F2E"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19892</w:t>
            </w:r>
          </w:p>
        </w:tc>
      </w:tr>
      <w:tr w:rsidR="00887015" w:rsidRPr="00C40E68" w14:paraId="37E2AF4B"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0A8E9" w14:textId="77777777" w:rsidR="00887015" w:rsidRPr="00C40E68" w:rsidRDefault="00887015" w:rsidP="00FF1217">
            <w:pPr>
              <w:spacing w:after="0" w:line="240" w:lineRule="auto"/>
              <w:rPr>
                <w:rFonts w:ascii="Times New Roman" w:eastAsia="Times New Roman" w:hAnsi="Times New Roman" w:cs="Times New Roman"/>
                <w:color w:val="000000"/>
              </w:rPr>
            </w:pPr>
            <w:proofErr w:type="spellStart"/>
            <w:r w:rsidRPr="00C40E68">
              <w:rPr>
                <w:rFonts w:ascii="Times New Roman" w:eastAsia="Times New Roman" w:hAnsi="Times New Roman" w:cs="Times New Roman"/>
                <w:color w:val="000000"/>
              </w:rPr>
              <w:t>Tajikstan</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CD3AD"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17661"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73B9B"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69761"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A37A2"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5220F"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87BFC"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9208D"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r>
      <w:tr w:rsidR="00887015" w:rsidRPr="00C40E68" w14:paraId="70154658"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BA3A5"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Turkmenistan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1AAC9"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1C38C"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7CC97"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0AB13"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FD929"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ACAE4"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6743B"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5C864"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r>
      <w:tr w:rsidR="00887015" w:rsidRPr="00C40E68" w14:paraId="599FA57C"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889A3"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Uzbekistan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53EB5"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7665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36F69"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5610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5D7D4"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6274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59AD5"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8949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1CDC6"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155942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FEA17"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123291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440F0"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110930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BDCBA"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88810</w:t>
            </w:r>
          </w:p>
        </w:tc>
      </w:tr>
      <w:tr w:rsidR="00887015" w:rsidRPr="00C40E68" w14:paraId="140D3745"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C5EB0"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Whole World</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95B34"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959243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CCEDB"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874145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86FDD"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882390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855FC"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1177828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7A98C"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4297400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02338"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3435600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4007F"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3031000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3EA38"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2700000</w:t>
            </w:r>
          </w:p>
        </w:tc>
      </w:tr>
      <w:tr w:rsidR="00887015" w:rsidRPr="00C40E68" w14:paraId="144F4547"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E0C22"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Total SPECA</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46BC9"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127566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7EC64"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126317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48129"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152063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BCAA7"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235872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A2A74"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694009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B9069"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555071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FF81D"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511229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E66ED"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509816</w:t>
            </w:r>
          </w:p>
        </w:tc>
      </w:tr>
      <w:tr w:rsidR="00887015" w:rsidRPr="00C40E68" w14:paraId="37ABF91B"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16A98"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 xml:space="preserve">Trade with SPECA </w:t>
            </w:r>
            <w:r w:rsidRPr="00016DBC">
              <w:rPr>
                <w:rFonts w:ascii="Times New Roman" w:eastAsia="Times New Roman" w:hAnsi="Times New Roman" w:cs="Times New Roman"/>
                <w:color w:val="000000"/>
              </w:rPr>
              <w:t>i</w:t>
            </w:r>
            <w:r w:rsidRPr="00C40E68">
              <w:rPr>
                <w:rFonts w:ascii="Times New Roman" w:eastAsia="Times New Roman" w:hAnsi="Times New Roman" w:cs="Times New Roman"/>
                <w:color w:val="000000"/>
              </w:rPr>
              <w:t>n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30CBA"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C2EA9"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14.5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6E33C"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17.2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84678"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20.0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442FB"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16.1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A8BC6"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16.2</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0F6AF"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16.9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4638E"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18.9</w:t>
            </w:r>
          </w:p>
        </w:tc>
      </w:tr>
    </w:tbl>
    <w:p w14:paraId="6556589F" w14:textId="77777777" w:rsidR="00887015" w:rsidRDefault="00887015" w:rsidP="00887015">
      <w:pPr>
        <w:ind w:left="-149"/>
        <w:jc w:val="right"/>
        <w:rPr>
          <w:rFonts w:ascii="Times New Roman" w:hAnsi="Times New Roman" w:cs="Times New Roman"/>
        </w:rPr>
      </w:pPr>
    </w:p>
    <w:tbl>
      <w:tblPr>
        <w:tblW w:w="10456" w:type="dxa"/>
        <w:tblLook w:val="04A0" w:firstRow="1" w:lastRow="0" w:firstColumn="1" w:lastColumn="0" w:noHBand="0" w:noVBand="1"/>
      </w:tblPr>
      <w:tblGrid>
        <w:gridCol w:w="2200"/>
        <w:gridCol w:w="1096"/>
        <w:gridCol w:w="1096"/>
        <w:gridCol w:w="1068"/>
        <w:gridCol w:w="1002"/>
        <w:gridCol w:w="1096"/>
        <w:gridCol w:w="987"/>
        <w:gridCol w:w="1074"/>
        <w:gridCol w:w="1096"/>
      </w:tblGrid>
      <w:tr w:rsidR="00887015" w:rsidRPr="00C40E68" w14:paraId="7A59F1C8" w14:textId="77777777" w:rsidTr="00FF1217">
        <w:trPr>
          <w:trHeight w:val="300"/>
        </w:trPr>
        <w:tc>
          <w:tcPr>
            <w:tcW w:w="2200" w:type="dxa"/>
            <w:tcBorders>
              <w:top w:val="nil"/>
              <w:left w:val="nil"/>
              <w:bottom w:val="nil"/>
              <w:right w:val="nil"/>
            </w:tcBorders>
            <w:shd w:val="clear" w:color="auto" w:fill="auto"/>
            <w:noWrap/>
            <w:vAlign w:val="bottom"/>
          </w:tcPr>
          <w:p w14:paraId="633DBBB7" w14:textId="4EA7D706" w:rsidR="00887015" w:rsidRPr="00C40E68" w:rsidRDefault="00887015" w:rsidP="00887015">
            <w:pPr>
              <w:spacing w:after="0" w:line="240" w:lineRule="auto"/>
              <w:rPr>
                <w:rFonts w:ascii="Times New Roman" w:eastAsia="Times New Roman" w:hAnsi="Times New Roman" w:cs="Times New Roman"/>
                <w:b/>
                <w:bCs/>
                <w:color w:val="000000"/>
                <w:sz w:val="32"/>
                <w:szCs w:val="32"/>
              </w:rPr>
            </w:pPr>
            <w:r w:rsidRPr="00016DBC">
              <w:rPr>
                <w:rFonts w:ascii="Times New Roman" w:eastAsia="Times New Roman" w:hAnsi="Times New Roman" w:cs="Times New Roman"/>
                <w:b/>
                <w:bCs/>
                <w:color w:val="000000"/>
                <w:sz w:val="32"/>
                <w:szCs w:val="32"/>
              </w:rPr>
              <w:t>Turkmenistan</w:t>
            </w:r>
          </w:p>
        </w:tc>
        <w:tc>
          <w:tcPr>
            <w:tcW w:w="8256" w:type="dxa"/>
            <w:gridSpan w:val="8"/>
            <w:tcBorders>
              <w:top w:val="nil"/>
              <w:left w:val="nil"/>
              <w:bottom w:val="single" w:sz="4" w:space="0" w:color="auto"/>
              <w:right w:val="nil"/>
            </w:tcBorders>
            <w:shd w:val="clear" w:color="auto" w:fill="auto"/>
            <w:noWrap/>
            <w:vAlign w:val="bottom"/>
            <w:hideMark/>
          </w:tcPr>
          <w:p w14:paraId="52574E0C" w14:textId="77777777" w:rsidR="00887015" w:rsidRPr="00C40E68" w:rsidRDefault="00887015" w:rsidP="00FF1217">
            <w:pPr>
              <w:ind w:left="-149"/>
              <w:jc w:val="right"/>
              <w:rPr>
                <w:rFonts w:ascii="Times New Roman" w:eastAsia="Times New Roman" w:hAnsi="Times New Roman" w:cs="Times New Roman"/>
                <w:color w:val="000000"/>
              </w:rPr>
            </w:pPr>
          </w:p>
        </w:tc>
      </w:tr>
      <w:tr w:rsidR="00887015" w:rsidRPr="00016DBC" w14:paraId="751532EF" w14:textId="77777777" w:rsidTr="00FF1217">
        <w:trPr>
          <w:trHeight w:val="300"/>
        </w:trPr>
        <w:tc>
          <w:tcPr>
            <w:tcW w:w="2200" w:type="dxa"/>
            <w:tcBorders>
              <w:top w:val="nil"/>
              <w:left w:val="nil"/>
              <w:bottom w:val="nil"/>
              <w:right w:val="single" w:sz="4" w:space="0" w:color="auto"/>
            </w:tcBorders>
            <w:shd w:val="clear" w:color="auto" w:fill="auto"/>
            <w:noWrap/>
            <w:vAlign w:val="bottom"/>
            <w:hideMark/>
          </w:tcPr>
          <w:p w14:paraId="679D742C" w14:textId="77777777" w:rsidR="00887015" w:rsidRPr="00C40E68" w:rsidRDefault="00887015" w:rsidP="00FF1217">
            <w:pPr>
              <w:spacing w:after="0" w:line="240" w:lineRule="auto"/>
              <w:rPr>
                <w:rFonts w:ascii="Times New Roman" w:eastAsia="Times New Roman" w:hAnsi="Times New Roman" w:cs="Times New Roman"/>
              </w:rPr>
            </w:pPr>
          </w:p>
        </w:tc>
        <w:tc>
          <w:tcPr>
            <w:tcW w:w="4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EB931"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Export</w:t>
            </w:r>
          </w:p>
        </w:tc>
        <w:tc>
          <w:tcPr>
            <w:tcW w:w="41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35447"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Import</w:t>
            </w:r>
          </w:p>
        </w:tc>
      </w:tr>
      <w:tr w:rsidR="00887015" w:rsidRPr="00016DBC" w14:paraId="17313499" w14:textId="77777777" w:rsidTr="00FF1217">
        <w:trPr>
          <w:trHeight w:val="300"/>
        </w:trPr>
        <w:tc>
          <w:tcPr>
            <w:tcW w:w="2200" w:type="dxa"/>
            <w:tcBorders>
              <w:top w:val="nil"/>
              <w:left w:val="nil"/>
              <w:bottom w:val="single" w:sz="4" w:space="0" w:color="auto"/>
              <w:right w:val="single" w:sz="4" w:space="0" w:color="auto"/>
            </w:tcBorders>
            <w:shd w:val="clear" w:color="auto" w:fill="auto"/>
            <w:noWrap/>
            <w:vAlign w:val="bottom"/>
            <w:hideMark/>
          </w:tcPr>
          <w:p w14:paraId="494FE080" w14:textId="77777777" w:rsidR="00887015" w:rsidRPr="00C40E68" w:rsidRDefault="00887015" w:rsidP="00FF1217">
            <w:pPr>
              <w:spacing w:after="0" w:line="240" w:lineRule="auto"/>
              <w:rPr>
                <w:rFonts w:ascii="Times New Roman" w:eastAsia="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47B13"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242F2"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F1CD9"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28FFF"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AD0F9"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FC828"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E8F5B"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E7452"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r>
      <w:tr w:rsidR="00887015" w:rsidRPr="00C40E68" w14:paraId="607D2F4F" w14:textId="77777777" w:rsidTr="00FF1217">
        <w:trPr>
          <w:trHeight w:val="17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B9E02"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Afghanistan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9970F"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4D63F"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643570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BE06A"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158070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D1ED2"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311749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42FBC"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82A26"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1219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5A807"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474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C0589"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677</w:t>
            </w:r>
          </w:p>
        </w:tc>
      </w:tr>
      <w:tr w:rsidR="00887015" w:rsidRPr="00C40E68" w14:paraId="633A1775"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CE209"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Azerbaijan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8422B"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62126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F4FB9"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60562</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25FD2"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30134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2DF9F"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35271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9928E"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54785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8297A"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27207</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C09A3"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31886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A5D4C"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23637</w:t>
            </w:r>
          </w:p>
        </w:tc>
      </w:tr>
      <w:tr w:rsidR="00887015" w:rsidRPr="00C40E68" w14:paraId="6A73C58D"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2BE18"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Kazakhstan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36958"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173112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D51E0"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78667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AD06C"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61840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A951B"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54642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6E66E"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413495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2D797"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177712</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5763A"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229914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555A7"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163050</w:t>
            </w:r>
          </w:p>
        </w:tc>
      </w:tr>
      <w:tr w:rsidR="00887015" w:rsidRPr="00C40E68" w14:paraId="49E0827C"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EA2E9"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Kyrgyzstan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CCC0B"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7486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C7E2A"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4019</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0E5A1"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2826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61932"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2662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1667C"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7771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57C49"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8632</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DE32B"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6379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0E2FA"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6005</w:t>
            </w:r>
          </w:p>
        </w:tc>
      </w:tr>
      <w:tr w:rsidR="00887015" w:rsidRPr="00C40E68" w14:paraId="040E051C"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ABDF1" w14:textId="77777777" w:rsidR="00887015" w:rsidRPr="00C40E68" w:rsidRDefault="00887015" w:rsidP="00FF1217">
            <w:pPr>
              <w:spacing w:after="0" w:line="240" w:lineRule="auto"/>
              <w:rPr>
                <w:rFonts w:ascii="Times New Roman" w:eastAsia="Times New Roman" w:hAnsi="Times New Roman" w:cs="Times New Roman"/>
                <w:color w:val="000000"/>
              </w:rPr>
            </w:pPr>
            <w:proofErr w:type="spellStart"/>
            <w:r w:rsidRPr="00C40E68">
              <w:rPr>
                <w:rFonts w:ascii="Times New Roman" w:eastAsia="Times New Roman" w:hAnsi="Times New Roman" w:cs="Times New Roman"/>
                <w:color w:val="000000"/>
              </w:rPr>
              <w:t>Tajikstan</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599CB"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9F962"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0E902"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7EBB5"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A73DE"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2128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BE1D1"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1849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2E46C"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1C060"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r>
      <w:tr w:rsidR="00887015" w:rsidRPr="00C40E68" w14:paraId="5160A31F"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6BBAB"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Turkmenistan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A6750"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A39E3"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B7A6E"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493F2"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C776A"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E08CF"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4A4DE"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5D747"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r>
      <w:tr w:rsidR="00887015" w:rsidRPr="00C40E68" w14:paraId="4C685824"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EBE6C"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Uzbekistan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BE6C3"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0A327"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FE09E"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8D1E3"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8A5B0"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941EE"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31E01"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2DE55"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r>
      <w:tr w:rsidR="00887015" w:rsidRPr="00C40E68" w14:paraId="698BE71A"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A4142"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Whole World</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65532"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17500000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F3F4D"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11000000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C222D"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7000000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7CA7A"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7000000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F71A7"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10000000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7EA82"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8000000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C6B12"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7000000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47651"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6000000</w:t>
            </w:r>
          </w:p>
        </w:tc>
      </w:tr>
      <w:tr w:rsidR="00887015" w:rsidRPr="00C40E68" w14:paraId="5C5C3501"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DBCF1"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Total SPECA</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643FD"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242723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B23F8"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786818</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F99AB"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252870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6EDEB"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404323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21E13"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478179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8803E"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216619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C8CFC"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268653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7DCE"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193369</w:t>
            </w:r>
          </w:p>
        </w:tc>
      </w:tr>
      <w:tr w:rsidR="00887015" w:rsidRPr="00C40E68" w14:paraId="545A0E21"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A5A3A"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 xml:space="preserve">Trade with SPECA </w:t>
            </w:r>
            <w:r w:rsidRPr="00016DBC">
              <w:rPr>
                <w:rFonts w:ascii="Times New Roman" w:eastAsia="Times New Roman" w:hAnsi="Times New Roman" w:cs="Times New Roman"/>
                <w:color w:val="000000"/>
              </w:rPr>
              <w:t>i</w:t>
            </w:r>
            <w:r w:rsidRPr="00C40E68">
              <w:rPr>
                <w:rFonts w:ascii="Times New Roman" w:eastAsia="Times New Roman" w:hAnsi="Times New Roman" w:cs="Times New Roman"/>
                <w:color w:val="000000"/>
              </w:rPr>
              <w:t>n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44E5F"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F4A2F"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7.2</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DC558"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3.6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88A66"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5.8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24532"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4.8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55659"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2.7</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E5D3D"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3.8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BBCE2"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3.2</w:t>
            </w:r>
          </w:p>
        </w:tc>
      </w:tr>
    </w:tbl>
    <w:p w14:paraId="1DDCF4A3" w14:textId="77777777" w:rsidR="00887015" w:rsidRPr="00C40E68" w:rsidRDefault="00887015" w:rsidP="00887015">
      <w:pPr>
        <w:ind w:left="-149"/>
        <w:jc w:val="right"/>
        <w:rPr>
          <w:rFonts w:ascii="Times New Roman" w:hAnsi="Times New Roman" w:cs="Times New Roman"/>
        </w:rPr>
      </w:pPr>
    </w:p>
    <w:p w14:paraId="40A1D33A" w14:textId="77777777" w:rsidR="00887015" w:rsidRPr="00016DBC" w:rsidRDefault="00887015" w:rsidP="00887015">
      <w:pPr>
        <w:ind w:left="-149"/>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br w:type="page"/>
      </w:r>
    </w:p>
    <w:tbl>
      <w:tblPr>
        <w:tblW w:w="10530" w:type="dxa"/>
        <w:tblLook w:val="04A0" w:firstRow="1" w:lastRow="0" w:firstColumn="1" w:lastColumn="0" w:noHBand="0" w:noVBand="1"/>
      </w:tblPr>
      <w:tblGrid>
        <w:gridCol w:w="2200"/>
        <w:gridCol w:w="1040"/>
        <w:gridCol w:w="1002"/>
        <w:gridCol w:w="978"/>
        <w:gridCol w:w="993"/>
        <w:gridCol w:w="1096"/>
        <w:gridCol w:w="1096"/>
        <w:gridCol w:w="1096"/>
        <w:gridCol w:w="1096"/>
      </w:tblGrid>
      <w:tr w:rsidR="00887015" w:rsidRPr="00C40E68" w14:paraId="070C4FCA" w14:textId="77777777" w:rsidTr="00FF1217">
        <w:trPr>
          <w:trHeight w:val="300"/>
        </w:trPr>
        <w:tc>
          <w:tcPr>
            <w:tcW w:w="2200" w:type="dxa"/>
            <w:tcBorders>
              <w:top w:val="nil"/>
              <w:left w:val="nil"/>
              <w:bottom w:val="nil"/>
              <w:right w:val="nil"/>
            </w:tcBorders>
            <w:shd w:val="clear" w:color="auto" w:fill="auto"/>
            <w:noWrap/>
            <w:vAlign w:val="bottom"/>
          </w:tcPr>
          <w:p w14:paraId="4979E7A3" w14:textId="0CA4F0C9" w:rsidR="00887015" w:rsidRPr="00C40E68" w:rsidRDefault="00887015" w:rsidP="00887015">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lastRenderedPageBreak/>
              <w:t>Uzbekistan</w:t>
            </w:r>
          </w:p>
        </w:tc>
        <w:tc>
          <w:tcPr>
            <w:tcW w:w="8330" w:type="dxa"/>
            <w:gridSpan w:val="8"/>
            <w:tcBorders>
              <w:top w:val="nil"/>
              <w:left w:val="nil"/>
              <w:bottom w:val="single" w:sz="4" w:space="0" w:color="auto"/>
              <w:right w:val="nil"/>
            </w:tcBorders>
            <w:shd w:val="clear" w:color="auto" w:fill="auto"/>
            <w:noWrap/>
            <w:vAlign w:val="bottom"/>
            <w:hideMark/>
          </w:tcPr>
          <w:p w14:paraId="64B82264" w14:textId="77777777" w:rsidR="00887015" w:rsidRPr="00C40E68" w:rsidRDefault="00887015" w:rsidP="00FF1217">
            <w:pPr>
              <w:spacing w:after="0" w:line="240" w:lineRule="auto"/>
              <w:jc w:val="center"/>
              <w:rPr>
                <w:rFonts w:ascii="Times New Roman" w:eastAsia="Times New Roman" w:hAnsi="Times New Roman" w:cs="Times New Roman"/>
                <w:sz w:val="20"/>
                <w:szCs w:val="20"/>
              </w:rPr>
            </w:pPr>
          </w:p>
        </w:tc>
      </w:tr>
      <w:tr w:rsidR="00887015" w:rsidRPr="00016DBC" w14:paraId="58AED477" w14:textId="77777777" w:rsidTr="00FF1217">
        <w:trPr>
          <w:trHeight w:val="300"/>
        </w:trPr>
        <w:tc>
          <w:tcPr>
            <w:tcW w:w="2200" w:type="dxa"/>
            <w:tcBorders>
              <w:top w:val="nil"/>
              <w:left w:val="nil"/>
              <w:bottom w:val="nil"/>
              <w:right w:val="single" w:sz="4" w:space="0" w:color="auto"/>
            </w:tcBorders>
            <w:shd w:val="clear" w:color="auto" w:fill="auto"/>
            <w:noWrap/>
            <w:vAlign w:val="bottom"/>
            <w:hideMark/>
          </w:tcPr>
          <w:p w14:paraId="7E5DBCB7" w14:textId="77777777" w:rsidR="00887015" w:rsidRPr="00C40E68" w:rsidRDefault="00887015" w:rsidP="00FF1217">
            <w:pPr>
              <w:spacing w:after="0" w:line="240" w:lineRule="auto"/>
              <w:rPr>
                <w:rFonts w:ascii="Times New Roman" w:eastAsia="Times New Roman" w:hAnsi="Times New Roman" w:cs="Times New Roman"/>
              </w:rPr>
            </w:pPr>
          </w:p>
        </w:tc>
        <w:tc>
          <w:tcPr>
            <w:tcW w:w="40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DAB7E" w14:textId="77777777" w:rsidR="00887015" w:rsidRPr="00C40E68" w:rsidRDefault="00887015" w:rsidP="00FF1217">
            <w:pPr>
              <w:spacing w:after="0" w:line="240" w:lineRule="auto"/>
              <w:jc w:val="center"/>
              <w:rPr>
                <w:rFonts w:ascii="Times New Roman" w:eastAsia="Times New Roman" w:hAnsi="Times New Roman" w:cs="Times New Roman"/>
              </w:rPr>
            </w:pPr>
            <w:r w:rsidRPr="00C40E68">
              <w:rPr>
                <w:rFonts w:ascii="Times New Roman" w:eastAsia="Times New Roman" w:hAnsi="Times New Roman" w:cs="Times New Roman"/>
                <w:color w:val="000000"/>
              </w:rPr>
              <w:t>Export</w:t>
            </w:r>
          </w:p>
        </w:tc>
        <w:tc>
          <w:tcPr>
            <w:tcW w:w="43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8FA16" w14:textId="77777777" w:rsidR="00887015" w:rsidRPr="00C40E68" w:rsidRDefault="00887015" w:rsidP="00FF1217">
            <w:pPr>
              <w:spacing w:after="0" w:line="240" w:lineRule="auto"/>
              <w:jc w:val="center"/>
              <w:rPr>
                <w:rFonts w:ascii="Times New Roman" w:eastAsia="Times New Roman" w:hAnsi="Times New Roman" w:cs="Times New Roman"/>
              </w:rPr>
            </w:pPr>
            <w:r w:rsidRPr="00C40E68">
              <w:rPr>
                <w:rFonts w:ascii="Times New Roman" w:eastAsia="Times New Roman" w:hAnsi="Times New Roman" w:cs="Times New Roman"/>
                <w:color w:val="000000"/>
              </w:rPr>
              <w:t>Import</w:t>
            </w:r>
          </w:p>
        </w:tc>
      </w:tr>
      <w:tr w:rsidR="00887015" w:rsidRPr="00016DBC" w14:paraId="5C10C676" w14:textId="77777777" w:rsidTr="00FF1217">
        <w:trPr>
          <w:trHeight w:val="300"/>
        </w:trPr>
        <w:tc>
          <w:tcPr>
            <w:tcW w:w="2200" w:type="dxa"/>
            <w:tcBorders>
              <w:top w:val="nil"/>
              <w:left w:val="nil"/>
              <w:bottom w:val="single" w:sz="4" w:space="0" w:color="auto"/>
              <w:right w:val="single" w:sz="4" w:space="0" w:color="auto"/>
            </w:tcBorders>
            <w:shd w:val="clear" w:color="auto" w:fill="auto"/>
            <w:noWrap/>
            <w:vAlign w:val="bottom"/>
            <w:hideMark/>
          </w:tcPr>
          <w:p w14:paraId="4619B518" w14:textId="77777777" w:rsidR="00887015" w:rsidRPr="00C40E68" w:rsidRDefault="00887015" w:rsidP="00FF1217">
            <w:pPr>
              <w:spacing w:after="0" w:line="240" w:lineRule="auto"/>
              <w:rPr>
                <w:rFonts w:ascii="Times New Roman" w:eastAsia="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527B8" w14:textId="77777777" w:rsidR="00887015" w:rsidRPr="00C40E68" w:rsidRDefault="00887015" w:rsidP="00FF1217">
            <w:pPr>
              <w:spacing w:after="0" w:line="240" w:lineRule="auto"/>
              <w:ind w:left="-5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19B0D" w14:textId="77777777" w:rsidR="00887015" w:rsidRPr="00C40E68" w:rsidRDefault="00887015" w:rsidP="00FF1217">
            <w:pPr>
              <w:spacing w:after="0" w:line="240" w:lineRule="auto"/>
              <w:ind w:left="-104"/>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6406E"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2756F" w14:textId="77777777" w:rsidR="00887015" w:rsidRPr="00C40E68" w:rsidRDefault="00887015" w:rsidP="00FF1217">
            <w:pPr>
              <w:spacing w:after="0" w:line="240" w:lineRule="auto"/>
              <w:ind w:left="-104"/>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FE304"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4D311"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20482"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3E2CE"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r>
      <w:tr w:rsidR="00887015" w:rsidRPr="00016DBC" w14:paraId="6A22DF32" w14:textId="77777777" w:rsidTr="00FF1217">
        <w:trPr>
          <w:trHeight w:val="17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A7D9A"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Afghanistan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14387" w14:textId="77777777" w:rsidR="00887015" w:rsidRPr="00016DBC" w:rsidRDefault="00887015" w:rsidP="00FF1217">
            <w:pPr>
              <w:spacing w:after="0" w:line="240" w:lineRule="auto"/>
              <w:ind w:left="-59"/>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86FED" w14:textId="77777777" w:rsidR="00887015" w:rsidRPr="00016DBC" w:rsidRDefault="00887015" w:rsidP="00FF1217">
            <w:pPr>
              <w:spacing w:after="0" w:line="240" w:lineRule="auto"/>
              <w:ind w:left="-104"/>
              <w:jc w:val="right"/>
              <w:rPr>
                <w:rFonts w:ascii="Times New Roman" w:hAnsi="Times New Roman" w:cs="Times New Roman"/>
              </w:rPr>
            </w:pPr>
            <w:r w:rsidRPr="00016DBC">
              <w:rPr>
                <w:rFonts w:ascii="Times New Roman" w:hAnsi="Times New Roman" w:cs="Times New Roman"/>
              </w:rPr>
              <w:t>491707</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AC7CA" w14:textId="77777777" w:rsidR="00887015" w:rsidRPr="00016DBC" w:rsidRDefault="00887015" w:rsidP="00FF1217">
            <w:pPr>
              <w:spacing w:after="0" w:line="240" w:lineRule="auto"/>
              <w:ind w:left="-119"/>
              <w:jc w:val="right"/>
              <w:rPr>
                <w:rFonts w:ascii="Times New Roman" w:hAnsi="Times New Roman" w:cs="Times New Roman"/>
              </w:rPr>
            </w:pPr>
            <w:r w:rsidRPr="00016DBC">
              <w:rPr>
                <w:rFonts w:ascii="Times New Roman" w:hAnsi="Times New Roman" w:cs="Times New Roman"/>
              </w:rPr>
              <w:t>433614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F7169" w14:textId="77777777" w:rsidR="00887015" w:rsidRPr="00016DBC" w:rsidRDefault="00887015" w:rsidP="00FF1217">
            <w:pPr>
              <w:spacing w:after="0" w:line="240" w:lineRule="auto"/>
              <w:ind w:left="-104"/>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ED1F7"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9BE48"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221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5A9EC"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342</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48D70"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r>
      <w:tr w:rsidR="00887015" w:rsidRPr="00016DBC" w14:paraId="2CEE1799"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97560"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Azerbaijan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8D983" w14:textId="77777777" w:rsidR="00887015" w:rsidRPr="00016DBC" w:rsidRDefault="00887015" w:rsidP="00FF1217">
            <w:pPr>
              <w:spacing w:after="0" w:line="240" w:lineRule="auto"/>
              <w:ind w:left="-59"/>
              <w:jc w:val="right"/>
              <w:rPr>
                <w:rFonts w:ascii="Times New Roman" w:hAnsi="Times New Roman" w:cs="Times New Roman"/>
              </w:rPr>
            </w:pPr>
            <w:r w:rsidRPr="00016DBC">
              <w:rPr>
                <w:rFonts w:ascii="Times New Roman" w:hAnsi="Times New Roman" w:cs="Times New Roman"/>
              </w:rPr>
              <w:t>43533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D572D" w14:textId="77777777" w:rsidR="00887015" w:rsidRPr="00016DBC" w:rsidRDefault="00887015" w:rsidP="00FF1217">
            <w:pPr>
              <w:spacing w:after="0" w:line="240" w:lineRule="auto"/>
              <w:ind w:left="-104"/>
              <w:jc w:val="right"/>
              <w:rPr>
                <w:rFonts w:ascii="Times New Roman" w:hAnsi="Times New Roman" w:cs="Times New Roman"/>
              </w:rPr>
            </w:pPr>
            <w:r w:rsidRPr="00016DBC">
              <w:rPr>
                <w:rFonts w:ascii="Times New Roman" w:hAnsi="Times New Roman" w:cs="Times New Roman"/>
              </w:rPr>
              <w:t>10053</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61211" w14:textId="77777777" w:rsidR="00887015" w:rsidRPr="00016DBC" w:rsidRDefault="00887015" w:rsidP="00FF1217">
            <w:pPr>
              <w:spacing w:after="0" w:line="240" w:lineRule="auto"/>
              <w:ind w:left="-119"/>
              <w:jc w:val="right"/>
              <w:rPr>
                <w:rFonts w:ascii="Times New Roman" w:hAnsi="Times New Roman" w:cs="Times New Roman"/>
              </w:rPr>
            </w:pPr>
            <w:r w:rsidRPr="00016DBC">
              <w:rPr>
                <w:rFonts w:ascii="Times New Roman" w:hAnsi="Times New Roman" w:cs="Times New Roman"/>
              </w:rPr>
              <w:t>13686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00346" w14:textId="77777777" w:rsidR="00887015" w:rsidRPr="00016DBC" w:rsidRDefault="00887015" w:rsidP="00FF1217">
            <w:pPr>
              <w:spacing w:after="0" w:line="240" w:lineRule="auto"/>
              <w:ind w:left="-104"/>
              <w:jc w:val="right"/>
              <w:rPr>
                <w:rFonts w:ascii="Times New Roman" w:hAnsi="Times New Roman" w:cs="Times New Roman"/>
              </w:rPr>
            </w:pPr>
            <w:r w:rsidRPr="00016DBC">
              <w:rPr>
                <w:rFonts w:ascii="Times New Roman" w:hAnsi="Times New Roman" w:cs="Times New Roman"/>
              </w:rPr>
              <w:t>38775</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A59E3"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45080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741EB"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35028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88FF0"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4832</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6D389"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5868</w:t>
            </w:r>
          </w:p>
        </w:tc>
      </w:tr>
      <w:tr w:rsidR="00887015" w:rsidRPr="00016DBC" w14:paraId="1C1EFCAE"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C008E"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Kazakhstan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E155C" w14:textId="77777777" w:rsidR="00887015" w:rsidRPr="00016DBC" w:rsidRDefault="00887015" w:rsidP="00FF1217">
            <w:pPr>
              <w:spacing w:after="0" w:line="240" w:lineRule="auto"/>
              <w:ind w:left="-59"/>
              <w:jc w:val="right"/>
              <w:rPr>
                <w:rFonts w:ascii="Times New Roman" w:hAnsi="Times New Roman" w:cs="Times New Roman"/>
              </w:rPr>
            </w:pPr>
            <w:r w:rsidRPr="00016DBC">
              <w:rPr>
                <w:rFonts w:ascii="Times New Roman" w:hAnsi="Times New Roman" w:cs="Times New Roman"/>
              </w:rPr>
              <w:t>1765473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65918" w14:textId="77777777" w:rsidR="00887015" w:rsidRPr="00016DBC" w:rsidRDefault="00887015" w:rsidP="00FF1217">
            <w:pPr>
              <w:spacing w:after="0" w:line="240" w:lineRule="auto"/>
              <w:ind w:left="-104"/>
              <w:jc w:val="right"/>
              <w:rPr>
                <w:rFonts w:ascii="Times New Roman" w:hAnsi="Times New Roman" w:cs="Times New Roman"/>
              </w:rPr>
            </w:pPr>
            <w:r w:rsidRPr="00016DBC">
              <w:rPr>
                <w:rFonts w:ascii="Times New Roman" w:hAnsi="Times New Roman" w:cs="Times New Roman"/>
              </w:rPr>
              <w:t>1129911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4AC22" w14:textId="77777777" w:rsidR="00887015" w:rsidRPr="00016DBC" w:rsidRDefault="00887015" w:rsidP="00FF1217">
            <w:pPr>
              <w:spacing w:after="0" w:line="240" w:lineRule="auto"/>
              <w:ind w:left="-119"/>
              <w:jc w:val="right"/>
              <w:rPr>
                <w:rFonts w:ascii="Times New Roman" w:hAnsi="Times New Roman" w:cs="Times New Roman"/>
              </w:rPr>
            </w:pPr>
            <w:r w:rsidRPr="00016DBC">
              <w:rPr>
                <w:rFonts w:ascii="Times New Roman" w:hAnsi="Times New Roman" w:cs="Times New Roman"/>
              </w:rPr>
              <w:t>653725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C79F4" w14:textId="77777777" w:rsidR="00887015" w:rsidRPr="00016DBC" w:rsidRDefault="00887015" w:rsidP="00FF1217">
            <w:pPr>
              <w:spacing w:after="0" w:line="240" w:lineRule="auto"/>
              <w:ind w:left="-104"/>
              <w:jc w:val="right"/>
              <w:rPr>
                <w:rFonts w:ascii="Times New Roman" w:hAnsi="Times New Roman" w:cs="Times New Roman"/>
              </w:rPr>
            </w:pPr>
            <w:r w:rsidRPr="00016DBC">
              <w:rPr>
                <w:rFonts w:ascii="Times New Roman" w:hAnsi="Times New Roman" w:cs="Times New Roman"/>
              </w:rPr>
              <w:t>1018331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F6B2C"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1035987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F2F2E"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1012966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1DA64"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1079918</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410A2"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1719919</w:t>
            </w:r>
          </w:p>
        </w:tc>
      </w:tr>
      <w:tr w:rsidR="00887015" w:rsidRPr="00016DBC" w14:paraId="7F0B5456"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07347"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Kyrgyzstan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3635A" w14:textId="77777777" w:rsidR="00887015" w:rsidRPr="00016DBC" w:rsidRDefault="00887015" w:rsidP="00FF1217">
            <w:pPr>
              <w:spacing w:after="0" w:line="240" w:lineRule="auto"/>
              <w:ind w:left="-59"/>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75793" w14:textId="77777777" w:rsidR="00887015" w:rsidRPr="00016DBC" w:rsidRDefault="00887015" w:rsidP="00FF1217">
            <w:pPr>
              <w:spacing w:after="0" w:line="240" w:lineRule="auto"/>
              <w:ind w:left="-104"/>
              <w:jc w:val="right"/>
              <w:rPr>
                <w:rFonts w:ascii="Times New Roman" w:hAnsi="Times New Roman" w:cs="Times New Roman"/>
              </w:rPr>
            </w:pPr>
            <w:r w:rsidRPr="00016DBC">
              <w:rPr>
                <w:rFonts w:ascii="Times New Roman" w:hAnsi="Times New Roman" w:cs="Times New Roman"/>
              </w:rPr>
              <w:t>95489</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7811D" w14:textId="77777777" w:rsidR="00887015" w:rsidRPr="00016DBC" w:rsidRDefault="00887015" w:rsidP="00FF1217">
            <w:pPr>
              <w:spacing w:after="0" w:line="240" w:lineRule="auto"/>
              <w:ind w:left="-119"/>
              <w:jc w:val="right"/>
              <w:rPr>
                <w:rFonts w:ascii="Times New Roman" w:hAnsi="Times New Roman" w:cs="Times New Roman"/>
              </w:rPr>
            </w:pPr>
            <w:r w:rsidRPr="00016DBC">
              <w:rPr>
                <w:rFonts w:ascii="Times New Roman" w:hAnsi="Times New Roman" w:cs="Times New Roman"/>
              </w:rPr>
              <w:t>84857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0FFCA" w14:textId="77777777" w:rsidR="00887015" w:rsidRPr="00016DBC" w:rsidRDefault="00887015" w:rsidP="00FF1217">
            <w:pPr>
              <w:spacing w:after="0" w:line="240" w:lineRule="auto"/>
              <w:ind w:left="-104"/>
              <w:jc w:val="right"/>
              <w:rPr>
                <w:rFonts w:ascii="Times New Roman" w:hAnsi="Times New Roman" w:cs="Times New Roman"/>
              </w:rPr>
            </w:pPr>
            <w:r w:rsidRPr="00016DBC">
              <w:rPr>
                <w:rFonts w:ascii="Times New Roman" w:hAnsi="Times New Roman" w:cs="Times New Roman"/>
              </w:rPr>
              <w:t>245694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C273"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D75FD"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113703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45E4C"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179664</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27F52"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223613</w:t>
            </w:r>
          </w:p>
        </w:tc>
      </w:tr>
      <w:tr w:rsidR="00887015" w:rsidRPr="00016DBC" w14:paraId="63BEE1AA"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F68A4" w14:textId="77777777" w:rsidR="00887015" w:rsidRPr="00C40E68" w:rsidRDefault="00887015" w:rsidP="00FF1217">
            <w:pPr>
              <w:spacing w:after="0" w:line="240" w:lineRule="auto"/>
              <w:rPr>
                <w:rFonts w:ascii="Times New Roman" w:eastAsia="Times New Roman" w:hAnsi="Times New Roman" w:cs="Times New Roman"/>
                <w:color w:val="000000"/>
              </w:rPr>
            </w:pPr>
            <w:proofErr w:type="spellStart"/>
            <w:r w:rsidRPr="00C40E68">
              <w:rPr>
                <w:rFonts w:ascii="Times New Roman" w:eastAsia="Times New Roman" w:hAnsi="Times New Roman" w:cs="Times New Roman"/>
                <w:color w:val="000000"/>
              </w:rPr>
              <w:t>Tajikstan</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E5018" w14:textId="77777777" w:rsidR="00887015" w:rsidRPr="00016DBC" w:rsidRDefault="00887015" w:rsidP="00FF1217">
            <w:pPr>
              <w:spacing w:after="0" w:line="240" w:lineRule="auto"/>
              <w:ind w:left="-59"/>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36D95" w14:textId="77777777" w:rsidR="00887015" w:rsidRPr="00016DBC" w:rsidRDefault="00887015" w:rsidP="00FF1217">
            <w:pPr>
              <w:spacing w:after="0" w:line="240" w:lineRule="auto"/>
              <w:ind w:left="-104"/>
              <w:rPr>
                <w:rFonts w:ascii="Times New Roman" w:hAnsi="Times New Roman" w:cs="Times New Roman"/>
              </w:rPr>
            </w:pPr>
            <w:r w:rsidRPr="00016DBC">
              <w:rPr>
                <w:rFonts w:ascii="Times New Roman" w:hAnsi="Times New Roman" w:cs="Times New Roman"/>
              </w:rPr>
              <w:t>..</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F9DD5" w14:textId="77777777" w:rsidR="00887015" w:rsidRPr="00016DBC" w:rsidRDefault="00887015" w:rsidP="00FF1217">
            <w:pPr>
              <w:spacing w:after="0" w:line="240" w:lineRule="auto"/>
              <w:ind w:left="-119"/>
              <w:rPr>
                <w:rFonts w:ascii="Times New Roman" w:hAnsi="Times New Roman" w:cs="Times New Roman"/>
              </w:rPr>
            </w:pPr>
            <w:r w:rsidRPr="00016DBC">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6D0C3" w14:textId="77777777" w:rsidR="00887015" w:rsidRPr="00016DBC" w:rsidRDefault="00887015" w:rsidP="00FF1217">
            <w:pPr>
              <w:spacing w:after="0" w:line="240" w:lineRule="auto"/>
              <w:ind w:left="-104"/>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3C79E"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DDF20"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5A997"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7CCF6"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r>
      <w:tr w:rsidR="00887015" w:rsidRPr="00016DBC" w14:paraId="4729F52A"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430F8"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Turkmenistan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75763" w14:textId="77777777" w:rsidR="00887015" w:rsidRPr="00016DBC" w:rsidRDefault="00887015" w:rsidP="00FF1217">
            <w:pPr>
              <w:spacing w:after="0" w:line="240" w:lineRule="auto"/>
              <w:ind w:left="-59"/>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03AC4" w14:textId="77777777" w:rsidR="00887015" w:rsidRPr="00016DBC" w:rsidRDefault="00887015" w:rsidP="00FF1217">
            <w:pPr>
              <w:spacing w:after="0" w:line="240" w:lineRule="auto"/>
              <w:ind w:left="-104"/>
              <w:rPr>
                <w:rFonts w:ascii="Times New Roman" w:hAnsi="Times New Roman" w:cs="Times New Roman"/>
              </w:rPr>
            </w:pPr>
            <w:r w:rsidRPr="00016DBC">
              <w:rPr>
                <w:rFonts w:ascii="Times New Roman" w:hAnsi="Times New Roman" w:cs="Times New Roman"/>
              </w:rPr>
              <w:t>..</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B6E2F" w14:textId="77777777" w:rsidR="00887015" w:rsidRPr="00016DBC" w:rsidRDefault="00887015" w:rsidP="00FF1217">
            <w:pPr>
              <w:spacing w:after="0" w:line="240" w:lineRule="auto"/>
              <w:ind w:left="-119"/>
              <w:rPr>
                <w:rFonts w:ascii="Times New Roman" w:hAnsi="Times New Roman" w:cs="Times New Roman"/>
              </w:rPr>
            </w:pPr>
            <w:r w:rsidRPr="00016DBC">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EDA03" w14:textId="77777777" w:rsidR="00887015" w:rsidRPr="00016DBC" w:rsidRDefault="00887015" w:rsidP="00FF1217">
            <w:pPr>
              <w:spacing w:after="0" w:line="240" w:lineRule="auto"/>
              <w:ind w:left="-104"/>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E963C"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63A11"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E4F7A"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BE917"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r>
      <w:tr w:rsidR="00887015" w:rsidRPr="00016DBC" w14:paraId="692FDBD2"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F35FC"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Uzbekistan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6C356" w14:textId="77777777" w:rsidR="00887015" w:rsidRPr="00016DBC" w:rsidRDefault="00887015" w:rsidP="00FF1217">
            <w:pPr>
              <w:spacing w:after="0" w:line="240" w:lineRule="auto"/>
              <w:ind w:left="-59"/>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09C53" w14:textId="77777777" w:rsidR="00887015" w:rsidRPr="00016DBC" w:rsidRDefault="00887015" w:rsidP="00FF1217">
            <w:pPr>
              <w:spacing w:after="0" w:line="240" w:lineRule="auto"/>
              <w:ind w:left="-104"/>
              <w:rPr>
                <w:rFonts w:ascii="Times New Roman" w:hAnsi="Times New Roman" w:cs="Times New Roman"/>
              </w:rPr>
            </w:pPr>
            <w:r w:rsidRPr="00016DBC">
              <w:rPr>
                <w:rFonts w:ascii="Times New Roman" w:hAnsi="Times New Roman" w:cs="Times New Roman"/>
              </w:rPr>
              <w:t>..</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9ED26" w14:textId="77777777" w:rsidR="00887015" w:rsidRPr="00016DBC" w:rsidRDefault="00887015" w:rsidP="00FF1217">
            <w:pPr>
              <w:spacing w:after="0" w:line="240" w:lineRule="auto"/>
              <w:ind w:left="-119"/>
              <w:rPr>
                <w:rFonts w:ascii="Times New Roman" w:hAnsi="Times New Roman" w:cs="Times New Roman"/>
              </w:rPr>
            </w:pPr>
            <w:r w:rsidRPr="00016DBC">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BB235" w14:textId="77777777" w:rsidR="00887015" w:rsidRPr="00016DBC" w:rsidRDefault="00887015" w:rsidP="00FF1217">
            <w:pPr>
              <w:spacing w:after="0" w:line="240" w:lineRule="auto"/>
              <w:ind w:left="-104"/>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06835"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A81A2"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C0F87"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C6231" w14:textId="77777777" w:rsidR="00887015" w:rsidRPr="00016DBC" w:rsidRDefault="00887015" w:rsidP="00FF1217">
            <w:pPr>
              <w:spacing w:after="0" w:line="240" w:lineRule="auto"/>
              <w:rPr>
                <w:rFonts w:ascii="Times New Roman" w:hAnsi="Times New Roman" w:cs="Times New Roman"/>
              </w:rPr>
            </w:pPr>
            <w:r w:rsidRPr="00016DBC">
              <w:rPr>
                <w:rFonts w:ascii="Times New Roman" w:hAnsi="Times New Roman" w:cs="Times New Roman"/>
              </w:rPr>
              <w:t>..</w:t>
            </w:r>
          </w:p>
        </w:tc>
      </w:tr>
      <w:tr w:rsidR="00887015" w:rsidRPr="00016DBC" w14:paraId="4632EDDD"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10863"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Whole World</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BBCE4" w14:textId="77777777" w:rsidR="00887015" w:rsidRPr="00016DBC" w:rsidRDefault="00887015" w:rsidP="00FF1217">
            <w:pPr>
              <w:spacing w:after="0" w:line="240" w:lineRule="auto"/>
              <w:ind w:left="-59"/>
              <w:jc w:val="right"/>
              <w:rPr>
                <w:rFonts w:ascii="Times New Roman" w:hAnsi="Times New Roman" w:cs="Times New Roman"/>
              </w:rPr>
            </w:pPr>
            <w:r w:rsidRPr="00016DBC">
              <w:rPr>
                <w:rFonts w:ascii="Times New Roman" w:hAnsi="Times New Roman" w:cs="Times New Roman"/>
              </w:rPr>
              <w:t>11500000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A6BA3" w14:textId="77777777" w:rsidR="00887015" w:rsidRPr="00016DBC" w:rsidRDefault="00887015" w:rsidP="00FF1217">
            <w:pPr>
              <w:spacing w:after="0" w:line="240" w:lineRule="auto"/>
              <w:ind w:left="-104"/>
              <w:jc w:val="right"/>
              <w:rPr>
                <w:rFonts w:ascii="Times New Roman" w:hAnsi="Times New Roman" w:cs="Times New Roman"/>
              </w:rPr>
            </w:pPr>
            <w:r w:rsidRPr="00016DBC">
              <w:rPr>
                <w:rFonts w:ascii="Times New Roman" w:hAnsi="Times New Roman" w:cs="Times New Roman"/>
              </w:rPr>
              <w:t>10500000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0533B" w14:textId="77777777" w:rsidR="00887015" w:rsidRPr="00016DBC" w:rsidRDefault="00887015" w:rsidP="00FF1217">
            <w:pPr>
              <w:spacing w:after="0" w:line="240" w:lineRule="auto"/>
              <w:ind w:left="-119"/>
              <w:jc w:val="right"/>
              <w:rPr>
                <w:rFonts w:ascii="Times New Roman" w:hAnsi="Times New Roman" w:cs="Times New Roman"/>
              </w:rPr>
            </w:pPr>
            <w:r w:rsidRPr="00016DBC">
              <w:rPr>
                <w:rFonts w:ascii="Times New Roman" w:hAnsi="Times New Roman" w:cs="Times New Roman"/>
              </w:rPr>
              <w:t>9000000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60AEC" w14:textId="77777777" w:rsidR="00887015" w:rsidRPr="00016DBC" w:rsidRDefault="00887015" w:rsidP="00FF1217">
            <w:pPr>
              <w:spacing w:after="0" w:line="240" w:lineRule="auto"/>
              <w:ind w:left="-104"/>
              <w:jc w:val="right"/>
              <w:rPr>
                <w:rFonts w:ascii="Times New Roman" w:hAnsi="Times New Roman" w:cs="Times New Roman"/>
              </w:rPr>
            </w:pPr>
            <w:r w:rsidRPr="00016DBC">
              <w:rPr>
                <w:rFonts w:ascii="Times New Roman" w:hAnsi="Times New Roman" w:cs="Times New Roman"/>
              </w:rPr>
              <w:t>10500000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DEFC0"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13000000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387CC"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11500000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D5813"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11500000</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8CF3B" w14:textId="77777777" w:rsidR="00887015" w:rsidRPr="00016DBC" w:rsidRDefault="00887015" w:rsidP="00FF1217">
            <w:pPr>
              <w:spacing w:after="0" w:line="240" w:lineRule="auto"/>
              <w:jc w:val="right"/>
              <w:rPr>
                <w:rFonts w:ascii="Times New Roman" w:hAnsi="Times New Roman" w:cs="Times New Roman"/>
              </w:rPr>
            </w:pPr>
            <w:r w:rsidRPr="00016DBC">
              <w:rPr>
                <w:rFonts w:ascii="Times New Roman" w:hAnsi="Times New Roman" w:cs="Times New Roman"/>
              </w:rPr>
              <w:t>12000000</w:t>
            </w:r>
          </w:p>
        </w:tc>
      </w:tr>
      <w:tr w:rsidR="00887015" w:rsidRPr="00016DBC" w14:paraId="30AF8D13"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C128D"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Total SPECA</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067D7" w14:textId="77777777" w:rsidR="00887015" w:rsidRPr="00016DBC" w:rsidRDefault="00887015" w:rsidP="00FF1217">
            <w:pPr>
              <w:spacing w:after="0" w:line="240" w:lineRule="auto"/>
              <w:ind w:left="-59"/>
              <w:jc w:val="right"/>
              <w:rPr>
                <w:rFonts w:ascii="Times New Roman" w:hAnsi="Times New Roman" w:cs="Times New Roman"/>
                <w:color w:val="000000"/>
              </w:rPr>
            </w:pPr>
            <w:r w:rsidRPr="00016DBC">
              <w:rPr>
                <w:rFonts w:ascii="Times New Roman" w:hAnsi="Times New Roman" w:cs="Times New Roman"/>
                <w:color w:val="000000"/>
              </w:rPr>
              <w:t>1809005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C7AED" w14:textId="77777777" w:rsidR="00887015" w:rsidRPr="00016DBC" w:rsidRDefault="00887015" w:rsidP="00FF1217">
            <w:pPr>
              <w:spacing w:after="0" w:line="240" w:lineRule="auto"/>
              <w:ind w:left="-104"/>
              <w:jc w:val="right"/>
              <w:rPr>
                <w:rFonts w:ascii="Times New Roman" w:hAnsi="Times New Roman" w:cs="Times New Roman"/>
                <w:color w:val="000000"/>
              </w:rPr>
            </w:pPr>
            <w:r w:rsidRPr="00016DBC">
              <w:rPr>
                <w:rFonts w:ascii="Times New Roman" w:hAnsi="Times New Roman" w:cs="Times New Roman"/>
                <w:color w:val="000000"/>
              </w:rPr>
              <w:t>1727161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48513" w14:textId="77777777" w:rsidR="00887015" w:rsidRPr="00016DBC" w:rsidRDefault="00887015" w:rsidP="00FF1217">
            <w:pPr>
              <w:spacing w:after="0" w:line="240" w:lineRule="auto"/>
              <w:ind w:left="-119"/>
              <w:jc w:val="right"/>
              <w:rPr>
                <w:rFonts w:ascii="Times New Roman" w:hAnsi="Times New Roman" w:cs="Times New Roman"/>
                <w:color w:val="000000"/>
              </w:rPr>
            </w:pPr>
            <w:r w:rsidRPr="00016DBC">
              <w:rPr>
                <w:rFonts w:ascii="Times New Roman" w:hAnsi="Times New Roman" w:cs="Times New Roman"/>
                <w:color w:val="000000"/>
              </w:rPr>
              <w:t>1185882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225D5" w14:textId="77777777" w:rsidR="00887015" w:rsidRPr="00016DBC" w:rsidRDefault="00887015" w:rsidP="00FF1217">
            <w:pPr>
              <w:spacing w:after="0" w:line="240" w:lineRule="auto"/>
              <w:ind w:left="-104"/>
              <w:jc w:val="right"/>
              <w:rPr>
                <w:rFonts w:ascii="Times New Roman" w:hAnsi="Times New Roman" w:cs="Times New Roman"/>
                <w:color w:val="000000"/>
              </w:rPr>
            </w:pPr>
            <w:r w:rsidRPr="00016DBC">
              <w:rPr>
                <w:rFonts w:ascii="Times New Roman" w:hAnsi="Times New Roman" w:cs="Times New Roman"/>
                <w:color w:val="000000"/>
              </w:rPr>
              <w:t>1302799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24700"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1081067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AB70C"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1161918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D1E59"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1264756</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2381D" w14:textId="77777777" w:rsidR="00887015" w:rsidRPr="00016DBC" w:rsidRDefault="00887015" w:rsidP="00FF1217">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1949400</w:t>
            </w:r>
          </w:p>
        </w:tc>
      </w:tr>
      <w:tr w:rsidR="00887015" w:rsidRPr="00016DBC" w14:paraId="13881AEA"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3D1E4" w14:textId="77777777" w:rsidR="00887015" w:rsidRPr="00C40E68" w:rsidRDefault="00887015" w:rsidP="00FF1217">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 xml:space="preserve">Trade with SPECA </w:t>
            </w:r>
            <w:r w:rsidRPr="00016DBC">
              <w:rPr>
                <w:rFonts w:ascii="Times New Roman" w:eastAsia="Times New Roman" w:hAnsi="Times New Roman" w:cs="Times New Roman"/>
                <w:color w:val="000000"/>
              </w:rPr>
              <w:t>i</w:t>
            </w:r>
            <w:r w:rsidRPr="00C40E68">
              <w:rPr>
                <w:rFonts w:ascii="Times New Roman" w:eastAsia="Times New Roman" w:hAnsi="Times New Roman" w:cs="Times New Roman"/>
                <w:color w:val="000000"/>
              </w:rPr>
              <w:t>n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7F650"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15.7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136C6"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16.4</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F305B"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13.2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EF895"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12.4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37120"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8.3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7C25A"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10.1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7B57C"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11.0</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A3821" w14:textId="77777777" w:rsidR="00887015" w:rsidRPr="00016DBC" w:rsidRDefault="00887015" w:rsidP="00FF1217">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16.2</w:t>
            </w:r>
          </w:p>
        </w:tc>
      </w:tr>
    </w:tbl>
    <w:p w14:paraId="677D3D13" w14:textId="77777777" w:rsidR="00887015" w:rsidRDefault="00887015" w:rsidP="00887015">
      <w:pPr>
        <w:ind w:left="-149"/>
        <w:jc w:val="right"/>
        <w:rPr>
          <w:rFonts w:ascii="Times New Roman" w:eastAsia="Times New Roman" w:hAnsi="Times New Roman" w:cs="Times New Roman"/>
          <w:color w:val="000000"/>
        </w:rPr>
      </w:pPr>
    </w:p>
    <w:p w14:paraId="4A9CF956" w14:textId="77777777" w:rsidR="00887015" w:rsidRDefault="00887015" w:rsidP="00887015">
      <w:pPr>
        <w:ind w:left="-149"/>
        <w:rPr>
          <w:rFonts w:ascii="Times New Roman" w:eastAsia="Times New Roman" w:hAnsi="Times New Roman" w:cs="Times New Roman"/>
          <w:color w:val="000000"/>
        </w:rPr>
      </w:pPr>
    </w:p>
    <w:p w14:paraId="7B5949E1" w14:textId="498074D7" w:rsidR="00887015" w:rsidRDefault="00887015" w:rsidP="00887015">
      <w:pPr>
        <w:pStyle w:val="Caption"/>
        <w:ind w:left="-990"/>
        <w:jc w:val="center"/>
        <w:rPr>
          <w:rFonts w:ascii="Times New Roman" w:hAnsi="Times New Roman" w:cs="Times New Roman"/>
          <w:bCs/>
          <w:color w:val="auto"/>
          <w:sz w:val="24"/>
          <w:szCs w:val="24"/>
        </w:rPr>
      </w:pPr>
      <w:r w:rsidRPr="00C3489B">
        <w:rPr>
          <w:rFonts w:ascii="Times New Roman" w:hAnsi="Times New Roman" w:cs="Times New Roman"/>
          <w:b/>
          <w:i w:val="0"/>
          <w:color w:val="auto"/>
          <w:sz w:val="24"/>
          <w:szCs w:val="24"/>
        </w:rPr>
        <w:t xml:space="preserve">Figure </w:t>
      </w:r>
      <w:r>
        <w:rPr>
          <w:rFonts w:ascii="Times New Roman" w:hAnsi="Times New Roman" w:cs="Times New Roman"/>
          <w:b/>
          <w:i w:val="0"/>
          <w:color w:val="auto"/>
          <w:sz w:val="24"/>
          <w:szCs w:val="24"/>
        </w:rPr>
        <w:t>3</w:t>
      </w:r>
      <w:r w:rsidRPr="00C3489B">
        <w:rPr>
          <w:rFonts w:ascii="Times New Roman" w:hAnsi="Times New Roman" w:cs="Times New Roman"/>
          <w:color w:val="auto"/>
          <w:sz w:val="24"/>
          <w:szCs w:val="24"/>
        </w:rPr>
        <w:t xml:space="preserve">: </w:t>
      </w:r>
      <w:r>
        <w:rPr>
          <w:rFonts w:ascii="Times New Roman" w:hAnsi="Times New Roman" w:cs="Times New Roman"/>
          <w:color w:val="auto"/>
          <w:sz w:val="24"/>
          <w:szCs w:val="24"/>
        </w:rPr>
        <w:t>Share of trade with SPECA for each SPECA country in percentage of total</w:t>
      </w:r>
      <w:r>
        <w:rPr>
          <w:rFonts w:ascii="Times New Roman" w:hAnsi="Times New Roman" w:cs="Times New Roman"/>
          <w:bCs/>
          <w:color w:val="auto"/>
          <w:sz w:val="24"/>
          <w:szCs w:val="24"/>
        </w:rPr>
        <w:t xml:space="preserve">, </w:t>
      </w:r>
      <w:r w:rsidRPr="00C3489B">
        <w:rPr>
          <w:rFonts w:ascii="Times New Roman" w:hAnsi="Times New Roman" w:cs="Times New Roman"/>
          <w:bCs/>
          <w:color w:val="auto"/>
          <w:sz w:val="24"/>
          <w:szCs w:val="24"/>
        </w:rPr>
        <w:t>2014</w:t>
      </w:r>
      <w:r>
        <w:rPr>
          <w:rFonts w:ascii="Times New Roman" w:hAnsi="Times New Roman" w:cs="Times New Roman"/>
          <w:bCs/>
          <w:color w:val="auto"/>
          <w:sz w:val="24"/>
          <w:szCs w:val="24"/>
        </w:rPr>
        <w:t>-</w:t>
      </w:r>
      <w:r w:rsidRPr="00C3489B">
        <w:rPr>
          <w:rFonts w:ascii="Times New Roman" w:hAnsi="Times New Roman" w:cs="Times New Roman"/>
          <w:bCs/>
          <w:color w:val="auto"/>
          <w:sz w:val="24"/>
          <w:szCs w:val="24"/>
        </w:rPr>
        <w:t>201</w:t>
      </w:r>
      <w:r>
        <w:rPr>
          <w:rFonts w:ascii="Times New Roman" w:hAnsi="Times New Roman" w:cs="Times New Roman"/>
          <w:bCs/>
          <w:color w:val="auto"/>
          <w:sz w:val="24"/>
          <w:szCs w:val="24"/>
        </w:rPr>
        <w:t>7</w:t>
      </w:r>
      <w:r w:rsidRPr="00C3489B">
        <w:rPr>
          <w:rFonts w:ascii="Times New Roman" w:hAnsi="Times New Roman" w:cs="Times New Roman"/>
          <w:bCs/>
          <w:color w:val="auto"/>
          <w:sz w:val="24"/>
          <w:szCs w:val="24"/>
        </w:rPr>
        <w:t xml:space="preserve">. </w:t>
      </w:r>
      <w:r w:rsidRPr="00C3489B">
        <w:rPr>
          <w:color w:val="auto"/>
        </w:rPr>
        <w:t xml:space="preserve"> </w:t>
      </w:r>
      <w:r w:rsidRPr="00C3489B">
        <w:rPr>
          <w:rFonts w:ascii="Times New Roman" w:hAnsi="Times New Roman" w:cs="Times New Roman"/>
          <w:bCs/>
          <w:color w:val="auto"/>
          <w:sz w:val="24"/>
          <w:szCs w:val="24"/>
        </w:rPr>
        <w:t>Source: UNCOMTRADE</w:t>
      </w:r>
      <w:r>
        <w:rPr>
          <w:rFonts w:ascii="Times New Roman" w:hAnsi="Times New Roman" w:cs="Times New Roman"/>
          <w:bCs/>
          <w:color w:val="auto"/>
          <w:sz w:val="24"/>
          <w:szCs w:val="24"/>
        </w:rPr>
        <w:t>.</w:t>
      </w:r>
      <w:r w:rsidRPr="00C3489B">
        <w:rPr>
          <w:rFonts w:ascii="Times New Roman" w:hAnsi="Times New Roman" w:cs="Times New Roman"/>
          <w:bCs/>
          <w:color w:val="auto"/>
          <w:sz w:val="24"/>
          <w:szCs w:val="24"/>
        </w:rPr>
        <w:t xml:space="preserve"> </w:t>
      </w:r>
    </w:p>
    <w:tbl>
      <w:tblPr>
        <w:tblStyle w:val="TableGrid"/>
        <w:tblW w:w="10996" w:type="dxa"/>
        <w:tblInd w:w="-455" w:type="dxa"/>
        <w:tblLook w:val="04A0" w:firstRow="1" w:lastRow="0" w:firstColumn="1" w:lastColumn="0" w:noHBand="0" w:noVBand="1"/>
      </w:tblPr>
      <w:tblGrid>
        <w:gridCol w:w="696"/>
        <w:gridCol w:w="830"/>
        <w:gridCol w:w="856"/>
        <w:gridCol w:w="830"/>
        <w:gridCol w:w="856"/>
        <w:gridCol w:w="830"/>
        <w:gridCol w:w="856"/>
        <w:gridCol w:w="830"/>
        <w:gridCol w:w="856"/>
        <w:gridCol w:w="830"/>
        <w:gridCol w:w="856"/>
        <w:gridCol w:w="830"/>
        <w:gridCol w:w="856"/>
        <w:gridCol w:w="830"/>
        <w:gridCol w:w="17"/>
        <w:gridCol w:w="839"/>
      </w:tblGrid>
      <w:tr w:rsidR="00887015" w14:paraId="3D4B9B9A" w14:textId="77777777" w:rsidTr="00FF1217">
        <w:tc>
          <w:tcPr>
            <w:tcW w:w="656" w:type="dxa"/>
          </w:tcPr>
          <w:p w14:paraId="07B98C91" w14:textId="77777777" w:rsidR="00887015" w:rsidRPr="00887015" w:rsidRDefault="00887015" w:rsidP="00FF1217">
            <w:pPr>
              <w:rPr>
                <w:rFonts w:ascii="Times New Roman" w:eastAsia="Times New Roman" w:hAnsi="Times New Roman" w:cs="Times New Roman"/>
                <w:color w:val="000000"/>
                <w:sz w:val="24"/>
                <w:szCs w:val="24"/>
              </w:rPr>
            </w:pPr>
          </w:p>
        </w:tc>
        <w:tc>
          <w:tcPr>
            <w:tcW w:w="1478" w:type="dxa"/>
            <w:gridSpan w:val="2"/>
          </w:tcPr>
          <w:p w14:paraId="7452444E"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Afghanistan</w:t>
            </w:r>
          </w:p>
        </w:tc>
        <w:tc>
          <w:tcPr>
            <w:tcW w:w="1477" w:type="dxa"/>
            <w:gridSpan w:val="2"/>
          </w:tcPr>
          <w:p w14:paraId="131355EE"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Azerbaijan</w:t>
            </w:r>
          </w:p>
        </w:tc>
        <w:tc>
          <w:tcPr>
            <w:tcW w:w="1477" w:type="dxa"/>
            <w:gridSpan w:val="2"/>
          </w:tcPr>
          <w:p w14:paraId="67D44D05" w14:textId="77777777" w:rsidR="00887015" w:rsidRPr="00887015" w:rsidRDefault="00887015" w:rsidP="00887015">
            <w:pPr>
              <w:ind w:right="-60"/>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Kazakhstan</w:t>
            </w:r>
          </w:p>
        </w:tc>
        <w:tc>
          <w:tcPr>
            <w:tcW w:w="1477" w:type="dxa"/>
            <w:gridSpan w:val="2"/>
          </w:tcPr>
          <w:p w14:paraId="569BB68C"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Kyrgyzstan</w:t>
            </w:r>
          </w:p>
        </w:tc>
        <w:tc>
          <w:tcPr>
            <w:tcW w:w="1477" w:type="dxa"/>
            <w:gridSpan w:val="2"/>
          </w:tcPr>
          <w:p w14:paraId="2EB6EAC2"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Tajikistan</w:t>
            </w:r>
          </w:p>
        </w:tc>
        <w:tc>
          <w:tcPr>
            <w:tcW w:w="1477" w:type="dxa"/>
            <w:gridSpan w:val="2"/>
          </w:tcPr>
          <w:p w14:paraId="3A58DC69"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Turkmenistan</w:t>
            </w:r>
          </w:p>
        </w:tc>
        <w:tc>
          <w:tcPr>
            <w:tcW w:w="1477" w:type="dxa"/>
            <w:gridSpan w:val="3"/>
          </w:tcPr>
          <w:p w14:paraId="7E0C6A01"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Uzbekistan</w:t>
            </w:r>
          </w:p>
        </w:tc>
      </w:tr>
      <w:tr w:rsidR="00887015" w14:paraId="1C55F6BA" w14:textId="77777777" w:rsidTr="00FF1217">
        <w:tc>
          <w:tcPr>
            <w:tcW w:w="656" w:type="dxa"/>
          </w:tcPr>
          <w:p w14:paraId="189D4AE0" w14:textId="77777777" w:rsidR="00887015" w:rsidRPr="00887015" w:rsidRDefault="00887015" w:rsidP="00FF1217">
            <w:pPr>
              <w:rPr>
                <w:rFonts w:ascii="Times New Roman" w:eastAsia="Times New Roman" w:hAnsi="Times New Roman" w:cs="Times New Roman"/>
                <w:color w:val="000000"/>
                <w:sz w:val="24"/>
                <w:szCs w:val="24"/>
              </w:rPr>
            </w:pPr>
          </w:p>
        </w:tc>
        <w:tc>
          <w:tcPr>
            <w:tcW w:w="727" w:type="dxa"/>
          </w:tcPr>
          <w:p w14:paraId="654E2460"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export</w:t>
            </w:r>
          </w:p>
        </w:tc>
        <w:tc>
          <w:tcPr>
            <w:tcW w:w="751" w:type="dxa"/>
          </w:tcPr>
          <w:p w14:paraId="01D66F24"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import</w:t>
            </w:r>
          </w:p>
        </w:tc>
        <w:tc>
          <w:tcPr>
            <w:tcW w:w="727" w:type="dxa"/>
          </w:tcPr>
          <w:p w14:paraId="1A7259A6"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export</w:t>
            </w:r>
          </w:p>
        </w:tc>
        <w:tc>
          <w:tcPr>
            <w:tcW w:w="750" w:type="dxa"/>
          </w:tcPr>
          <w:p w14:paraId="2FE5F72C"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import</w:t>
            </w:r>
          </w:p>
        </w:tc>
        <w:tc>
          <w:tcPr>
            <w:tcW w:w="727" w:type="dxa"/>
          </w:tcPr>
          <w:p w14:paraId="24481081"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export</w:t>
            </w:r>
          </w:p>
        </w:tc>
        <w:tc>
          <w:tcPr>
            <w:tcW w:w="750" w:type="dxa"/>
          </w:tcPr>
          <w:p w14:paraId="7BADDD35"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import</w:t>
            </w:r>
          </w:p>
        </w:tc>
        <w:tc>
          <w:tcPr>
            <w:tcW w:w="727" w:type="dxa"/>
          </w:tcPr>
          <w:p w14:paraId="580C2ADF"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export</w:t>
            </w:r>
          </w:p>
        </w:tc>
        <w:tc>
          <w:tcPr>
            <w:tcW w:w="750" w:type="dxa"/>
          </w:tcPr>
          <w:p w14:paraId="65D58726"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import</w:t>
            </w:r>
          </w:p>
        </w:tc>
        <w:tc>
          <w:tcPr>
            <w:tcW w:w="727" w:type="dxa"/>
          </w:tcPr>
          <w:p w14:paraId="4BAEAA59"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export</w:t>
            </w:r>
          </w:p>
        </w:tc>
        <w:tc>
          <w:tcPr>
            <w:tcW w:w="750" w:type="dxa"/>
          </w:tcPr>
          <w:p w14:paraId="06CA079B"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import</w:t>
            </w:r>
          </w:p>
        </w:tc>
        <w:tc>
          <w:tcPr>
            <w:tcW w:w="727" w:type="dxa"/>
          </w:tcPr>
          <w:p w14:paraId="0F926EAC"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export</w:t>
            </w:r>
          </w:p>
        </w:tc>
        <w:tc>
          <w:tcPr>
            <w:tcW w:w="750" w:type="dxa"/>
          </w:tcPr>
          <w:p w14:paraId="7FAC7A26"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import</w:t>
            </w:r>
          </w:p>
        </w:tc>
        <w:tc>
          <w:tcPr>
            <w:tcW w:w="727" w:type="dxa"/>
          </w:tcPr>
          <w:p w14:paraId="16D6F074"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export</w:t>
            </w:r>
          </w:p>
        </w:tc>
        <w:tc>
          <w:tcPr>
            <w:tcW w:w="750" w:type="dxa"/>
            <w:gridSpan w:val="2"/>
          </w:tcPr>
          <w:p w14:paraId="4ED3544D" w14:textId="77777777" w:rsidR="00887015" w:rsidRPr="00887015" w:rsidRDefault="00887015" w:rsidP="00887015">
            <w:pPr>
              <w:jc w:val="center"/>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import</w:t>
            </w:r>
          </w:p>
        </w:tc>
      </w:tr>
      <w:tr w:rsidR="00887015" w14:paraId="43E293FC" w14:textId="77777777" w:rsidTr="00FF1217">
        <w:tc>
          <w:tcPr>
            <w:tcW w:w="656" w:type="dxa"/>
          </w:tcPr>
          <w:p w14:paraId="28E6EE80" w14:textId="77777777" w:rsidR="00887015" w:rsidRPr="00887015" w:rsidRDefault="00887015" w:rsidP="00FF1217">
            <w:pPr>
              <w:rPr>
                <w:rFonts w:ascii="Times New Roman" w:eastAsia="Times New Roman" w:hAnsi="Times New Roman" w:cs="Times New Roman"/>
                <w:i/>
                <w:iCs/>
                <w:color w:val="000000"/>
                <w:sz w:val="24"/>
                <w:szCs w:val="24"/>
              </w:rPr>
            </w:pPr>
            <w:r w:rsidRPr="00887015">
              <w:rPr>
                <w:rFonts w:ascii="Times New Roman" w:eastAsia="Times New Roman" w:hAnsi="Times New Roman" w:cs="Times New Roman"/>
                <w:i/>
                <w:iCs/>
                <w:color w:val="000000"/>
                <w:sz w:val="24"/>
                <w:szCs w:val="24"/>
              </w:rPr>
              <w:t>2014</w:t>
            </w:r>
          </w:p>
        </w:tc>
        <w:tc>
          <w:tcPr>
            <w:tcW w:w="727" w:type="dxa"/>
          </w:tcPr>
          <w:p w14:paraId="3E586F6E"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9.3</w:t>
            </w:r>
          </w:p>
        </w:tc>
        <w:tc>
          <w:tcPr>
            <w:tcW w:w="751" w:type="dxa"/>
          </w:tcPr>
          <w:p w14:paraId="61B79B03"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8.9</w:t>
            </w:r>
          </w:p>
        </w:tc>
        <w:tc>
          <w:tcPr>
            <w:tcW w:w="727" w:type="dxa"/>
          </w:tcPr>
          <w:p w14:paraId="5BC2A9F0"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1.7</w:t>
            </w:r>
          </w:p>
        </w:tc>
        <w:tc>
          <w:tcPr>
            <w:tcW w:w="750" w:type="dxa"/>
          </w:tcPr>
          <w:p w14:paraId="55FE52F3"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2.8</w:t>
            </w:r>
          </w:p>
        </w:tc>
        <w:tc>
          <w:tcPr>
            <w:tcW w:w="727" w:type="dxa"/>
          </w:tcPr>
          <w:p w14:paraId="18C10A4C"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4.0</w:t>
            </w:r>
          </w:p>
        </w:tc>
        <w:tc>
          <w:tcPr>
            <w:tcW w:w="750" w:type="dxa"/>
          </w:tcPr>
          <w:p w14:paraId="40B4CD2B"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3.7</w:t>
            </w:r>
          </w:p>
        </w:tc>
        <w:tc>
          <w:tcPr>
            <w:tcW w:w="727" w:type="dxa"/>
          </w:tcPr>
          <w:p w14:paraId="732FB000"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34.5</w:t>
            </w:r>
          </w:p>
        </w:tc>
        <w:tc>
          <w:tcPr>
            <w:tcW w:w="750" w:type="dxa"/>
          </w:tcPr>
          <w:p w14:paraId="077FF7D9"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14.9</w:t>
            </w:r>
          </w:p>
        </w:tc>
        <w:tc>
          <w:tcPr>
            <w:tcW w:w="727" w:type="dxa"/>
          </w:tcPr>
          <w:p w14:paraId="5353FF72"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13.3</w:t>
            </w:r>
          </w:p>
        </w:tc>
        <w:tc>
          <w:tcPr>
            <w:tcW w:w="750" w:type="dxa"/>
          </w:tcPr>
          <w:p w14:paraId="587B9A6B"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16.1</w:t>
            </w:r>
          </w:p>
        </w:tc>
        <w:tc>
          <w:tcPr>
            <w:tcW w:w="727" w:type="dxa"/>
          </w:tcPr>
          <w:p w14:paraId="18DFEB31"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1.4</w:t>
            </w:r>
          </w:p>
        </w:tc>
        <w:tc>
          <w:tcPr>
            <w:tcW w:w="750" w:type="dxa"/>
          </w:tcPr>
          <w:p w14:paraId="614E74FD"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4.8</w:t>
            </w:r>
          </w:p>
        </w:tc>
        <w:tc>
          <w:tcPr>
            <w:tcW w:w="749" w:type="dxa"/>
            <w:gridSpan w:val="2"/>
          </w:tcPr>
          <w:p w14:paraId="19EB04F9"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15.7</w:t>
            </w:r>
          </w:p>
        </w:tc>
        <w:tc>
          <w:tcPr>
            <w:tcW w:w="728" w:type="dxa"/>
          </w:tcPr>
          <w:p w14:paraId="682A8FFC"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8.3</w:t>
            </w:r>
          </w:p>
        </w:tc>
      </w:tr>
      <w:tr w:rsidR="00887015" w14:paraId="5713A6DD" w14:textId="77777777" w:rsidTr="00FF1217">
        <w:tc>
          <w:tcPr>
            <w:tcW w:w="656" w:type="dxa"/>
          </w:tcPr>
          <w:p w14:paraId="6653F16D" w14:textId="77777777" w:rsidR="00887015" w:rsidRPr="00887015" w:rsidRDefault="00887015" w:rsidP="00FF1217">
            <w:pPr>
              <w:rPr>
                <w:rFonts w:ascii="Times New Roman" w:eastAsia="Times New Roman" w:hAnsi="Times New Roman" w:cs="Times New Roman"/>
                <w:i/>
                <w:iCs/>
                <w:color w:val="000000"/>
                <w:sz w:val="24"/>
                <w:szCs w:val="24"/>
              </w:rPr>
            </w:pPr>
            <w:r w:rsidRPr="00887015">
              <w:rPr>
                <w:rFonts w:ascii="Times New Roman" w:eastAsia="Times New Roman" w:hAnsi="Times New Roman" w:cs="Times New Roman"/>
                <w:i/>
                <w:iCs/>
                <w:color w:val="000000"/>
                <w:sz w:val="24"/>
                <w:szCs w:val="24"/>
              </w:rPr>
              <w:t>2015</w:t>
            </w:r>
          </w:p>
        </w:tc>
        <w:tc>
          <w:tcPr>
            <w:tcW w:w="727" w:type="dxa"/>
          </w:tcPr>
          <w:p w14:paraId="3D61DC5B"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5.3</w:t>
            </w:r>
          </w:p>
        </w:tc>
        <w:tc>
          <w:tcPr>
            <w:tcW w:w="751" w:type="dxa"/>
          </w:tcPr>
          <w:p w14:paraId="6E4F6F44"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19.6</w:t>
            </w:r>
          </w:p>
        </w:tc>
        <w:tc>
          <w:tcPr>
            <w:tcW w:w="727" w:type="dxa"/>
          </w:tcPr>
          <w:p w14:paraId="786C663B"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1.3</w:t>
            </w:r>
          </w:p>
        </w:tc>
        <w:tc>
          <w:tcPr>
            <w:tcW w:w="750" w:type="dxa"/>
          </w:tcPr>
          <w:p w14:paraId="719AE03D"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1.4</w:t>
            </w:r>
          </w:p>
        </w:tc>
        <w:tc>
          <w:tcPr>
            <w:tcW w:w="727" w:type="dxa"/>
          </w:tcPr>
          <w:p w14:paraId="5D997946"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5.4</w:t>
            </w:r>
          </w:p>
        </w:tc>
        <w:tc>
          <w:tcPr>
            <w:tcW w:w="750" w:type="dxa"/>
          </w:tcPr>
          <w:p w14:paraId="63CE48AC"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3.6</w:t>
            </w:r>
          </w:p>
        </w:tc>
        <w:tc>
          <w:tcPr>
            <w:tcW w:w="727" w:type="dxa"/>
          </w:tcPr>
          <w:p w14:paraId="7BC6CAF1"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26.4</w:t>
            </w:r>
          </w:p>
        </w:tc>
        <w:tc>
          <w:tcPr>
            <w:tcW w:w="750" w:type="dxa"/>
          </w:tcPr>
          <w:p w14:paraId="1464854D"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18.6</w:t>
            </w:r>
          </w:p>
        </w:tc>
        <w:tc>
          <w:tcPr>
            <w:tcW w:w="727" w:type="dxa"/>
          </w:tcPr>
          <w:p w14:paraId="6F5A974A"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14.5</w:t>
            </w:r>
          </w:p>
        </w:tc>
        <w:tc>
          <w:tcPr>
            <w:tcW w:w="750" w:type="dxa"/>
          </w:tcPr>
          <w:p w14:paraId="016AD431"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16.2</w:t>
            </w:r>
          </w:p>
        </w:tc>
        <w:tc>
          <w:tcPr>
            <w:tcW w:w="727" w:type="dxa"/>
          </w:tcPr>
          <w:p w14:paraId="7A5B1B43"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7.2</w:t>
            </w:r>
          </w:p>
        </w:tc>
        <w:tc>
          <w:tcPr>
            <w:tcW w:w="750" w:type="dxa"/>
          </w:tcPr>
          <w:p w14:paraId="1431D3C7"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2.7</w:t>
            </w:r>
          </w:p>
        </w:tc>
        <w:tc>
          <w:tcPr>
            <w:tcW w:w="749" w:type="dxa"/>
            <w:gridSpan w:val="2"/>
          </w:tcPr>
          <w:p w14:paraId="569630AA"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16.4</w:t>
            </w:r>
          </w:p>
        </w:tc>
        <w:tc>
          <w:tcPr>
            <w:tcW w:w="728" w:type="dxa"/>
          </w:tcPr>
          <w:p w14:paraId="5AD5CC83"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10.1</w:t>
            </w:r>
          </w:p>
        </w:tc>
      </w:tr>
      <w:tr w:rsidR="00887015" w14:paraId="189268DB" w14:textId="77777777" w:rsidTr="00FF1217">
        <w:tc>
          <w:tcPr>
            <w:tcW w:w="656" w:type="dxa"/>
          </w:tcPr>
          <w:p w14:paraId="27F54DFE" w14:textId="77777777" w:rsidR="00887015" w:rsidRPr="00887015" w:rsidRDefault="00887015" w:rsidP="00FF1217">
            <w:pPr>
              <w:rPr>
                <w:rFonts w:ascii="Times New Roman" w:eastAsia="Times New Roman" w:hAnsi="Times New Roman" w:cs="Times New Roman"/>
                <w:i/>
                <w:iCs/>
                <w:color w:val="000000"/>
                <w:sz w:val="24"/>
                <w:szCs w:val="24"/>
              </w:rPr>
            </w:pPr>
            <w:r w:rsidRPr="00887015">
              <w:rPr>
                <w:rFonts w:ascii="Times New Roman" w:eastAsia="Times New Roman" w:hAnsi="Times New Roman" w:cs="Times New Roman"/>
                <w:i/>
                <w:iCs/>
                <w:color w:val="000000"/>
                <w:sz w:val="24"/>
                <w:szCs w:val="24"/>
              </w:rPr>
              <w:t>2016</w:t>
            </w:r>
          </w:p>
        </w:tc>
        <w:tc>
          <w:tcPr>
            <w:tcW w:w="727" w:type="dxa"/>
          </w:tcPr>
          <w:p w14:paraId="08BDDDB9"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3.9</w:t>
            </w:r>
          </w:p>
        </w:tc>
        <w:tc>
          <w:tcPr>
            <w:tcW w:w="751" w:type="dxa"/>
          </w:tcPr>
          <w:p w14:paraId="76EFAA84"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18.5</w:t>
            </w:r>
          </w:p>
        </w:tc>
        <w:tc>
          <w:tcPr>
            <w:tcW w:w="727" w:type="dxa"/>
          </w:tcPr>
          <w:p w14:paraId="636D7F84"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1.8</w:t>
            </w:r>
          </w:p>
        </w:tc>
        <w:tc>
          <w:tcPr>
            <w:tcW w:w="750" w:type="dxa"/>
          </w:tcPr>
          <w:p w14:paraId="7AC1C4A4"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1.7</w:t>
            </w:r>
          </w:p>
        </w:tc>
        <w:tc>
          <w:tcPr>
            <w:tcW w:w="727" w:type="dxa"/>
          </w:tcPr>
          <w:p w14:paraId="76A1B1AC"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6.3</w:t>
            </w:r>
          </w:p>
        </w:tc>
        <w:tc>
          <w:tcPr>
            <w:tcW w:w="750" w:type="dxa"/>
          </w:tcPr>
          <w:p w14:paraId="342A1B7B"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4.3</w:t>
            </w:r>
          </w:p>
        </w:tc>
        <w:tc>
          <w:tcPr>
            <w:tcW w:w="727" w:type="dxa"/>
          </w:tcPr>
          <w:p w14:paraId="4E6D0B3C"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31.9</w:t>
            </w:r>
          </w:p>
        </w:tc>
        <w:tc>
          <w:tcPr>
            <w:tcW w:w="750" w:type="dxa"/>
          </w:tcPr>
          <w:p w14:paraId="4854D690"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18.8</w:t>
            </w:r>
          </w:p>
        </w:tc>
        <w:tc>
          <w:tcPr>
            <w:tcW w:w="727" w:type="dxa"/>
          </w:tcPr>
          <w:p w14:paraId="79B81D03"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17.2</w:t>
            </w:r>
          </w:p>
        </w:tc>
        <w:tc>
          <w:tcPr>
            <w:tcW w:w="750" w:type="dxa"/>
          </w:tcPr>
          <w:p w14:paraId="273DFFF7"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16.9</w:t>
            </w:r>
          </w:p>
        </w:tc>
        <w:tc>
          <w:tcPr>
            <w:tcW w:w="727" w:type="dxa"/>
          </w:tcPr>
          <w:p w14:paraId="10917496"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3.6</w:t>
            </w:r>
          </w:p>
        </w:tc>
        <w:tc>
          <w:tcPr>
            <w:tcW w:w="750" w:type="dxa"/>
          </w:tcPr>
          <w:p w14:paraId="37324767"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3.8</w:t>
            </w:r>
          </w:p>
        </w:tc>
        <w:tc>
          <w:tcPr>
            <w:tcW w:w="749" w:type="dxa"/>
            <w:gridSpan w:val="2"/>
          </w:tcPr>
          <w:p w14:paraId="1EEA1B01"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13.2</w:t>
            </w:r>
          </w:p>
        </w:tc>
        <w:tc>
          <w:tcPr>
            <w:tcW w:w="728" w:type="dxa"/>
          </w:tcPr>
          <w:p w14:paraId="161AAE03"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11.0</w:t>
            </w:r>
          </w:p>
        </w:tc>
      </w:tr>
      <w:tr w:rsidR="00887015" w14:paraId="434E79DD" w14:textId="77777777" w:rsidTr="00FF1217">
        <w:tc>
          <w:tcPr>
            <w:tcW w:w="656" w:type="dxa"/>
          </w:tcPr>
          <w:p w14:paraId="43CD6323" w14:textId="77777777" w:rsidR="00887015" w:rsidRPr="00887015" w:rsidRDefault="00887015" w:rsidP="00FF1217">
            <w:pPr>
              <w:rPr>
                <w:rFonts w:ascii="Times New Roman" w:eastAsia="Times New Roman" w:hAnsi="Times New Roman" w:cs="Times New Roman"/>
                <w:i/>
                <w:iCs/>
                <w:color w:val="000000"/>
                <w:sz w:val="24"/>
                <w:szCs w:val="24"/>
              </w:rPr>
            </w:pPr>
            <w:r w:rsidRPr="00887015">
              <w:rPr>
                <w:rFonts w:ascii="Times New Roman" w:eastAsia="Times New Roman" w:hAnsi="Times New Roman" w:cs="Times New Roman"/>
                <w:i/>
                <w:iCs/>
                <w:color w:val="000000"/>
                <w:sz w:val="24"/>
                <w:szCs w:val="24"/>
              </w:rPr>
              <w:t>2017</w:t>
            </w:r>
          </w:p>
        </w:tc>
        <w:tc>
          <w:tcPr>
            <w:tcW w:w="727" w:type="dxa"/>
          </w:tcPr>
          <w:p w14:paraId="39611DCA"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3.4</w:t>
            </w:r>
          </w:p>
        </w:tc>
        <w:tc>
          <w:tcPr>
            <w:tcW w:w="751" w:type="dxa"/>
          </w:tcPr>
          <w:p w14:paraId="5DC0B3AF"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16.0</w:t>
            </w:r>
          </w:p>
        </w:tc>
        <w:tc>
          <w:tcPr>
            <w:tcW w:w="727" w:type="dxa"/>
          </w:tcPr>
          <w:p w14:paraId="44BA3098"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0.9</w:t>
            </w:r>
          </w:p>
        </w:tc>
        <w:tc>
          <w:tcPr>
            <w:tcW w:w="750" w:type="dxa"/>
          </w:tcPr>
          <w:p w14:paraId="35E6FFE6"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2.8</w:t>
            </w:r>
          </w:p>
        </w:tc>
        <w:tc>
          <w:tcPr>
            <w:tcW w:w="727" w:type="dxa"/>
          </w:tcPr>
          <w:p w14:paraId="79F3FBBC"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6.1</w:t>
            </w:r>
          </w:p>
        </w:tc>
        <w:tc>
          <w:tcPr>
            <w:tcW w:w="750" w:type="dxa"/>
          </w:tcPr>
          <w:p w14:paraId="200D4BB1"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4.1</w:t>
            </w:r>
          </w:p>
        </w:tc>
        <w:tc>
          <w:tcPr>
            <w:tcW w:w="727" w:type="dxa"/>
          </w:tcPr>
          <w:p w14:paraId="391D8A76"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28.7</w:t>
            </w:r>
          </w:p>
        </w:tc>
        <w:tc>
          <w:tcPr>
            <w:tcW w:w="750" w:type="dxa"/>
          </w:tcPr>
          <w:p w14:paraId="3D559D72"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17.1</w:t>
            </w:r>
          </w:p>
        </w:tc>
        <w:tc>
          <w:tcPr>
            <w:tcW w:w="727" w:type="dxa"/>
          </w:tcPr>
          <w:p w14:paraId="1885EA52"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20.0</w:t>
            </w:r>
          </w:p>
        </w:tc>
        <w:tc>
          <w:tcPr>
            <w:tcW w:w="750" w:type="dxa"/>
          </w:tcPr>
          <w:p w14:paraId="647AFF56"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18.9</w:t>
            </w:r>
          </w:p>
        </w:tc>
        <w:tc>
          <w:tcPr>
            <w:tcW w:w="727" w:type="dxa"/>
          </w:tcPr>
          <w:p w14:paraId="5DA2853F"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5.8</w:t>
            </w:r>
          </w:p>
        </w:tc>
        <w:tc>
          <w:tcPr>
            <w:tcW w:w="750" w:type="dxa"/>
          </w:tcPr>
          <w:p w14:paraId="3EDE9728"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3.2</w:t>
            </w:r>
          </w:p>
        </w:tc>
        <w:tc>
          <w:tcPr>
            <w:tcW w:w="749" w:type="dxa"/>
            <w:gridSpan w:val="2"/>
          </w:tcPr>
          <w:p w14:paraId="7C59A821"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12.4</w:t>
            </w:r>
          </w:p>
        </w:tc>
        <w:tc>
          <w:tcPr>
            <w:tcW w:w="728" w:type="dxa"/>
          </w:tcPr>
          <w:p w14:paraId="1693E896"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16.2</w:t>
            </w:r>
          </w:p>
        </w:tc>
      </w:tr>
    </w:tbl>
    <w:p w14:paraId="34A5F60B" w14:textId="77777777" w:rsidR="00887015" w:rsidRPr="00016DBC" w:rsidRDefault="00887015" w:rsidP="00887015">
      <w:pPr>
        <w:ind w:left="-149"/>
        <w:rPr>
          <w:rFonts w:ascii="Times New Roman" w:eastAsia="Times New Roman" w:hAnsi="Times New Roman" w:cs="Times New Roman"/>
          <w:color w:val="000000"/>
        </w:rPr>
      </w:pPr>
    </w:p>
    <w:p w14:paraId="6C422696" w14:textId="77777777" w:rsidR="00887015" w:rsidRDefault="00887015">
      <w:pPr>
        <w:rPr>
          <w:rFonts w:ascii="Times New Roman" w:hAnsi="Times New Roman" w:cs="Times New Roman"/>
          <w:bCs/>
          <w:i/>
          <w:iCs/>
          <w:sz w:val="24"/>
          <w:szCs w:val="24"/>
        </w:rPr>
      </w:pPr>
      <w:r>
        <w:rPr>
          <w:rFonts w:ascii="Times New Roman" w:hAnsi="Times New Roman" w:cs="Times New Roman"/>
          <w:bCs/>
          <w:sz w:val="24"/>
          <w:szCs w:val="24"/>
        </w:rPr>
        <w:br w:type="page"/>
      </w:r>
    </w:p>
    <w:p w14:paraId="3CB2845C" w14:textId="1F8BC806" w:rsidR="006074D1" w:rsidRPr="00F837A7" w:rsidRDefault="00887015" w:rsidP="00F837A7">
      <w:pPr>
        <w:pStyle w:val="Caption"/>
        <w:rPr>
          <w:rFonts w:ascii="Times New Roman" w:hAnsi="Times New Roman" w:cs="Times New Roman"/>
          <w:bCs/>
          <w:color w:val="auto"/>
          <w:sz w:val="24"/>
          <w:szCs w:val="24"/>
        </w:rPr>
        <w:sectPr w:rsidR="006074D1" w:rsidRPr="00F837A7" w:rsidSect="00FE1DA2">
          <w:pgSz w:w="15840" w:h="12240" w:orient="landscape" w:code="1"/>
          <w:pgMar w:top="630" w:right="1440" w:bottom="360" w:left="1440" w:header="270" w:footer="720" w:gutter="0"/>
          <w:cols w:space="720"/>
          <w:docGrid w:linePitch="360"/>
        </w:sectPr>
      </w:pPr>
      <w:r>
        <w:rPr>
          <w:noProof/>
        </w:rPr>
        <w:lastRenderedPageBreak/>
        <w:drawing>
          <wp:anchor distT="0" distB="0" distL="114300" distR="114300" simplePos="0" relativeHeight="251659264" behindDoc="0" locked="0" layoutInCell="1" allowOverlap="1" wp14:anchorId="290A2C37" wp14:editId="2ED600AA">
            <wp:simplePos x="0" y="0"/>
            <wp:positionH relativeFrom="margin">
              <wp:posOffset>-733425</wp:posOffset>
            </wp:positionH>
            <wp:positionV relativeFrom="paragraph">
              <wp:posOffset>41465</wp:posOffset>
            </wp:positionV>
            <wp:extent cx="9686925" cy="1931035"/>
            <wp:effectExtent l="0" t="0" r="9525" b="1206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2B1B76">
        <w:rPr>
          <w:noProof/>
        </w:rPr>
        <w:drawing>
          <wp:anchor distT="0" distB="0" distL="114300" distR="114300" simplePos="0" relativeHeight="251658240" behindDoc="0" locked="0" layoutInCell="1" allowOverlap="1" wp14:anchorId="01C52D89" wp14:editId="4ABB977C">
            <wp:simplePos x="0" y="0"/>
            <wp:positionH relativeFrom="margin">
              <wp:align>center</wp:align>
            </wp:positionH>
            <wp:positionV relativeFrom="paragraph">
              <wp:posOffset>2227580</wp:posOffset>
            </wp:positionV>
            <wp:extent cx="8667750" cy="421005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226AB1F8" w14:textId="23BBB5A0" w:rsidR="009A7DCE" w:rsidRPr="00F50EB0" w:rsidRDefault="009A7DCE" w:rsidP="00F837A7">
      <w:pPr>
        <w:rPr>
          <w:rFonts w:ascii="Times New Roman" w:eastAsia="Times New Roman" w:hAnsi="Times New Roman" w:cs="Times New Roman"/>
          <w:sz w:val="24"/>
          <w:szCs w:val="24"/>
          <w:lang w:val="en-GB" w:eastAsia="en-GB"/>
        </w:rPr>
      </w:pPr>
    </w:p>
    <w:sectPr w:rsidR="009A7DCE" w:rsidRPr="00F50EB0" w:rsidSect="009E367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B90A2" w14:textId="77777777" w:rsidR="00FF1217" w:rsidRDefault="00FF1217" w:rsidP="00B729BB">
      <w:pPr>
        <w:spacing w:after="0" w:line="240" w:lineRule="auto"/>
      </w:pPr>
      <w:r>
        <w:separator/>
      </w:r>
    </w:p>
  </w:endnote>
  <w:endnote w:type="continuationSeparator" w:id="0">
    <w:p w14:paraId="7CD59A13" w14:textId="77777777" w:rsidR="00FF1217" w:rsidRDefault="00FF1217" w:rsidP="00B7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E4AEA" w14:textId="77777777" w:rsidR="00FF1217" w:rsidRDefault="00FF1217" w:rsidP="00B729BB">
      <w:pPr>
        <w:spacing w:after="0" w:line="240" w:lineRule="auto"/>
      </w:pPr>
      <w:r>
        <w:separator/>
      </w:r>
    </w:p>
  </w:footnote>
  <w:footnote w:type="continuationSeparator" w:id="0">
    <w:p w14:paraId="7D136A39" w14:textId="77777777" w:rsidR="00FF1217" w:rsidRDefault="00FF1217" w:rsidP="00B729BB">
      <w:pPr>
        <w:spacing w:after="0" w:line="240" w:lineRule="auto"/>
      </w:pPr>
      <w:r>
        <w:continuationSeparator/>
      </w:r>
    </w:p>
  </w:footnote>
  <w:footnote w:id="1">
    <w:p w14:paraId="110C9E6B" w14:textId="311B780F" w:rsidR="00FF1217" w:rsidRPr="00C007FE" w:rsidRDefault="00FF1217" w:rsidP="00B729BB">
      <w:pPr>
        <w:pStyle w:val="FootnoteText"/>
        <w:rPr>
          <w:rFonts w:ascii="Times New Roman" w:hAnsi="Times New Roman" w:cs="Times New Roman"/>
          <w:sz w:val="16"/>
          <w:szCs w:val="16"/>
        </w:rPr>
      </w:pPr>
      <w:r w:rsidRPr="00C007FE">
        <w:rPr>
          <w:rStyle w:val="FootnoteReference"/>
          <w:rFonts w:ascii="Times New Roman" w:hAnsi="Times New Roman" w:cs="Times New Roman"/>
          <w:sz w:val="16"/>
          <w:szCs w:val="16"/>
        </w:rPr>
        <w:footnoteRef/>
      </w:r>
      <w:r w:rsidRPr="00C007FE">
        <w:rPr>
          <w:rFonts w:ascii="Times New Roman" w:hAnsi="Times New Roman" w:cs="Times New Roman"/>
          <w:sz w:val="16"/>
          <w:szCs w:val="16"/>
        </w:rPr>
        <w:t xml:space="preserve"> UN Sustainable Development Knowledge </w:t>
      </w:r>
      <w:proofErr w:type="spellStart"/>
      <w:r w:rsidRPr="00C007FE">
        <w:rPr>
          <w:rFonts w:ascii="Times New Roman" w:hAnsi="Times New Roman" w:cs="Times New Roman"/>
          <w:sz w:val="16"/>
          <w:szCs w:val="16"/>
        </w:rPr>
        <w:t>platform,“Addis</w:t>
      </w:r>
      <w:proofErr w:type="spellEnd"/>
      <w:r w:rsidRPr="00C007FE">
        <w:rPr>
          <w:rFonts w:ascii="Times New Roman" w:hAnsi="Times New Roman" w:cs="Times New Roman"/>
          <w:sz w:val="16"/>
          <w:szCs w:val="16"/>
        </w:rPr>
        <w:t xml:space="preserve"> Ababa Action Agenda of the Third International Conference on Financing for Development”, </w:t>
      </w:r>
      <w:hyperlink r:id="rId1" w:history="1">
        <w:r w:rsidRPr="00C007FE">
          <w:rPr>
            <w:rStyle w:val="Hyperlink"/>
            <w:rFonts w:ascii="Times New Roman" w:hAnsi="Times New Roman" w:cs="Times New Roman"/>
            <w:color w:val="auto"/>
            <w:sz w:val="16"/>
            <w:szCs w:val="16"/>
            <w:u w:val="none"/>
          </w:rPr>
          <w:t>https://sustainabledevelopment.un.org/frameworks/addisababaactionagenda</w:t>
        </w:r>
      </w:hyperlink>
    </w:p>
    <w:p w14:paraId="4A35C707" w14:textId="77777777" w:rsidR="00FF1217" w:rsidRPr="00C007FE" w:rsidRDefault="00FF1217" w:rsidP="00B729BB">
      <w:pPr>
        <w:pStyle w:val="FootnoteText"/>
        <w:rPr>
          <w:rFonts w:ascii="Times New Roman" w:hAnsi="Times New Roman" w:cs="Times New Roman"/>
          <w:sz w:val="16"/>
          <w:szCs w:val="16"/>
          <w:lang w:val="bg-BG"/>
        </w:rPr>
      </w:pPr>
    </w:p>
  </w:footnote>
  <w:footnote w:id="2">
    <w:p w14:paraId="6C4CFEEE" w14:textId="7F780D4F" w:rsidR="00FF1217" w:rsidRPr="00C3489B" w:rsidRDefault="00FF1217">
      <w:pPr>
        <w:pStyle w:val="FootnoteText"/>
        <w:rPr>
          <w:lang w:val="bg-BG"/>
        </w:rPr>
      </w:pPr>
      <w:r w:rsidRPr="00C007FE">
        <w:rPr>
          <w:rStyle w:val="FootnoteReference"/>
          <w:rFonts w:ascii="Times New Roman" w:hAnsi="Times New Roman" w:cs="Times New Roman"/>
          <w:sz w:val="16"/>
          <w:szCs w:val="16"/>
        </w:rPr>
        <w:footnoteRef/>
      </w:r>
      <w:r w:rsidRPr="00C007FE">
        <w:rPr>
          <w:rFonts w:ascii="Times New Roman" w:hAnsi="Times New Roman" w:cs="Times New Roman"/>
          <w:sz w:val="16"/>
          <w:szCs w:val="16"/>
          <w:lang w:val="bg-BG"/>
        </w:rPr>
        <w:t xml:space="preserve"> </w:t>
      </w:r>
      <w:r w:rsidRPr="00C007FE">
        <w:rPr>
          <w:rFonts w:ascii="Times New Roman" w:hAnsi="Times New Roman" w:cs="Times New Roman"/>
          <w:sz w:val="16"/>
          <w:szCs w:val="16"/>
          <w:lang w:val="en-GB"/>
        </w:rPr>
        <w:t xml:space="preserve">UNECE (2016), </w:t>
      </w:r>
      <w:r w:rsidRPr="00C007FE">
        <w:rPr>
          <w:rFonts w:ascii="Times New Roman" w:hAnsi="Times New Roman" w:cs="Times New Roman"/>
          <w:sz w:val="16"/>
          <w:szCs w:val="16"/>
        </w:rPr>
        <w:t>Eighth Environment for Europe Ministerial Conference Batumi, Georgia,  “Pan-European Strategic Framework for Greening the Economy”, http</w:t>
      </w:r>
      <w:r w:rsidRPr="00C007FE">
        <w:rPr>
          <w:rFonts w:ascii="Times New Roman" w:hAnsi="Times New Roman" w:cs="Times New Roman"/>
          <w:sz w:val="16"/>
          <w:szCs w:val="16"/>
          <w:lang w:val="bg-BG"/>
        </w:rPr>
        <w:t>://</w:t>
      </w:r>
      <w:r w:rsidRPr="00C007FE">
        <w:rPr>
          <w:rFonts w:ascii="Times New Roman" w:hAnsi="Times New Roman" w:cs="Times New Roman"/>
          <w:sz w:val="16"/>
          <w:szCs w:val="16"/>
        </w:rPr>
        <w:t>www</w:t>
      </w:r>
      <w:r w:rsidRPr="00C007FE">
        <w:rPr>
          <w:rFonts w:ascii="Times New Roman" w:hAnsi="Times New Roman" w:cs="Times New Roman"/>
          <w:sz w:val="16"/>
          <w:szCs w:val="16"/>
          <w:lang w:val="bg-BG"/>
        </w:rPr>
        <w:t>.</w:t>
      </w:r>
      <w:proofErr w:type="spellStart"/>
      <w:r w:rsidRPr="00C007FE">
        <w:rPr>
          <w:rFonts w:ascii="Times New Roman" w:hAnsi="Times New Roman" w:cs="Times New Roman"/>
          <w:sz w:val="16"/>
          <w:szCs w:val="16"/>
        </w:rPr>
        <w:t>unece</w:t>
      </w:r>
      <w:proofErr w:type="spellEnd"/>
      <w:r w:rsidRPr="00C007FE">
        <w:rPr>
          <w:rFonts w:ascii="Times New Roman" w:hAnsi="Times New Roman" w:cs="Times New Roman"/>
          <w:sz w:val="16"/>
          <w:szCs w:val="16"/>
          <w:lang w:val="bg-BG"/>
        </w:rPr>
        <w:t>.</w:t>
      </w:r>
      <w:r w:rsidRPr="00C007FE">
        <w:rPr>
          <w:rFonts w:ascii="Times New Roman" w:hAnsi="Times New Roman" w:cs="Times New Roman"/>
          <w:sz w:val="16"/>
          <w:szCs w:val="16"/>
        </w:rPr>
        <w:t>org</w:t>
      </w:r>
      <w:r w:rsidRPr="00C007FE">
        <w:rPr>
          <w:rFonts w:ascii="Times New Roman" w:hAnsi="Times New Roman" w:cs="Times New Roman"/>
          <w:sz w:val="16"/>
          <w:szCs w:val="16"/>
          <w:lang w:val="bg-BG"/>
        </w:rPr>
        <w:t>/</w:t>
      </w:r>
      <w:proofErr w:type="spellStart"/>
      <w:r w:rsidRPr="00C007FE">
        <w:rPr>
          <w:rFonts w:ascii="Times New Roman" w:hAnsi="Times New Roman" w:cs="Times New Roman"/>
          <w:sz w:val="16"/>
          <w:szCs w:val="16"/>
        </w:rPr>
        <w:t>fileadmin</w:t>
      </w:r>
      <w:proofErr w:type="spellEnd"/>
      <w:r w:rsidRPr="00C007FE">
        <w:rPr>
          <w:rFonts w:ascii="Times New Roman" w:hAnsi="Times New Roman" w:cs="Times New Roman"/>
          <w:sz w:val="16"/>
          <w:szCs w:val="16"/>
          <w:lang w:val="bg-BG"/>
        </w:rPr>
        <w:t>/</w:t>
      </w:r>
      <w:r w:rsidRPr="00C007FE">
        <w:rPr>
          <w:rFonts w:ascii="Times New Roman" w:hAnsi="Times New Roman" w:cs="Times New Roman"/>
          <w:sz w:val="16"/>
          <w:szCs w:val="16"/>
        </w:rPr>
        <w:t>DAM</w:t>
      </w:r>
      <w:r w:rsidRPr="00C007FE">
        <w:rPr>
          <w:rFonts w:ascii="Times New Roman" w:hAnsi="Times New Roman" w:cs="Times New Roman"/>
          <w:sz w:val="16"/>
          <w:szCs w:val="16"/>
          <w:lang w:val="bg-BG"/>
        </w:rPr>
        <w:t>/</w:t>
      </w:r>
      <w:proofErr w:type="spellStart"/>
      <w:r w:rsidRPr="00C007FE">
        <w:rPr>
          <w:rFonts w:ascii="Times New Roman" w:hAnsi="Times New Roman" w:cs="Times New Roman"/>
          <w:sz w:val="16"/>
          <w:szCs w:val="16"/>
        </w:rPr>
        <w:t>env</w:t>
      </w:r>
      <w:proofErr w:type="spellEnd"/>
      <w:r w:rsidRPr="00C007FE">
        <w:rPr>
          <w:rFonts w:ascii="Times New Roman" w:hAnsi="Times New Roman" w:cs="Times New Roman"/>
          <w:sz w:val="16"/>
          <w:szCs w:val="16"/>
          <w:lang w:val="bg-BG"/>
        </w:rPr>
        <w:t>/</w:t>
      </w:r>
      <w:r w:rsidRPr="00C007FE">
        <w:rPr>
          <w:rFonts w:ascii="Times New Roman" w:hAnsi="Times New Roman" w:cs="Times New Roman"/>
          <w:sz w:val="16"/>
          <w:szCs w:val="16"/>
        </w:rPr>
        <w:t>documents</w:t>
      </w:r>
      <w:r w:rsidRPr="00C007FE">
        <w:rPr>
          <w:rFonts w:ascii="Times New Roman" w:hAnsi="Times New Roman" w:cs="Times New Roman"/>
          <w:sz w:val="16"/>
          <w:szCs w:val="16"/>
          <w:lang w:val="bg-BG"/>
        </w:rPr>
        <w:t>/2016/</w:t>
      </w:r>
      <w:proofErr w:type="spellStart"/>
      <w:r w:rsidRPr="00C007FE">
        <w:rPr>
          <w:rFonts w:ascii="Times New Roman" w:hAnsi="Times New Roman" w:cs="Times New Roman"/>
          <w:sz w:val="16"/>
          <w:szCs w:val="16"/>
        </w:rPr>
        <w:t>ece</w:t>
      </w:r>
      <w:proofErr w:type="spellEnd"/>
      <w:r w:rsidRPr="00C007FE">
        <w:rPr>
          <w:rFonts w:ascii="Times New Roman" w:hAnsi="Times New Roman" w:cs="Times New Roman"/>
          <w:sz w:val="16"/>
          <w:szCs w:val="16"/>
          <w:lang w:val="bg-BG"/>
        </w:rPr>
        <w:t>/</w:t>
      </w:r>
      <w:proofErr w:type="spellStart"/>
      <w:r w:rsidRPr="00C007FE">
        <w:rPr>
          <w:rFonts w:ascii="Times New Roman" w:hAnsi="Times New Roman" w:cs="Times New Roman"/>
          <w:sz w:val="16"/>
          <w:szCs w:val="16"/>
        </w:rPr>
        <w:t>ece</w:t>
      </w:r>
      <w:proofErr w:type="spellEnd"/>
      <w:r w:rsidRPr="00C007FE">
        <w:rPr>
          <w:rFonts w:ascii="Times New Roman" w:hAnsi="Times New Roman" w:cs="Times New Roman"/>
          <w:sz w:val="16"/>
          <w:szCs w:val="16"/>
          <w:lang w:val="bg-BG"/>
        </w:rPr>
        <w:t>.</w:t>
      </w:r>
      <w:proofErr w:type="spellStart"/>
      <w:r w:rsidRPr="00C007FE">
        <w:rPr>
          <w:rFonts w:ascii="Times New Roman" w:hAnsi="Times New Roman" w:cs="Times New Roman"/>
          <w:sz w:val="16"/>
          <w:szCs w:val="16"/>
        </w:rPr>
        <w:t>batumi</w:t>
      </w:r>
      <w:proofErr w:type="spellEnd"/>
      <w:r w:rsidRPr="00C007FE">
        <w:rPr>
          <w:rFonts w:ascii="Times New Roman" w:hAnsi="Times New Roman" w:cs="Times New Roman"/>
          <w:sz w:val="16"/>
          <w:szCs w:val="16"/>
          <w:lang w:val="bg-BG"/>
        </w:rPr>
        <w:t>.</w:t>
      </w:r>
      <w:proofErr w:type="spellStart"/>
      <w:r w:rsidRPr="00C007FE">
        <w:rPr>
          <w:rFonts w:ascii="Times New Roman" w:hAnsi="Times New Roman" w:cs="Times New Roman"/>
          <w:sz w:val="16"/>
          <w:szCs w:val="16"/>
        </w:rPr>
        <w:t>conf</w:t>
      </w:r>
      <w:proofErr w:type="spellEnd"/>
      <w:r w:rsidRPr="00C007FE">
        <w:rPr>
          <w:rFonts w:ascii="Times New Roman" w:hAnsi="Times New Roman" w:cs="Times New Roman"/>
          <w:sz w:val="16"/>
          <w:szCs w:val="16"/>
          <w:lang w:val="bg-BG"/>
        </w:rPr>
        <w:t>.2016.6.</w:t>
      </w:r>
      <w:r w:rsidRPr="00C007FE">
        <w:rPr>
          <w:rFonts w:ascii="Times New Roman" w:hAnsi="Times New Roman" w:cs="Times New Roman"/>
          <w:sz w:val="16"/>
          <w:szCs w:val="16"/>
        </w:rPr>
        <w:t>e</w:t>
      </w:r>
      <w:r w:rsidRPr="00C007FE">
        <w:rPr>
          <w:rFonts w:ascii="Times New Roman" w:hAnsi="Times New Roman" w:cs="Times New Roman"/>
          <w:sz w:val="16"/>
          <w:szCs w:val="16"/>
          <w:lang w:val="bg-BG"/>
        </w:rPr>
        <w:t>.</w:t>
      </w:r>
      <w:r w:rsidRPr="00C007FE">
        <w:rPr>
          <w:rFonts w:ascii="Times New Roman" w:hAnsi="Times New Roman" w:cs="Times New Roman"/>
          <w:sz w:val="16"/>
          <w:szCs w:val="16"/>
        </w:rPr>
        <w:t>pdf</w:t>
      </w:r>
      <w:r w:rsidRPr="00C007FE">
        <w:rPr>
          <w:rFonts w:ascii="Times New Roman" w:hAnsi="Times New Roman" w:cs="Times New Roman"/>
          <w:sz w:val="16"/>
          <w:szCs w:val="16"/>
          <w:lang w:val="bg-BG"/>
        </w:rPr>
        <w:t xml:space="preserve"> </w:t>
      </w:r>
    </w:p>
  </w:footnote>
  <w:footnote w:id="3">
    <w:p w14:paraId="0E10D0A5" w14:textId="50FC9D6B" w:rsidR="00FF1217" w:rsidRPr="00C007FE" w:rsidRDefault="00FF1217" w:rsidP="00C3489B">
      <w:pPr>
        <w:pStyle w:val="FootnoteText"/>
        <w:rPr>
          <w:rFonts w:ascii="Times New Roman" w:hAnsi="Times New Roman" w:cs="Times New Roman"/>
          <w:sz w:val="16"/>
          <w:szCs w:val="16"/>
          <w:lang w:val="bg-BG"/>
        </w:rPr>
      </w:pPr>
      <w:r w:rsidRPr="00C007FE">
        <w:rPr>
          <w:rStyle w:val="FootnoteReference"/>
          <w:rFonts w:ascii="Times New Roman" w:hAnsi="Times New Roman" w:cs="Times New Roman"/>
          <w:sz w:val="16"/>
          <w:szCs w:val="16"/>
        </w:rPr>
        <w:footnoteRef/>
      </w:r>
      <w:r w:rsidRPr="00C007FE">
        <w:rPr>
          <w:rFonts w:ascii="Times New Roman" w:hAnsi="Times New Roman" w:cs="Times New Roman"/>
          <w:sz w:val="16"/>
          <w:szCs w:val="16"/>
          <w:lang w:val="bg-BG"/>
        </w:rPr>
        <w:t xml:space="preserve"> UNEP (2016). Green Economy and Trade Opportunities Project: Synthesis Report.Geneva: UNEP, p.11</w:t>
      </w:r>
    </w:p>
  </w:footnote>
  <w:footnote w:id="4">
    <w:p w14:paraId="3EE8095D" w14:textId="77777777" w:rsidR="00FF1217" w:rsidRPr="00C007FE" w:rsidRDefault="00FF1217" w:rsidP="00C3489B">
      <w:pPr>
        <w:pStyle w:val="FootnoteText"/>
        <w:rPr>
          <w:rFonts w:ascii="Times New Roman" w:hAnsi="Times New Roman" w:cs="Times New Roman"/>
          <w:sz w:val="16"/>
          <w:szCs w:val="16"/>
          <w:lang w:val="bg-BG"/>
        </w:rPr>
      </w:pPr>
      <w:r w:rsidRPr="00C007FE">
        <w:rPr>
          <w:rStyle w:val="FootnoteReference"/>
          <w:rFonts w:ascii="Times New Roman" w:hAnsi="Times New Roman" w:cs="Times New Roman"/>
          <w:sz w:val="16"/>
          <w:szCs w:val="16"/>
        </w:rPr>
        <w:footnoteRef/>
      </w:r>
      <w:r w:rsidRPr="00C007FE">
        <w:rPr>
          <w:rFonts w:ascii="Times New Roman" w:hAnsi="Times New Roman" w:cs="Times New Roman"/>
          <w:sz w:val="16"/>
          <w:szCs w:val="16"/>
          <w:lang w:val="bg-BG"/>
        </w:rPr>
        <w:t xml:space="preserve"> </w:t>
      </w:r>
      <w:hyperlink r:id="rId2" w:history="1">
        <w:r w:rsidRPr="00C007FE">
          <w:rPr>
            <w:rStyle w:val="Hyperlink"/>
            <w:rFonts w:ascii="Times New Roman" w:hAnsi="Times New Roman" w:cs="Times New Roman"/>
            <w:color w:val="000000" w:themeColor="text1"/>
            <w:sz w:val="16"/>
            <w:szCs w:val="16"/>
          </w:rPr>
          <w:t>https</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www</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google</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ch</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search</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site</w:t>
        </w:r>
        <w:r w:rsidRPr="00C007FE">
          <w:rPr>
            <w:rStyle w:val="Hyperlink"/>
            <w:rFonts w:ascii="Times New Roman" w:hAnsi="Times New Roman" w:cs="Times New Roman"/>
            <w:color w:val="000000" w:themeColor="text1"/>
            <w:sz w:val="16"/>
            <w:szCs w:val="16"/>
            <w:lang w:val="bg-BG"/>
          </w:rPr>
          <w:t>=&amp;</w:t>
        </w:r>
        <w:r w:rsidRPr="00C007FE">
          <w:rPr>
            <w:rStyle w:val="Hyperlink"/>
            <w:rFonts w:ascii="Times New Roman" w:hAnsi="Times New Roman" w:cs="Times New Roman"/>
            <w:color w:val="000000" w:themeColor="text1"/>
            <w:sz w:val="16"/>
            <w:szCs w:val="16"/>
          </w:rPr>
          <w:t>source</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hp</w:t>
        </w:r>
        <w:r w:rsidRPr="00C007FE">
          <w:rPr>
            <w:rStyle w:val="Hyperlink"/>
            <w:rFonts w:ascii="Times New Roman" w:hAnsi="Times New Roman" w:cs="Times New Roman"/>
            <w:color w:val="000000" w:themeColor="text1"/>
            <w:sz w:val="16"/>
            <w:szCs w:val="16"/>
            <w:lang w:val="bg-BG"/>
          </w:rPr>
          <w:t>&amp;</w:t>
        </w:r>
        <w:r w:rsidRPr="00C007FE">
          <w:rPr>
            <w:rStyle w:val="Hyperlink"/>
            <w:rFonts w:ascii="Times New Roman" w:hAnsi="Times New Roman" w:cs="Times New Roman"/>
            <w:color w:val="000000" w:themeColor="text1"/>
            <w:sz w:val="16"/>
            <w:szCs w:val="16"/>
          </w:rPr>
          <w:t>q</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GDP</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growth</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in</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Azerbaijan</w:t>
        </w:r>
        <w:r w:rsidRPr="00C007FE">
          <w:rPr>
            <w:rStyle w:val="Hyperlink"/>
            <w:rFonts w:ascii="Times New Roman" w:hAnsi="Times New Roman" w:cs="Times New Roman"/>
            <w:color w:val="000000" w:themeColor="text1"/>
            <w:sz w:val="16"/>
            <w:szCs w:val="16"/>
            <w:lang w:val="bg-BG"/>
          </w:rPr>
          <w:t>&amp;</w:t>
        </w:r>
        <w:r w:rsidRPr="00C007FE">
          <w:rPr>
            <w:rStyle w:val="Hyperlink"/>
            <w:rFonts w:ascii="Times New Roman" w:hAnsi="Times New Roman" w:cs="Times New Roman"/>
            <w:color w:val="000000" w:themeColor="text1"/>
            <w:sz w:val="16"/>
            <w:szCs w:val="16"/>
          </w:rPr>
          <w:t>oq</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GDP</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growth</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in</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Azerbaijan</w:t>
        </w:r>
        <w:r w:rsidRPr="00C007FE">
          <w:rPr>
            <w:rStyle w:val="Hyperlink"/>
            <w:rFonts w:ascii="Times New Roman" w:hAnsi="Times New Roman" w:cs="Times New Roman"/>
            <w:color w:val="000000" w:themeColor="text1"/>
            <w:sz w:val="16"/>
            <w:szCs w:val="16"/>
            <w:lang w:val="bg-BG"/>
          </w:rPr>
          <w:t>&amp;</w:t>
        </w:r>
        <w:r w:rsidRPr="00C007FE">
          <w:rPr>
            <w:rStyle w:val="Hyperlink"/>
            <w:rFonts w:ascii="Times New Roman" w:hAnsi="Times New Roman" w:cs="Times New Roman"/>
            <w:color w:val="000000" w:themeColor="text1"/>
            <w:sz w:val="16"/>
            <w:szCs w:val="16"/>
          </w:rPr>
          <w:t>gs</w:t>
        </w:r>
        <w:r w:rsidRPr="00C007FE">
          <w:rPr>
            <w:rStyle w:val="Hyperlink"/>
            <w:rFonts w:ascii="Times New Roman" w:hAnsi="Times New Roman" w:cs="Times New Roman"/>
            <w:color w:val="000000" w:themeColor="text1"/>
            <w:sz w:val="16"/>
            <w:szCs w:val="16"/>
            <w:lang w:val="bg-BG"/>
          </w:rPr>
          <w:t>_</w:t>
        </w:r>
        <w:r w:rsidRPr="00C007FE">
          <w:rPr>
            <w:rStyle w:val="Hyperlink"/>
            <w:rFonts w:ascii="Times New Roman" w:hAnsi="Times New Roman" w:cs="Times New Roman"/>
            <w:color w:val="000000" w:themeColor="text1"/>
            <w:sz w:val="16"/>
            <w:szCs w:val="16"/>
          </w:rPr>
          <w:t>l</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psy</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ab</w:t>
        </w:r>
        <w:r w:rsidRPr="00C007FE">
          <w:rPr>
            <w:rStyle w:val="Hyperlink"/>
            <w:rFonts w:ascii="Times New Roman" w:hAnsi="Times New Roman" w:cs="Times New Roman"/>
            <w:color w:val="000000" w:themeColor="text1"/>
            <w:sz w:val="16"/>
            <w:szCs w:val="16"/>
            <w:lang w:val="bg-BG"/>
          </w:rPr>
          <w:t>.3..0</w:t>
        </w:r>
        <w:r w:rsidRPr="00C007FE">
          <w:rPr>
            <w:rStyle w:val="Hyperlink"/>
            <w:rFonts w:ascii="Times New Roman" w:hAnsi="Times New Roman" w:cs="Times New Roman"/>
            <w:color w:val="000000" w:themeColor="text1"/>
            <w:sz w:val="16"/>
            <w:szCs w:val="16"/>
          </w:rPr>
          <w:t>i</w:t>
        </w:r>
        <w:r w:rsidRPr="00C007FE">
          <w:rPr>
            <w:rStyle w:val="Hyperlink"/>
            <w:rFonts w:ascii="Times New Roman" w:hAnsi="Times New Roman" w:cs="Times New Roman"/>
            <w:color w:val="000000" w:themeColor="text1"/>
            <w:sz w:val="16"/>
            <w:szCs w:val="16"/>
            <w:lang w:val="bg-BG"/>
          </w:rPr>
          <w:t>22</w:t>
        </w:r>
        <w:r w:rsidRPr="00C007FE">
          <w:rPr>
            <w:rStyle w:val="Hyperlink"/>
            <w:rFonts w:ascii="Times New Roman" w:hAnsi="Times New Roman" w:cs="Times New Roman"/>
            <w:color w:val="000000" w:themeColor="text1"/>
            <w:sz w:val="16"/>
            <w:szCs w:val="16"/>
          </w:rPr>
          <w:t>i</w:t>
        </w:r>
        <w:r w:rsidRPr="00C007FE">
          <w:rPr>
            <w:rStyle w:val="Hyperlink"/>
            <w:rFonts w:ascii="Times New Roman" w:hAnsi="Times New Roman" w:cs="Times New Roman"/>
            <w:color w:val="000000" w:themeColor="text1"/>
            <w:sz w:val="16"/>
            <w:szCs w:val="16"/>
            <w:lang w:val="bg-BG"/>
          </w:rPr>
          <w:t>30</w:t>
        </w:r>
        <w:r w:rsidRPr="00C007FE">
          <w:rPr>
            <w:rStyle w:val="Hyperlink"/>
            <w:rFonts w:ascii="Times New Roman" w:hAnsi="Times New Roman" w:cs="Times New Roman"/>
            <w:color w:val="000000" w:themeColor="text1"/>
            <w:sz w:val="16"/>
            <w:szCs w:val="16"/>
          </w:rPr>
          <w:t>k</w:t>
        </w:r>
        <w:r w:rsidRPr="00C007FE">
          <w:rPr>
            <w:rStyle w:val="Hyperlink"/>
            <w:rFonts w:ascii="Times New Roman" w:hAnsi="Times New Roman" w:cs="Times New Roman"/>
            <w:color w:val="000000" w:themeColor="text1"/>
            <w:sz w:val="16"/>
            <w:szCs w:val="16"/>
            <w:lang w:val="bg-BG"/>
          </w:rPr>
          <w:t>1</w:t>
        </w:r>
        <w:r w:rsidRPr="00C007FE">
          <w:rPr>
            <w:rStyle w:val="Hyperlink"/>
            <w:rFonts w:ascii="Times New Roman" w:hAnsi="Times New Roman" w:cs="Times New Roman"/>
            <w:color w:val="000000" w:themeColor="text1"/>
            <w:sz w:val="16"/>
            <w:szCs w:val="16"/>
          </w:rPr>
          <w:t>l</w:t>
        </w:r>
        <w:r w:rsidRPr="00C007FE">
          <w:rPr>
            <w:rStyle w:val="Hyperlink"/>
            <w:rFonts w:ascii="Times New Roman" w:hAnsi="Times New Roman" w:cs="Times New Roman"/>
            <w:color w:val="000000" w:themeColor="text1"/>
            <w:sz w:val="16"/>
            <w:szCs w:val="16"/>
            <w:lang w:val="bg-BG"/>
          </w:rPr>
          <w:t>4.1626.7558.0.7875.24.24.0.0.0.0.160.2002.21</w:t>
        </w:r>
        <w:r w:rsidRPr="00C007FE">
          <w:rPr>
            <w:rStyle w:val="Hyperlink"/>
            <w:rFonts w:ascii="Times New Roman" w:hAnsi="Times New Roman" w:cs="Times New Roman"/>
            <w:color w:val="000000" w:themeColor="text1"/>
            <w:sz w:val="16"/>
            <w:szCs w:val="16"/>
          </w:rPr>
          <w:t>j</w:t>
        </w:r>
        <w:r w:rsidRPr="00C007FE">
          <w:rPr>
            <w:rStyle w:val="Hyperlink"/>
            <w:rFonts w:ascii="Times New Roman" w:hAnsi="Times New Roman" w:cs="Times New Roman"/>
            <w:color w:val="000000" w:themeColor="text1"/>
            <w:sz w:val="16"/>
            <w:szCs w:val="16"/>
            <w:lang w:val="bg-BG"/>
          </w:rPr>
          <w:t>3.24.0....0...1.1.64.</w:t>
        </w:r>
        <w:r w:rsidRPr="00C007FE">
          <w:rPr>
            <w:rStyle w:val="Hyperlink"/>
            <w:rFonts w:ascii="Times New Roman" w:hAnsi="Times New Roman" w:cs="Times New Roman"/>
            <w:color w:val="000000" w:themeColor="text1"/>
            <w:sz w:val="16"/>
            <w:szCs w:val="16"/>
          </w:rPr>
          <w:t>psy</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ab</w:t>
        </w:r>
        <w:r w:rsidRPr="00C007FE">
          <w:rPr>
            <w:rStyle w:val="Hyperlink"/>
            <w:rFonts w:ascii="Times New Roman" w:hAnsi="Times New Roman" w:cs="Times New Roman"/>
            <w:color w:val="000000" w:themeColor="text1"/>
            <w:sz w:val="16"/>
            <w:szCs w:val="16"/>
            <w:lang w:val="bg-BG"/>
          </w:rPr>
          <w:t>..0.24.1992...0</w:t>
        </w:r>
        <w:r w:rsidRPr="00C007FE">
          <w:rPr>
            <w:rStyle w:val="Hyperlink"/>
            <w:rFonts w:ascii="Times New Roman" w:hAnsi="Times New Roman" w:cs="Times New Roman"/>
            <w:color w:val="000000" w:themeColor="text1"/>
            <w:sz w:val="16"/>
            <w:szCs w:val="16"/>
          </w:rPr>
          <w:t>j</w:t>
        </w:r>
        <w:r w:rsidRPr="00C007FE">
          <w:rPr>
            <w:rStyle w:val="Hyperlink"/>
            <w:rFonts w:ascii="Times New Roman" w:hAnsi="Times New Roman" w:cs="Times New Roman"/>
            <w:color w:val="000000" w:themeColor="text1"/>
            <w:sz w:val="16"/>
            <w:szCs w:val="16"/>
            <w:lang w:val="bg-BG"/>
          </w:rPr>
          <w:t>0</w:t>
        </w:r>
        <w:r w:rsidRPr="00C007FE">
          <w:rPr>
            <w:rStyle w:val="Hyperlink"/>
            <w:rFonts w:ascii="Times New Roman" w:hAnsi="Times New Roman" w:cs="Times New Roman"/>
            <w:color w:val="000000" w:themeColor="text1"/>
            <w:sz w:val="16"/>
            <w:szCs w:val="16"/>
          </w:rPr>
          <w:t>i</w:t>
        </w:r>
        <w:r w:rsidRPr="00C007FE">
          <w:rPr>
            <w:rStyle w:val="Hyperlink"/>
            <w:rFonts w:ascii="Times New Roman" w:hAnsi="Times New Roman" w:cs="Times New Roman"/>
            <w:color w:val="000000" w:themeColor="text1"/>
            <w:sz w:val="16"/>
            <w:szCs w:val="16"/>
            <w:lang w:val="bg-BG"/>
          </w:rPr>
          <w:t>131</w:t>
        </w:r>
        <w:r w:rsidRPr="00C007FE">
          <w:rPr>
            <w:rStyle w:val="Hyperlink"/>
            <w:rFonts w:ascii="Times New Roman" w:hAnsi="Times New Roman" w:cs="Times New Roman"/>
            <w:color w:val="000000" w:themeColor="text1"/>
            <w:sz w:val="16"/>
            <w:szCs w:val="16"/>
          </w:rPr>
          <w:t>k</w:t>
        </w:r>
        <w:r w:rsidRPr="00C007FE">
          <w:rPr>
            <w:rStyle w:val="Hyperlink"/>
            <w:rFonts w:ascii="Times New Roman" w:hAnsi="Times New Roman" w:cs="Times New Roman"/>
            <w:color w:val="000000" w:themeColor="text1"/>
            <w:sz w:val="16"/>
            <w:szCs w:val="16"/>
            <w:lang w:val="bg-BG"/>
          </w:rPr>
          <w:t>1</w:t>
        </w:r>
        <w:r w:rsidRPr="00C007FE">
          <w:rPr>
            <w:rStyle w:val="Hyperlink"/>
            <w:rFonts w:ascii="Times New Roman" w:hAnsi="Times New Roman" w:cs="Times New Roman"/>
            <w:color w:val="000000" w:themeColor="text1"/>
            <w:sz w:val="16"/>
            <w:szCs w:val="16"/>
          </w:rPr>
          <w:t>j</w:t>
        </w:r>
        <w:r w:rsidRPr="00C007FE">
          <w:rPr>
            <w:rStyle w:val="Hyperlink"/>
            <w:rFonts w:ascii="Times New Roman" w:hAnsi="Times New Roman" w:cs="Times New Roman"/>
            <w:color w:val="000000" w:themeColor="text1"/>
            <w:sz w:val="16"/>
            <w:szCs w:val="16"/>
            <w:lang w:val="bg-BG"/>
          </w:rPr>
          <w:t>0</w:t>
        </w:r>
        <w:r w:rsidRPr="00C007FE">
          <w:rPr>
            <w:rStyle w:val="Hyperlink"/>
            <w:rFonts w:ascii="Times New Roman" w:hAnsi="Times New Roman" w:cs="Times New Roman"/>
            <w:color w:val="000000" w:themeColor="text1"/>
            <w:sz w:val="16"/>
            <w:szCs w:val="16"/>
          </w:rPr>
          <w:t>i</w:t>
        </w:r>
        <w:r w:rsidRPr="00C007FE">
          <w:rPr>
            <w:rStyle w:val="Hyperlink"/>
            <w:rFonts w:ascii="Times New Roman" w:hAnsi="Times New Roman" w:cs="Times New Roman"/>
            <w:color w:val="000000" w:themeColor="text1"/>
            <w:sz w:val="16"/>
            <w:szCs w:val="16"/>
            <w:lang w:val="bg-BG"/>
          </w:rPr>
          <w:t>19</w:t>
        </w:r>
        <w:r w:rsidRPr="00C007FE">
          <w:rPr>
            <w:rStyle w:val="Hyperlink"/>
            <w:rFonts w:ascii="Times New Roman" w:hAnsi="Times New Roman" w:cs="Times New Roman"/>
            <w:color w:val="000000" w:themeColor="text1"/>
            <w:sz w:val="16"/>
            <w:szCs w:val="16"/>
          </w:rPr>
          <w:t>k</w:t>
        </w:r>
        <w:r w:rsidRPr="00C007FE">
          <w:rPr>
            <w:rStyle w:val="Hyperlink"/>
            <w:rFonts w:ascii="Times New Roman" w:hAnsi="Times New Roman" w:cs="Times New Roman"/>
            <w:color w:val="000000" w:themeColor="text1"/>
            <w:sz w:val="16"/>
            <w:szCs w:val="16"/>
            <w:lang w:val="bg-BG"/>
          </w:rPr>
          <w:t>1.</w:t>
        </w:r>
        <w:r w:rsidRPr="00C007FE">
          <w:rPr>
            <w:rStyle w:val="Hyperlink"/>
            <w:rFonts w:ascii="Times New Roman" w:hAnsi="Times New Roman" w:cs="Times New Roman"/>
            <w:color w:val="000000" w:themeColor="text1"/>
            <w:sz w:val="16"/>
            <w:szCs w:val="16"/>
          </w:rPr>
          <w:t>Eqcj</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vLxF</w:t>
        </w:r>
        <w:r w:rsidRPr="00C007FE">
          <w:rPr>
            <w:rStyle w:val="Hyperlink"/>
            <w:rFonts w:ascii="Times New Roman" w:hAnsi="Times New Roman" w:cs="Times New Roman"/>
            <w:color w:val="000000" w:themeColor="text1"/>
            <w:sz w:val="16"/>
            <w:szCs w:val="16"/>
            <w:lang w:val="bg-BG"/>
          </w:rPr>
          <w:t>58</w:t>
        </w:r>
      </w:hyperlink>
    </w:p>
  </w:footnote>
  <w:footnote w:id="5">
    <w:p w14:paraId="7C28F821" w14:textId="11199668" w:rsidR="00FF1217" w:rsidRPr="00C007FE" w:rsidRDefault="00FF1217">
      <w:pPr>
        <w:pStyle w:val="FootnoteText"/>
        <w:rPr>
          <w:rFonts w:ascii="Times New Roman" w:hAnsi="Times New Roman" w:cs="Times New Roman"/>
          <w:sz w:val="16"/>
          <w:szCs w:val="16"/>
          <w:lang w:val="en-GB"/>
        </w:rPr>
      </w:pPr>
      <w:r w:rsidRPr="00C007FE">
        <w:rPr>
          <w:rStyle w:val="FootnoteReference"/>
          <w:rFonts w:ascii="Times New Roman" w:hAnsi="Times New Roman" w:cs="Times New Roman"/>
          <w:sz w:val="16"/>
          <w:szCs w:val="16"/>
        </w:rPr>
        <w:footnoteRef/>
      </w:r>
      <w:r w:rsidRPr="00C007FE">
        <w:rPr>
          <w:rFonts w:ascii="Times New Roman" w:hAnsi="Times New Roman" w:cs="Times New Roman"/>
          <w:sz w:val="16"/>
          <w:szCs w:val="16"/>
        </w:rPr>
        <w:t xml:space="preserve"> UNEP (2016) “Stocktaking on Inclusive Green Economy in Central Asia and Mongolia: a Sub-Regional Perspective”, p.20</w:t>
      </w:r>
    </w:p>
  </w:footnote>
  <w:footnote w:id="6">
    <w:p w14:paraId="104C1CEB" w14:textId="166844F1" w:rsidR="00FF1217" w:rsidRPr="00C007FE" w:rsidRDefault="00FF1217" w:rsidP="00E44112">
      <w:pPr>
        <w:pStyle w:val="FootnoteText"/>
        <w:rPr>
          <w:rFonts w:ascii="Times New Roman" w:hAnsi="Times New Roman" w:cs="Times New Roman"/>
          <w:sz w:val="16"/>
          <w:szCs w:val="16"/>
        </w:rPr>
      </w:pPr>
      <w:r w:rsidRPr="00C007FE">
        <w:rPr>
          <w:rStyle w:val="FootnoteReference"/>
          <w:rFonts w:ascii="Times New Roman" w:hAnsi="Times New Roman" w:cs="Times New Roman"/>
          <w:sz w:val="16"/>
          <w:szCs w:val="16"/>
        </w:rPr>
        <w:footnoteRef/>
      </w:r>
      <w:r w:rsidRPr="00C007FE">
        <w:rPr>
          <w:rFonts w:ascii="Times New Roman" w:hAnsi="Times New Roman" w:cs="Times New Roman"/>
          <w:sz w:val="16"/>
          <w:szCs w:val="16"/>
        </w:rPr>
        <w:t xml:space="preserve"> Ibid, p.27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931430"/>
      <w:docPartObj>
        <w:docPartGallery w:val="Page Numbers (Top of Page)"/>
        <w:docPartUnique/>
      </w:docPartObj>
    </w:sdtPr>
    <w:sdtEndPr>
      <w:rPr>
        <w:noProof/>
      </w:rPr>
    </w:sdtEndPr>
    <w:sdtContent>
      <w:p w14:paraId="21BA00EE" w14:textId="77777777" w:rsidR="00FF1217" w:rsidRDefault="00FF1217">
        <w:pPr>
          <w:pStyle w:val="Header"/>
          <w:jc w:val="center"/>
        </w:pPr>
      </w:p>
      <w:p w14:paraId="50C8DEAD" w14:textId="2D4D86AF" w:rsidR="00FF1217" w:rsidRDefault="00FF1217">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14:paraId="6C2BF169" w14:textId="77777777" w:rsidR="00FF1217" w:rsidRDefault="00FF1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Ind w:w="-252" w:type="dxa"/>
      <w:tblBorders>
        <w:insideH w:val="single" w:sz="4" w:space="0" w:color="auto"/>
      </w:tblBorders>
      <w:tblLayout w:type="fixed"/>
      <w:tblLook w:val="0000" w:firstRow="0" w:lastRow="0" w:firstColumn="0" w:lastColumn="0" w:noHBand="0" w:noVBand="0"/>
    </w:tblPr>
    <w:tblGrid>
      <w:gridCol w:w="3780"/>
      <w:gridCol w:w="1980"/>
      <w:gridCol w:w="4140"/>
    </w:tblGrid>
    <w:tr w:rsidR="00FF1217" w:rsidRPr="00FF1217" w14:paraId="40FFDD7E" w14:textId="77777777" w:rsidTr="00FF1217">
      <w:tc>
        <w:tcPr>
          <w:tcW w:w="3780" w:type="dxa"/>
        </w:tcPr>
        <w:p w14:paraId="656C421B" w14:textId="77777777" w:rsidR="00FF1217" w:rsidRPr="00FF1217" w:rsidRDefault="00FF1217" w:rsidP="00FF1217">
          <w:pPr>
            <w:pStyle w:val="Heading4"/>
            <w:ind w:left="-108" w:right="0"/>
          </w:pPr>
          <w:bookmarkStart w:id="1" w:name="_Hlk523635380"/>
          <w:r w:rsidRPr="00FF1217">
            <w:t>UNECE</w:t>
          </w:r>
        </w:p>
        <w:p w14:paraId="0530EBB7" w14:textId="77777777" w:rsidR="00FF1217" w:rsidRPr="00FF1217" w:rsidRDefault="00FF1217" w:rsidP="00FF1217">
          <w:pPr>
            <w:tabs>
              <w:tab w:val="center" w:pos="6521"/>
            </w:tabs>
            <w:spacing w:after="0" w:line="240" w:lineRule="auto"/>
            <w:ind w:left="-108"/>
            <w:rPr>
              <w:rFonts w:ascii="Times New Roman" w:hAnsi="Times New Roman" w:cs="Times New Roman"/>
              <w:sz w:val="24"/>
              <w:szCs w:val="24"/>
            </w:rPr>
          </w:pPr>
          <w:r w:rsidRPr="00FF1217">
            <w:rPr>
              <w:rFonts w:ascii="Times New Roman" w:hAnsi="Times New Roman" w:cs="Times New Roman"/>
              <w:b/>
              <w:bCs/>
              <w:sz w:val="24"/>
              <w:szCs w:val="24"/>
            </w:rPr>
            <w:t>United Nations Economic Commission for Europe</w:t>
          </w:r>
        </w:p>
      </w:tc>
      <w:tc>
        <w:tcPr>
          <w:tcW w:w="1980" w:type="dxa"/>
        </w:tcPr>
        <w:p w14:paraId="40CF8028" w14:textId="78EC31EF" w:rsidR="00FF1217" w:rsidRPr="00FF1217" w:rsidRDefault="00FF1217" w:rsidP="00FF1217">
          <w:pPr>
            <w:tabs>
              <w:tab w:val="center" w:pos="6521"/>
            </w:tabs>
            <w:spacing w:after="0" w:line="240" w:lineRule="auto"/>
            <w:ind w:left="-108" w:right="-108"/>
            <w:jc w:val="center"/>
            <w:rPr>
              <w:rFonts w:ascii="Times New Roman" w:hAnsi="Times New Roman" w:cs="Times New Roman"/>
              <w:b/>
              <w:bCs/>
              <w:sz w:val="24"/>
              <w:szCs w:val="24"/>
            </w:rPr>
          </w:pPr>
          <w:r w:rsidRPr="00FF1217">
            <w:rPr>
              <w:rFonts w:ascii="Times New Roman" w:hAnsi="Times New Roman" w:cs="Times New Roman"/>
              <w:noProof/>
              <w:sz w:val="24"/>
              <w:szCs w:val="24"/>
            </w:rPr>
            <w:drawing>
              <wp:inline distT="0" distB="0" distL="0" distR="0" wp14:anchorId="50519920" wp14:editId="6009F440">
                <wp:extent cx="871220" cy="70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738" t="-70" r="-7568" b="-70"/>
                        <a:stretch>
                          <a:fillRect/>
                        </a:stretch>
                      </pic:blipFill>
                      <pic:spPr bwMode="auto">
                        <a:xfrm>
                          <a:off x="0" y="0"/>
                          <a:ext cx="871220" cy="707390"/>
                        </a:xfrm>
                        <a:prstGeom prst="rect">
                          <a:avLst/>
                        </a:prstGeom>
                        <a:noFill/>
                        <a:ln>
                          <a:noFill/>
                        </a:ln>
                      </pic:spPr>
                    </pic:pic>
                  </a:graphicData>
                </a:graphic>
              </wp:inline>
            </w:drawing>
          </w:r>
        </w:p>
      </w:tc>
      <w:tc>
        <w:tcPr>
          <w:tcW w:w="4140" w:type="dxa"/>
        </w:tcPr>
        <w:p w14:paraId="73744C9B" w14:textId="77777777" w:rsidR="00FF1217" w:rsidRPr="00FF1217" w:rsidRDefault="00FF1217" w:rsidP="00FF1217">
          <w:pPr>
            <w:tabs>
              <w:tab w:val="center" w:pos="6521"/>
            </w:tabs>
            <w:spacing w:after="0" w:line="240" w:lineRule="auto"/>
            <w:ind w:left="-108"/>
            <w:jc w:val="right"/>
            <w:rPr>
              <w:rFonts w:ascii="Times New Roman" w:hAnsi="Times New Roman" w:cs="Times New Roman"/>
              <w:b/>
              <w:bCs/>
              <w:sz w:val="24"/>
              <w:szCs w:val="24"/>
            </w:rPr>
          </w:pPr>
          <w:r w:rsidRPr="00FF1217">
            <w:rPr>
              <w:rFonts w:ascii="Times New Roman" w:hAnsi="Times New Roman" w:cs="Times New Roman"/>
              <w:b/>
              <w:bCs/>
              <w:sz w:val="24"/>
              <w:szCs w:val="24"/>
            </w:rPr>
            <w:t>ESCAP</w:t>
          </w:r>
        </w:p>
        <w:p w14:paraId="4FABBA7D" w14:textId="77777777" w:rsidR="00FF1217" w:rsidRPr="00FF1217" w:rsidRDefault="00FF1217" w:rsidP="00FF1217">
          <w:pPr>
            <w:tabs>
              <w:tab w:val="center" w:pos="6521"/>
            </w:tabs>
            <w:spacing w:after="0" w:line="240" w:lineRule="auto"/>
            <w:ind w:left="-108"/>
            <w:jc w:val="right"/>
            <w:rPr>
              <w:rFonts w:ascii="Times New Roman" w:hAnsi="Times New Roman" w:cs="Times New Roman"/>
              <w:b/>
              <w:bCs/>
              <w:sz w:val="24"/>
              <w:szCs w:val="24"/>
            </w:rPr>
          </w:pPr>
          <w:r w:rsidRPr="00FF1217">
            <w:rPr>
              <w:rFonts w:ascii="Times New Roman" w:hAnsi="Times New Roman" w:cs="Times New Roman"/>
              <w:b/>
              <w:bCs/>
              <w:sz w:val="24"/>
              <w:szCs w:val="24"/>
            </w:rPr>
            <w:t>United Nations Economic and Social</w:t>
          </w:r>
        </w:p>
        <w:p w14:paraId="0A1E21B5" w14:textId="77777777" w:rsidR="00FF1217" w:rsidRPr="00FF1217" w:rsidRDefault="00FF1217" w:rsidP="00FF1217">
          <w:pPr>
            <w:pStyle w:val="Heading8"/>
            <w:ind w:left="-108"/>
          </w:pPr>
          <w:r w:rsidRPr="00FF1217">
            <w:t xml:space="preserve"> Commission for Asia and the Pacific</w:t>
          </w:r>
        </w:p>
      </w:tc>
    </w:tr>
    <w:bookmarkEnd w:id="1"/>
  </w:tbl>
  <w:p w14:paraId="7F4D7794" w14:textId="77777777" w:rsidR="00FF1217" w:rsidRPr="00FF1217" w:rsidRDefault="00FF1217" w:rsidP="00FF121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D12"/>
    <w:multiLevelType w:val="hybridMultilevel"/>
    <w:tmpl w:val="498A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10FEA"/>
    <w:multiLevelType w:val="hybridMultilevel"/>
    <w:tmpl w:val="81529234"/>
    <w:lvl w:ilvl="0" w:tplc="0809000F">
      <w:start w:val="1"/>
      <w:numFmt w:val="decimal"/>
      <w:lvlText w:val="%1."/>
      <w:lvlJc w:val="left"/>
      <w:pPr>
        <w:ind w:left="786" w:hanging="360"/>
      </w:pPr>
    </w:lvl>
    <w:lvl w:ilvl="1" w:tplc="0809000F">
      <w:start w:val="1"/>
      <w:numFmt w:val="decimal"/>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AB13B9F"/>
    <w:multiLevelType w:val="hybridMultilevel"/>
    <w:tmpl w:val="E5EA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1EEB"/>
    <w:multiLevelType w:val="hybridMultilevel"/>
    <w:tmpl w:val="D4A2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734F4"/>
    <w:multiLevelType w:val="hybridMultilevel"/>
    <w:tmpl w:val="63228F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65B01"/>
    <w:multiLevelType w:val="hybridMultilevel"/>
    <w:tmpl w:val="63228F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D2FA1"/>
    <w:multiLevelType w:val="hybridMultilevel"/>
    <w:tmpl w:val="F4D4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40132"/>
    <w:multiLevelType w:val="hybridMultilevel"/>
    <w:tmpl w:val="2EC0E76A"/>
    <w:lvl w:ilvl="0" w:tplc="F00E132E">
      <w:numFmt w:val="bullet"/>
      <w:lvlText w:val="-"/>
      <w:lvlJc w:val="left"/>
      <w:pPr>
        <w:ind w:left="1494" w:hanging="360"/>
      </w:pPr>
      <w:rPr>
        <w:rFonts w:ascii="Courier New" w:eastAsia="Times New Roman" w:hAnsi="Courier New" w:cs="Courier New"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8" w15:restartNumberingAfterBreak="0">
    <w:nsid w:val="498A6BCE"/>
    <w:multiLevelType w:val="hybridMultilevel"/>
    <w:tmpl w:val="4BB022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224F5B"/>
    <w:multiLevelType w:val="hybridMultilevel"/>
    <w:tmpl w:val="63228F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282B80"/>
    <w:multiLevelType w:val="hybridMultilevel"/>
    <w:tmpl w:val="598237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83876"/>
    <w:multiLevelType w:val="hybridMultilevel"/>
    <w:tmpl w:val="A04A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0047D"/>
    <w:multiLevelType w:val="hybridMultilevel"/>
    <w:tmpl w:val="9FE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E4834"/>
    <w:multiLevelType w:val="hybridMultilevel"/>
    <w:tmpl w:val="7C7ACB16"/>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4"/>
  </w:num>
  <w:num w:numId="3">
    <w:abstractNumId w:val="9"/>
  </w:num>
  <w:num w:numId="4">
    <w:abstractNumId w:val="12"/>
  </w:num>
  <w:num w:numId="5">
    <w:abstractNumId w:val="3"/>
  </w:num>
  <w:num w:numId="6">
    <w:abstractNumId w:val="10"/>
  </w:num>
  <w:num w:numId="7">
    <w:abstractNumId w:val="6"/>
  </w:num>
  <w:num w:numId="8">
    <w:abstractNumId w:val="0"/>
  </w:num>
  <w:num w:numId="9">
    <w:abstractNumId w:val="13"/>
  </w:num>
  <w:num w:numId="10">
    <w:abstractNumId w:val="7"/>
  </w:num>
  <w:num w:numId="11">
    <w:abstractNumId w:val="11"/>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BB"/>
    <w:rsid w:val="00013F21"/>
    <w:rsid w:val="00017430"/>
    <w:rsid w:val="00024C73"/>
    <w:rsid w:val="00071571"/>
    <w:rsid w:val="000C1579"/>
    <w:rsid w:val="000E49CB"/>
    <w:rsid w:val="001037F0"/>
    <w:rsid w:val="001057E9"/>
    <w:rsid w:val="00116B49"/>
    <w:rsid w:val="001237F4"/>
    <w:rsid w:val="00143BF8"/>
    <w:rsid w:val="00155B38"/>
    <w:rsid w:val="001749EF"/>
    <w:rsid w:val="00182FFC"/>
    <w:rsid w:val="00186AAC"/>
    <w:rsid w:val="001E7780"/>
    <w:rsid w:val="002056D7"/>
    <w:rsid w:val="00242C77"/>
    <w:rsid w:val="002558D3"/>
    <w:rsid w:val="002A1BA3"/>
    <w:rsid w:val="002B1B76"/>
    <w:rsid w:val="002B214D"/>
    <w:rsid w:val="002D6665"/>
    <w:rsid w:val="002D7745"/>
    <w:rsid w:val="002F5FE5"/>
    <w:rsid w:val="00303671"/>
    <w:rsid w:val="003111AB"/>
    <w:rsid w:val="00326CFA"/>
    <w:rsid w:val="00345FB6"/>
    <w:rsid w:val="00393128"/>
    <w:rsid w:val="003A0AE9"/>
    <w:rsid w:val="003D6DE2"/>
    <w:rsid w:val="003E2B8C"/>
    <w:rsid w:val="00401B96"/>
    <w:rsid w:val="004107CC"/>
    <w:rsid w:val="00416E9D"/>
    <w:rsid w:val="00447DF4"/>
    <w:rsid w:val="004771FB"/>
    <w:rsid w:val="004B1557"/>
    <w:rsid w:val="004B163C"/>
    <w:rsid w:val="004C69A7"/>
    <w:rsid w:val="004E2B16"/>
    <w:rsid w:val="00514016"/>
    <w:rsid w:val="005404B8"/>
    <w:rsid w:val="0054199E"/>
    <w:rsid w:val="005665E4"/>
    <w:rsid w:val="005E1C90"/>
    <w:rsid w:val="006074D1"/>
    <w:rsid w:val="00621868"/>
    <w:rsid w:val="00651134"/>
    <w:rsid w:val="00657E5D"/>
    <w:rsid w:val="00665D59"/>
    <w:rsid w:val="006C4358"/>
    <w:rsid w:val="007024C8"/>
    <w:rsid w:val="0070582A"/>
    <w:rsid w:val="007561B4"/>
    <w:rsid w:val="0076552F"/>
    <w:rsid w:val="00766B0C"/>
    <w:rsid w:val="007863F4"/>
    <w:rsid w:val="007955FD"/>
    <w:rsid w:val="007A1A43"/>
    <w:rsid w:val="007A2D38"/>
    <w:rsid w:val="007B1901"/>
    <w:rsid w:val="007C3EF1"/>
    <w:rsid w:val="0085335C"/>
    <w:rsid w:val="00887015"/>
    <w:rsid w:val="008C09CC"/>
    <w:rsid w:val="008D4810"/>
    <w:rsid w:val="008D5146"/>
    <w:rsid w:val="008E68C1"/>
    <w:rsid w:val="00901F9B"/>
    <w:rsid w:val="0099156B"/>
    <w:rsid w:val="00993051"/>
    <w:rsid w:val="009A7DCE"/>
    <w:rsid w:val="009D5171"/>
    <w:rsid w:val="009E3677"/>
    <w:rsid w:val="00A10E22"/>
    <w:rsid w:val="00A46C3C"/>
    <w:rsid w:val="00A53865"/>
    <w:rsid w:val="00AA06C0"/>
    <w:rsid w:val="00AE0D48"/>
    <w:rsid w:val="00AF0DB8"/>
    <w:rsid w:val="00AF6BA8"/>
    <w:rsid w:val="00B44E07"/>
    <w:rsid w:val="00B565D4"/>
    <w:rsid w:val="00B60053"/>
    <w:rsid w:val="00B729BB"/>
    <w:rsid w:val="00B812AB"/>
    <w:rsid w:val="00B91554"/>
    <w:rsid w:val="00BA750C"/>
    <w:rsid w:val="00C007FE"/>
    <w:rsid w:val="00C04980"/>
    <w:rsid w:val="00C1094D"/>
    <w:rsid w:val="00C3489B"/>
    <w:rsid w:val="00C94B7E"/>
    <w:rsid w:val="00CE742C"/>
    <w:rsid w:val="00CF086A"/>
    <w:rsid w:val="00CF0FFE"/>
    <w:rsid w:val="00D00018"/>
    <w:rsid w:val="00D02E02"/>
    <w:rsid w:val="00D0393E"/>
    <w:rsid w:val="00D0740F"/>
    <w:rsid w:val="00D1069E"/>
    <w:rsid w:val="00D41ECF"/>
    <w:rsid w:val="00D84A99"/>
    <w:rsid w:val="00DA0476"/>
    <w:rsid w:val="00DB1872"/>
    <w:rsid w:val="00DC0173"/>
    <w:rsid w:val="00DC1425"/>
    <w:rsid w:val="00DC7B2B"/>
    <w:rsid w:val="00DE5CC1"/>
    <w:rsid w:val="00DE7DDA"/>
    <w:rsid w:val="00E3596D"/>
    <w:rsid w:val="00E44112"/>
    <w:rsid w:val="00E92300"/>
    <w:rsid w:val="00EE4DB9"/>
    <w:rsid w:val="00EF35CA"/>
    <w:rsid w:val="00F128F3"/>
    <w:rsid w:val="00F50EB0"/>
    <w:rsid w:val="00F5746C"/>
    <w:rsid w:val="00F837A7"/>
    <w:rsid w:val="00F96D51"/>
    <w:rsid w:val="00FC0147"/>
    <w:rsid w:val="00FC312F"/>
    <w:rsid w:val="00FD3853"/>
    <w:rsid w:val="00FE1DA2"/>
    <w:rsid w:val="00FE7AA8"/>
    <w:rsid w:val="00FF12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A30F56"/>
  <w15:chartTrackingRefBased/>
  <w15:docId w15:val="{8E207E8B-C5BD-4D6F-A400-EE98A2BF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303671"/>
    <w:pPr>
      <w:keepNext/>
      <w:tabs>
        <w:tab w:val="center" w:pos="6521"/>
      </w:tabs>
      <w:spacing w:after="0" w:line="240" w:lineRule="auto"/>
      <w:ind w:left="-72" w:right="256"/>
      <w:jc w:val="both"/>
      <w:outlineLvl w:val="3"/>
    </w:pPr>
    <w:rPr>
      <w:rFonts w:ascii="Times New Roman" w:eastAsia="Batang" w:hAnsi="Times New Roman" w:cs="Times New Roman"/>
      <w:b/>
      <w:bCs/>
      <w:sz w:val="24"/>
      <w:szCs w:val="24"/>
      <w:lang w:val="en-GB"/>
    </w:rPr>
  </w:style>
  <w:style w:type="paragraph" w:styleId="Heading8">
    <w:name w:val="heading 8"/>
    <w:basedOn w:val="Normal"/>
    <w:next w:val="Normal"/>
    <w:link w:val="Heading8Char"/>
    <w:qFormat/>
    <w:rsid w:val="00303671"/>
    <w:pPr>
      <w:keepNext/>
      <w:tabs>
        <w:tab w:val="center" w:pos="6521"/>
      </w:tabs>
      <w:spacing w:after="0" w:line="240" w:lineRule="auto"/>
      <w:jc w:val="right"/>
      <w:outlineLvl w:val="7"/>
    </w:pPr>
    <w:rPr>
      <w:rFonts w:ascii="Times New Roman" w:eastAsia="Batang"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9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unhideWhenUsed/>
    <w:rsid w:val="00B729BB"/>
    <w:pPr>
      <w:spacing w:after="0" w:line="240" w:lineRule="auto"/>
    </w:pPr>
    <w:rPr>
      <w:sz w:val="20"/>
      <w:szCs w:val="20"/>
    </w:rPr>
  </w:style>
  <w:style w:type="character" w:customStyle="1" w:styleId="FootnoteTextChar">
    <w:name w:val="Footnote Text Char"/>
    <w:basedOn w:val="DefaultParagraphFont"/>
    <w:link w:val="FootnoteText"/>
    <w:uiPriority w:val="99"/>
    <w:rsid w:val="00B729BB"/>
    <w:rPr>
      <w:sz w:val="20"/>
      <w:szCs w:val="20"/>
    </w:rPr>
  </w:style>
  <w:style w:type="character" w:styleId="FootnoteReference">
    <w:name w:val="footnote reference"/>
    <w:basedOn w:val="DefaultParagraphFont"/>
    <w:uiPriority w:val="99"/>
    <w:semiHidden/>
    <w:unhideWhenUsed/>
    <w:rsid w:val="00B729BB"/>
    <w:rPr>
      <w:vertAlign w:val="superscript"/>
    </w:rPr>
  </w:style>
  <w:style w:type="character" w:styleId="Hyperlink">
    <w:name w:val="Hyperlink"/>
    <w:basedOn w:val="DefaultParagraphFont"/>
    <w:uiPriority w:val="99"/>
    <w:unhideWhenUsed/>
    <w:rsid w:val="00182FFC"/>
    <w:rPr>
      <w:color w:val="0563C1" w:themeColor="hyperlink"/>
      <w:u w:val="single"/>
    </w:rPr>
  </w:style>
  <w:style w:type="paragraph" w:styleId="BalloonText">
    <w:name w:val="Balloon Text"/>
    <w:basedOn w:val="Normal"/>
    <w:link w:val="BalloonTextChar"/>
    <w:uiPriority w:val="99"/>
    <w:semiHidden/>
    <w:unhideWhenUsed/>
    <w:rsid w:val="0018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AC"/>
    <w:rPr>
      <w:rFonts w:ascii="Segoe UI" w:hAnsi="Segoe UI" w:cs="Segoe UI"/>
      <w:sz w:val="18"/>
      <w:szCs w:val="18"/>
    </w:rPr>
  </w:style>
  <w:style w:type="paragraph" w:styleId="ListParagraph">
    <w:name w:val="List Paragraph"/>
    <w:basedOn w:val="Normal"/>
    <w:uiPriority w:val="34"/>
    <w:qFormat/>
    <w:rsid w:val="00F5746C"/>
    <w:pPr>
      <w:ind w:left="720"/>
      <w:contextualSpacing/>
    </w:pPr>
  </w:style>
  <w:style w:type="character" w:styleId="CommentReference">
    <w:name w:val="annotation reference"/>
    <w:basedOn w:val="DefaultParagraphFont"/>
    <w:uiPriority w:val="99"/>
    <w:semiHidden/>
    <w:unhideWhenUsed/>
    <w:rsid w:val="00CF086A"/>
    <w:rPr>
      <w:sz w:val="16"/>
      <w:szCs w:val="16"/>
    </w:rPr>
  </w:style>
  <w:style w:type="paragraph" w:styleId="CommentText">
    <w:name w:val="annotation text"/>
    <w:basedOn w:val="Normal"/>
    <w:link w:val="CommentTextChar"/>
    <w:uiPriority w:val="99"/>
    <w:semiHidden/>
    <w:unhideWhenUsed/>
    <w:rsid w:val="00CF086A"/>
    <w:pPr>
      <w:spacing w:after="0" w:line="240" w:lineRule="auto"/>
      <w:ind w:left="1134" w:right="680"/>
    </w:pPr>
    <w:rPr>
      <w:rFonts w:ascii="Courier New" w:eastAsia="Times New Roman" w:hAnsi="Courier New" w:cs="Times New Roman"/>
      <w:spacing w:val="-2"/>
      <w:w w:val="99"/>
      <w:kern w:val="22"/>
      <w:sz w:val="20"/>
      <w:szCs w:val="20"/>
    </w:rPr>
  </w:style>
  <w:style w:type="character" w:customStyle="1" w:styleId="CommentTextChar">
    <w:name w:val="Comment Text Char"/>
    <w:basedOn w:val="DefaultParagraphFont"/>
    <w:link w:val="CommentText"/>
    <w:uiPriority w:val="99"/>
    <w:semiHidden/>
    <w:rsid w:val="00CF086A"/>
    <w:rPr>
      <w:rFonts w:ascii="Courier New" w:eastAsia="Times New Roman" w:hAnsi="Courier New" w:cs="Times New Roman"/>
      <w:spacing w:val="-2"/>
      <w:w w:val="99"/>
      <w:kern w:val="22"/>
      <w:sz w:val="20"/>
      <w:szCs w:val="20"/>
    </w:rPr>
  </w:style>
  <w:style w:type="paragraph" w:styleId="CommentSubject">
    <w:name w:val="annotation subject"/>
    <w:basedOn w:val="CommentText"/>
    <w:next w:val="CommentText"/>
    <w:link w:val="CommentSubjectChar"/>
    <w:uiPriority w:val="99"/>
    <w:semiHidden/>
    <w:unhideWhenUsed/>
    <w:rsid w:val="004E2B16"/>
    <w:pPr>
      <w:spacing w:after="160"/>
      <w:ind w:left="0" w:right="0"/>
    </w:pPr>
    <w:rPr>
      <w:rFonts w:asciiTheme="minorHAnsi" w:eastAsiaTheme="minorHAnsi" w:hAnsiTheme="minorHAnsi" w:cstheme="minorBidi"/>
      <w:b/>
      <w:bCs/>
      <w:spacing w:val="0"/>
      <w:w w:val="100"/>
      <w:kern w:val="0"/>
    </w:rPr>
  </w:style>
  <w:style w:type="character" w:customStyle="1" w:styleId="CommentSubjectChar">
    <w:name w:val="Comment Subject Char"/>
    <w:basedOn w:val="CommentTextChar"/>
    <w:link w:val="CommentSubject"/>
    <w:uiPriority w:val="99"/>
    <w:semiHidden/>
    <w:rsid w:val="004E2B16"/>
    <w:rPr>
      <w:rFonts w:ascii="Courier New" w:eastAsia="Times New Roman" w:hAnsi="Courier New" w:cs="Times New Roman"/>
      <w:b/>
      <w:bCs/>
      <w:spacing w:val="-2"/>
      <w:w w:val="99"/>
      <w:kern w:val="22"/>
      <w:sz w:val="20"/>
      <w:szCs w:val="20"/>
    </w:rPr>
  </w:style>
  <w:style w:type="paragraph" w:styleId="Header">
    <w:name w:val="header"/>
    <w:basedOn w:val="Normal"/>
    <w:link w:val="HeaderChar"/>
    <w:uiPriority w:val="99"/>
    <w:unhideWhenUsed/>
    <w:rsid w:val="00A53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865"/>
  </w:style>
  <w:style w:type="paragraph" w:styleId="Footer">
    <w:name w:val="footer"/>
    <w:basedOn w:val="Normal"/>
    <w:link w:val="FooterChar"/>
    <w:uiPriority w:val="99"/>
    <w:unhideWhenUsed/>
    <w:rsid w:val="00A53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865"/>
  </w:style>
  <w:style w:type="paragraph" w:styleId="Caption">
    <w:name w:val="caption"/>
    <w:basedOn w:val="Normal"/>
    <w:next w:val="Normal"/>
    <w:uiPriority w:val="35"/>
    <w:unhideWhenUsed/>
    <w:qFormat/>
    <w:rsid w:val="002056D7"/>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B565D4"/>
    <w:rPr>
      <w:color w:val="954F72" w:themeColor="followedHyperlink"/>
      <w:u w:val="single"/>
    </w:rPr>
  </w:style>
  <w:style w:type="table" w:styleId="TableGrid">
    <w:name w:val="Table Grid"/>
    <w:basedOn w:val="TableNormal"/>
    <w:uiPriority w:val="39"/>
    <w:rsid w:val="0088701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03671"/>
    <w:rPr>
      <w:rFonts w:ascii="Times New Roman" w:eastAsia="Batang" w:hAnsi="Times New Roman" w:cs="Times New Roman"/>
      <w:b/>
      <w:bCs/>
      <w:sz w:val="24"/>
      <w:szCs w:val="24"/>
      <w:lang w:val="en-GB"/>
    </w:rPr>
  </w:style>
  <w:style w:type="character" w:customStyle="1" w:styleId="Heading8Char">
    <w:name w:val="Heading 8 Char"/>
    <w:basedOn w:val="DefaultParagraphFont"/>
    <w:link w:val="Heading8"/>
    <w:rsid w:val="00303671"/>
    <w:rPr>
      <w:rFonts w:ascii="Times New Roman" w:eastAsia="Batang"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80705">
      <w:bodyDiv w:val="1"/>
      <w:marLeft w:val="0"/>
      <w:marRight w:val="0"/>
      <w:marTop w:val="0"/>
      <w:marBottom w:val="0"/>
      <w:divBdr>
        <w:top w:val="none" w:sz="0" w:space="0" w:color="auto"/>
        <w:left w:val="none" w:sz="0" w:space="0" w:color="auto"/>
        <w:bottom w:val="none" w:sz="0" w:space="0" w:color="auto"/>
        <w:right w:val="none" w:sz="0" w:space="0" w:color="auto"/>
      </w:divBdr>
    </w:div>
    <w:div w:id="5578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h/search?site=&amp;source=hp&amp;q=GDP+growth+in+Azerbaijan&amp;oq=GDP+growth+in+Azerbaijan&amp;gs_l=psy-ab.3..0i22i30k1l4.1626.7558.0.7875.24.24.0.0.0.0.160.2002.21j3.24.0....0...1.1.64.psy-ab..0.24.1992...0j0i131k1j0i19k1.Eqcj-vLxF58" TargetMode="External"/><Relationship Id="rId1" Type="http://schemas.openxmlformats.org/officeDocument/2006/relationships/hyperlink" Target="https://sustainabledevelopment.un.org/frameworks/addisababaactionagend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nece-fs1.unog.un.org\data\Shares\Groups\Trade\05-Exchange%20(CC)\Mario\Regional%20Adviser\SPECA\SPECA%20WG%20on%20Trade\11%20Geneva%20July%202017\background%20paper\statistics\SPECA_by_Partners%20patterns%202017%20Alin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i="0">
                <a:solidFill>
                  <a:sysClr val="windowText" lastClr="000000"/>
                </a:solidFill>
                <a:latin typeface="Times New Roman" panose="02020603050405020304" pitchFamily="18" charset="0"/>
                <a:cs typeface="Times New Roman" panose="02020603050405020304" pitchFamily="18" charset="0"/>
              </a:rPr>
              <a:t>Figure 4</a:t>
            </a:r>
            <a:r>
              <a:rPr lang="en-GB" sz="1200" i="1">
                <a:solidFill>
                  <a:sysClr val="windowText" lastClr="000000"/>
                </a:solidFill>
                <a:latin typeface="Times New Roman" panose="02020603050405020304" pitchFamily="18" charset="0"/>
                <a:cs typeface="Times New Roman" panose="02020603050405020304" pitchFamily="18" charset="0"/>
              </a:rPr>
              <a:t>: Share</a:t>
            </a:r>
            <a:r>
              <a:rPr lang="en-GB" sz="1200" i="1" baseline="0">
                <a:solidFill>
                  <a:sysClr val="windowText" lastClr="000000"/>
                </a:solidFill>
                <a:latin typeface="Times New Roman" panose="02020603050405020304" pitchFamily="18" charset="0"/>
                <a:cs typeface="Times New Roman" panose="02020603050405020304" pitchFamily="18" charset="0"/>
              </a:rPr>
              <a:t> in  world exports</a:t>
            </a:r>
            <a:endParaRPr lang="en-GB" sz="1200" i="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PivotRawData!$A$38</c:f>
              <c:strCache>
                <c:ptCount val="1"/>
                <c:pt idx="0">
                  <c:v>2014</c:v>
                </c:pt>
              </c:strCache>
            </c:strRef>
          </c:tx>
          <c:spPr>
            <a:solidFill>
              <a:schemeClr val="accent1"/>
            </a:solidFill>
            <a:ln>
              <a:noFill/>
            </a:ln>
            <a:effectLst/>
          </c:spPr>
          <c:invertIfNegative val="0"/>
          <c:cat>
            <c:strRef>
              <c:f>PivotRawData!$B$37:$O$37</c:f>
              <c:strCache>
                <c:ptCount val="14"/>
                <c:pt idx="0">
                  <c:v>          Afghanistan</c:v>
                </c:pt>
                <c:pt idx="2">
                  <c:v>          Azerbaijan</c:v>
                </c:pt>
                <c:pt idx="4">
                  <c:v>          Kazakhstan</c:v>
                </c:pt>
                <c:pt idx="6">
                  <c:v>          Kyrgyzstan</c:v>
                </c:pt>
                <c:pt idx="8">
                  <c:v>          Tajikistan</c:v>
                </c:pt>
                <c:pt idx="10">
                  <c:v>          Turkmenistan</c:v>
                </c:pt>
                <c:pt idx="12">
                  <c:v>          Uzbekistan</c:v>
                </c:pt>
                <c:pt idx="13">
                  <c:v> All SPECA</c:v>
                </c:pt>
              </c:strCache>
            </c:strRef>
          </c:cat>
          <c:val>
            <c:numRef>
              <c:f>PivotRawData!$B$38:$O$38</c:f>
              <c:numCache>
                <c:formatCode>General</c:formatCode>
                <c:ptCount val="14"/>
                <c:pt idx="0">
                  <c:v>3.0083572088280891E-3</c:v>
                </c:pt>
                <c:pt idx="2">
                  <c:v>0.14900962715799115</c:v>
                </c:pt>
                <c:pt idx="3">
                  <c:v>0</c:v>
                </c:pt>
                <c:pt idx="4">
                  <c:v>0.41897643323379802</c:v>
                </c:pt>
                <c:pt idx="5">
                  <c:v>0</c:v>
                </c:pt>
                <c:pt idx="6">
                  <c:v>9.902299548753395E-3</c:v>
                </c:pt>
                <c:pt idx="7">
                  <c:v>0</c:v>
                </c:pt>
                <c:pt idx="8">
                  <c:v>5.05797304642297E-3</c:v>
                </c:pt>
                <c:pt idx="9">
                  <c:v>0</c:v>
                </c:pt>
                <c:pt idx="10">
                  <c:v>9.2275396653821798E-2</c:v>
                </c:pt>
                <c:pt idx="11">
                  <c:v>0</c:v>
                </c:pt>
                <c:pt idx="12">
                  <c:v>6.06381178010829E-2</c:v>
                </c:pt>
                <c:pt idx="13">
                  <c:v>0.73886820465069836</c:v>
                </c:pt>
              </c:numCache>
            </c:numRef>
          </c:val>
          <c:extLst>
            <c:ext xmlns:c16="http://schemas.microsoft.com/office/drawing/2014/chart" uri="{C3380CC4-5D6E-409C-BE32-E72D297353CC}">
              <c16:uniqueId val="{00000000-803B-4E91-BB42-0A615A6F08FB}"/>
            </c:ext>
          </c:extLst>
        </c:ser>
        <c:ser>
          <c:idx val="1"/>
          <c:order val="1"/>
          <c:tx>
            <c:strRef>
              <c:f>PivotRawData!$A$39</c:f>
              <c:strCache>
                <c:ptCount val="1"/>
                <c:pt idx="0">
                  <c:v>2016</c:v>
                </c:pt>
              </c:strCache>
            </c:strRef>
          </c:tx>
          <c:spPr>
            <a:solidFill>
              <a:schemeClr val="accent2"/>
            </a:solidFill>
            <a:ln>
              <a:noFill/>
            </a:ln>
            <a:effectLst/>
          </c:spPr>
          <c:invertIfNegative val="0"/>
          <c:cat>
            <c:strRef>
              <c:f>PivotRawData!$B$37:$O$37</c:f>
              <c:strCache>
                <c:ptCount val="14"/>
                <c:pt idx="0">
                  <c:v>          Afghanistan</c:v>
                </c:pt>
                <c:pt idx="2">
                  <c:v>          Azerbaijan</c:v>
                </c:pt>
                <c:pt idx="4">
                  <c:v>          Kazakhstan</c:v>
                </c:pt>
                <c:pt idx="6">
                  <c:v>          Kyrgyzstan</c:v>
                </c:pt>
                <c:pt idx="8">
                  <c:v>          Tajikistan</c:v>
                </c:pt>
                <c:pt idx="10">
                  <c:v>          Turkmenistan</c:v>
                </c:pt>
                <c:pt idx="12">
                  <c:v>          Uzbekistan</c:v>
                </c:pt>
                <c:pt idx="13">
                  <c:v> All SPECA</c:v>
                </c:pt>
              </c:strCache>
            </c:strRef>
          </c:cat>
          <c:val>
            <c:numRef>
              <c:f>PivotRawData!$B$39:$O$39</c:f>
              <c:numCache>
                <c:formatCode>General</c:formatCode>
                <c:ptCount val="14"/>
                <c:pt idx="0">
                  <c:v>3.2637921641372235E-3</c:v>
                </c:pt>
                <c:pt idx="2">
                  <c:v>6.8414104979030263E-2</c:v>
                </c:pt>
                <c:pt idx="3">
                  <c:v>0</c:v>
                </c:pt>
                <c:pt idx="4">
                  <c:v>0.23082117507887581</c:v>
                </c:pt>
                <c:pt idx="5">
                  <c:v>0</c:v>
                </c:pt>
                <c:pt idx="6">
                  <c:v>8.9316685302843566E-3</c:v>
                </c:pt>
                <c:pt idx="8">
                  <c:v>5.5444987458193526E-3</c:v>
                </c:pt>
                <c:pt idx="9">
                  <c:v>0</c:v>
                </c:pt>
                <c:pt idx="10">
                  <c:v>6.9041757318287419E-2</c:v>
                </c:pt>
                <c:pt idx="11">
                  <c:v>0</c:v>
                </c:pt>
                <c:pt idx="12">
                  <c:v>6.2765233925715841E-2</c:v>
                </c:pt>
                <c:pt idx="13">
                  <c:v>0.44878223074215029</c:v>
                </c:pt>
              </c:numCache>
            </c:numRef>
          </c:val>
          <c:extLst>
            <c:ext xmlns:c16="http://schemas.microsoft.com/office/drawing/2014/chart" uri="{C3380CC4-5D6E-409C-BE32-E72D297353CC}">
              <c16:uniqueId val="{00000001-803B-4E91-BB42-0A615A6F08FB}"/>
            </c:ext>
          </c:extLst>
        </c:ser>
        <c:dLbls>
          <c:showLegendKey val="0"/>
          <c:showVal val="0"/>
          <c:showCatName val="0"/>
          <c:showSerName val="0"/>
          <c:showPercent val="0"/>
          <c:showBubbleSize val="0"/>
        </c:dLbls>
        <c:gapWidth val="219"/>
        <c:overlap val="-27"/>
        <c:axId val="1592225471"/>
        <c:axId val="1592226303"/>
      </c:barChart>
      <c:catAx>
        <c:axId val="1592225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2226303"/>
        <c:crossesAt val="0"/>
        <c:auto val="1"/>
        <c:lblAlgn val="ctr"/>
        <c:lblOffset val="100"/>
        <c:noMultiLvlLbl val="0"/>
      </c:catAx>
      <c:valAx>
        <c:axId val="1592226303"/>
        <c:scaling>
          <c:orientation val="minMax"/>
          <c:max val="0.7500000000000001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2225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[SPECA_by_Partners patterns 2017 Alina.xlsx]PivotChart!PivotTable1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ysClr val="windowText" lastClr="000000"/>
                </a:solidFill>
                <a:latin typeface="Times New Roman" panose="02020603050405020304" pitchFamily="18" charset="0"/>
                <a:cs typeface="Times New Roman" panose="02020603050405020304" pitchFamily="18" charset="0"/>
              </a:rPr>
              <a:t>Figure 5: </a:t>
            </a:r>
            <a:r>
              <a:rPr lang="en-GB" sz="1200" b="0" i="1">
                <a:solidFill>
                  <a:sysClr val="windowText" lastClr="000000"/>
                </a:solidFill>
                <a:latin typeface="Times New Roman" panose="02020603050405020304" pitchFamily="18" charset="0"/>
                <a:cs typeface="Times New Roman" panose="02020603050405020304" pitchFamily="18" charset="0"/>
              </a:rPr>
              <a:t>Trading partners of SPECA, (percentage share of total exports and imports), source: UnctadStat</a:t>
            </a:r>
            <a:r>
              <a:rPr lang="ru-RU" sz="1200" b="0" i="1">
                <a:solidFill>
                  <a:sysClr val="windowText" lastClr="000000"/>
                </a:solidFill>
                <a:latin typeface="Times New Roman" panose="02020603050405020304" pitchFamily="18" charset="0"/>
                <a:cs typeface="Times New Roman" panose="02020603050405020304" pitchFamily="18" charset="0"/>
              </a:rPr>
              <a:t>        </a:t>
            </a:r>
            <a:r>
              <a:rPr lang="en-GB" sz="1200" b="0" i="1">
                <a:solidFill>
                  <a:sysClr val="windowText" lastClr="000000"/>
                </a:solidFill>
                <a:latin typeface="Times New Roman" panose="02020603050405020304" pitchFamily="18" charset="0"/>
                <a:cs typeface="Times New Roman" panose="02020603050405020304" pitchFamily="18" charset="0"/>
              </a:rPr>
              <a:t> Database </a:t>
            </a:r>
            <a:endParaRPr lang="en-US" sz="1200" b="0" i="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449237691442416"/>
          <c:y val="2.1108062849609862E-2"/>
        </c:manualLayout>
      </c:layout>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marker>
          <c:symbol val="none"/>
        </c:marker>
      </c:pivotFmt>
      <c:pivotFmt>
        <c:idx val="1"/>
        <c:spPr>
          <a:pattFill prst="dkVert">
            <a:fgClr>
              <a:schemeClr val="tx1"/>
            </a:fgClr>
            <a:bgClr>
              <a:schemeClr val="bg1"/>
            </a:bgClr>
          </a:pattFill>
          <a:ln>
            <a:noFill/>
          </a:ln>
          <a:effectLst/>
        </c:spPr>
        <c:marker>
          <c:symbol val="none"/>
        </c:marker>
      </c:pivotFmt>
      <c:pivotFmt>
        <c:idx val="2"/>
        <c:spPr>
          <a:pattFill prst="dkHorz">
            <a:fgClr>
              <a:schemeClr val="tx1"/>
            </a:fgClr>
            <a:bgClr>
              <a:schemeClr val="bg1"/>
            </a:bgClr>
          </a:pattFill>
          <a:ln>
            <a:noFill/>
          </a:ln>
          <a:effectLst/>
        </c:spPr>
        <c:marker>
          <c:symbol val="none"/>
        </c:marker>
      </c:pivotFmt>
      <c:pivotFmt>
        <c:idx val="3"/>
        <c:spPr>
          <a:pattFill prst="lgGrid">
            <a:fgClr>
              <a:schemeClr val="tx1"/>
            </a:fgClr>
            <a:bgClr>
              <a:schemeClr val="bg1"/>
            </a:bgClr>
          </a:pattFill>
          <a:ln>
            <a:noFill/>
          </a:ln>
          <a:effectLst/>
        </c:spPr>
        <c:marker>
          <c:symbol val="none"/>
        </c:marker>
      </c:pivotFmt>
      <c:pivotFmt>
        <c:idx val="4"/>
        <c:spPr>
          <a:pattFill prst="wdUpDiag">
            <a:fgClr>
              <a:schemeClr val="tx1"/>
            </a:fgClr>
            <a:bgClr>
              <a:schemeClr val="bg1"/>
            </a:bgClr>
          </a:pattFill>
          <a:ln>
            <a:noFill/>
          </a:ln>
          <a:effectLst/>
        </c:spPr>
        <c:marker>
          <c:symbol val="none"/>
        </c:marker>
      </c:pivotFmt>
      <c:pivotFmt>
        <c:idx val="5"/>
        <c:spPr>
          <a:pattFill prst="pct75">
            <a:fgClr>
              <a:schemeClr val="tx1"/>
            </a:fgClr>
            <a:bgClr>
              <a:schemeClr val="bg1"/>
            </a:bgClr>
          </a:pattFill>
          <a:ln>
            <a:noFill/>
          </a:ln>
          <a:effectLst/>
        </c:spPr>
        <c:marker>
          <c:symbol val="none"/>
        </c:marker>
      </c:pivotFmt>
      <c:pivotFmt>
        <c:idx val="6"/>
        <c:spPr>
          <a:pattFill prst="pct10">
            <a:fgClr>
              <a:schemeClr val="tx1"/>
            </a:fgClr>
            <a:bgClr>
              <a:schemeClr val="bg1"/>
            </a:bgClr>
          </a:pattFill>
          <a:ln>
            <a:noFill/>
          </a:ln>
          <a:effectLst/>
        </c:spPr>
        <c:marker>
          <c:symbol val="none"/>
        </c:marker>
      </c:pivotFmt>
      <c:pivotFmt>
        <c:idx val="7"/>
        <c:spPr>
          <a:pattFill prst="dkHorz">
            <a:fgClr>
              <a:schemeClr val="tx1"/>
            </a:fgClr>
            <a:bgClr>
              <a:schemeClr val="bg1"/>
            </a:bgClr>
          </a:pattFill>
          <a:ln>
            <a:noFill/>
          </a:ln>
          <a:effectLst/>
        </c:spPr>
        <c:marker>
          <c:symbol val="none"/>
        </c:marker>
      </c:pivotFmt>
      <c:pivotFmt>
        <c:idx val="8"/>
        <c:spPr>
          <a:pattFill prst="dkVert">
            <a:fgClr>
              <a:schemeClr val="tx1"/>
            </a:fgClr>
            <a:bgClr>
              <a:schemeClr val="bg1"/>
            </a:bgClr>
          </a:pattFill>
          <a:ln>
            <a:noFill/>
          </a:ln>
          <a:effectLst/>
        </c:spPr>
        <c:marker>
          <c:symbol val="none"/>
        </c:marker>
      </c:pivotFmt>
      <c:pivotFmt>
        <c:idx val="9"/>
        <c:spPr>
          <a:pattFill prst="lgGrid">
            <a:fgClr>
              <a:schemeClr val="tx1"/>
            </a:fgClr>
            <a:bgClr>
              <a:schemeClr val="bg1"/>
            </a:bgClr>
          </a:pattFill>
          <a:ln>
            <a:noFill/>
          </a:ln>
          <a:effectLst/>
        </c:spPr>
        <c:marker>
          <c:symbol val="none"/>
        </c:marker>
      </c:pivotFmt>
      <c:pivotFmt>
        <c:idx val="10"/>
        <c:spPr>
          <a:pattFill prst="wdUpDiag">
            <a:fgClr>
              <a:schemeClr val="tx1"/>
            </a:fgClr>
            <a:bgClr>
              <a:schemeClr val="bg1"/>
            </a:bgClr>
          </a:pattFill>
          <a:ln>
            <a:noFill/>
          </a:ln>
          <a:effectLst/>
        </c:spPr>
        <c:marker>
          <c:symbol val="none"/>
        </c:marker>
      </c:pivotFmt>
      <c:pivotFmt>
        <c:idx val="11"/>
        <c:spPr>
          <a:pattFill prst="pct75">
            <a:fgClr>
              <a:schemeClr val="tx1"/>
            </a:fgClr>
            <a:bgClr>
              <a:schemeClr val="bg1"/>
            </a:bgClr>
          </a:pattFill>
          <a:ln>
            <a:noFill/>
          </a:ln>
          <a:effectLst/>
        </c:spPr>
        <c:marker>
          <c:symbol val="none"/>
        </c:marker>
      </c:pivotFmt>
      <c:pivotFmt>
        <c:idx val="12"/>
        <c:spPr>
          <a:pattFill prst="pct10">
            <a:fgClr>
              <a:schemeClr val="tx1"/>
            </a:fgClr>
            <a:bgClr>
              <a:schemeClr val="bg1"/>
            </a:bgClr>
          </a:pattFill>
          <a:ln>
            <a:noFill/>
          </a:ln>
          <a:effectLst/>
        </c:spPr>
        <c:marker>
          <c:symbol val="none"/>
        </c:marker>
      </c:pivotFmt>
      <c:pivotFmt>
        <c:idx val="13"/>
        <c:spPr>
          <a:pattFill prst="dkHorz">
            <a:fgClr>
              <a:schemeClr val="tx1"/>
            </a:fgClr>
            <a:bgClr>
              <a:schemeClr val="bg1"/>
            </a:bgClr>
          </a:pattFill>
          <a:ln>
            <a:noFill/>
          </a:ln>
          <a:effectLst/>
        </c:spPr>
        <c:marker>
          <c:symbol val="none"/>
        </c:marker>
      </c:pivotFmt>
      <c:pivotFmt>
        <c:idx val="14"/>
        <c:spPr>
          <a:pattFill prst="dkVert">
            <a:fgClr>
              <a:schemeClr val="tx1"/>
            </a:fgClr>
            <a:bgClr>
              <a:schemeClr val="bg1"/>
            </a:bgClr>
          </a:pattFill>
          <a:ln>
            <a:noFill/>
          </a:ln>
          <a:effectLst/>
        </c:spPr>
        <c:marker>
          <c:symbol val="none"/>
        </c:marker>
      </c:pivotFmt>
      <c:pivotFmt>
        <c:idx val="15"/>
        <c:spPr>
          <a:pattFill prst="lgGrid">
            <a:fgClr>
              <a:schemeClr val="tx1"/>
            </a:fgClr>
            <a:bgClr>
              <a:schemeClr val="bg1"/>
            </a:bgClr>
          </a:pattFill>
          <a:ln>
            <a:noFill/>
          </a:ln>
          <a:effectLst/>
        </c:spPr>
        <c:marker>
          <c:symbol val="none"/>
        </c:marker>
      </c:pivotFmt>
      <c:pivotFmt>
        <c:idx val="16"/>
        <c:spPr>
          <a:pattFill prst="wdUpDiag">
            <a:fgClr>
              <a:schemeClr val="tx1"/>
            </a:fgClr>
            <a:bgClr>
              <a:schemeClr val="bg1"/>
            </a:bgClr>
          </a:pattFill>
          <a:ln>
            <a:noFill/>
          </a:ln>
          <a:effectLst/>
        </c:spPr>
        <c:marker>
          <c:symbol val="none"/>
        </c:marker>
      </c:pivotFmt>
      <c:pivotFmt>
        <c:idx val="17"/>
        <c:spPr>
          <a:pattFill prst="pct75">
            <a:fgClr>
              <a:schemeClr val="tx1"/>
            </a:fgClr>
            <a:bgClr>
              <a:schemeClr val="bg1"/>
            </a:bgClr>
          </a:pattFill>
          <a:ln>
            <a:noFill/>
          </a:ln>
          <a:effectLst/>
        </c:spPr>
        <c:marker>
          <c:symbol val="none"/>
        </c:marker>
      </c:pivotFmt>
      <c:pivotFmt>
        <c:idx val="18"/>
        <c:spPr>
          <a:pattFill prst="pct10">
            <a:fgClr>
              <a:schemeClr val="tx1"/>
            </a:fgClr>
            <a:bgClr>
              <a:schemeClr val="bg1"/>
            </a:bgClr>
          </a:pattFill>
          <a:ln>
            <a:noFill/>
          </a:ln>
          <a:effectLst/>
        </c:spPr>
        <c:marker>
          <c:symbol val="none"/>
        </c:marker>
      </c:pivotFmt>
    </c:pivotFmts>
    <c:plotArea>
      <c:layout>
        <c:manualLayout>
          <c:layoutTarget val="inner"/>
          <c:xMode val="edge"/>
          <c:yMode val="edge"/>
          <c:x val="5.236640013043891E-2"/>
          <c:y val="0.17092827371012093"/>
          <c:w val="0.93252889518113424"/>
          <c:h val="0.51900533932386861"/>
        </c:manualLayout>
      </c:layout>
      <c:barChart>
        <c:barDir val="col"/>
        <c:grouping val="percentStacked"/>
        <c:varyColors val="0"/>
        <c:ser>
          <c:idx val="0"/>
          <c:order val="0"/>
          <c:tx>
            <c:strRef>
              <c:f>PivotChart!$B$3:$B$4</c:f>
              <c:strCache>
                <c:ptCount val="1"/>
                <c:pt idx="0">
                  <c:v>Turkey</c:v>
                </c:pt>
              </c:strCache>
            </c:strRef>
          </c:tx>
          <c:spPr>
            <a:solidFill>
              <a:schemeClr val="accent1"/>
            </a:solidFill>
            <a:ln>
              <a:noFill/>
            </a:ln>
            <a:effectLst/>
          </c:spPr>
          <c:invertIfNegative val="0"/>
          <c:cat>
            <c:multiLvlStrRef>
              <c:f>PivotChart!$A$5:$A$17</c:f>
              <c:multiLvlStrCache>
                <c:ptCount val="8"/>
                <c:lvl>
                  <c:pt idx="0">
                    <c:v>Imports</c:v>
                  </c:pt>
                  <c:pt idx="1">
                    <c:v>Exports</c:v>
                  </c:pt>
                  <c:pt idx="2">
                    <c:v>Imports</c:v>
                  </c:pt>
                  <c:pt idx="3">
                    <c:v>Exports</c:v>
                  </c:pt>
                  <c:pt idx="4">
                    <c:v>Imports</c:v>
                  </c:pt>
                  <c:pt idx="5">
                    <c:v>Exports</c:v>
                  </c:pt>
                  <c:pt idx="6">
                    <c:v>Imports</c:v>
                  </c:pt>
                  <c:pt idx="7">
                    <c:v>Exports</c:v>
                  </c:pt>
                </c:lvl>
                <c:lvl>
                  <c:pt idx="0">
                    <c:v>2005</c:v>
                  </c:pt>
                  <c:pt idx="2">
                    <c:v>2010</c:v>
                  </c:pt>
                  <c:pt idx="4">
                    <c:v>2014</c:v>
                  </c:pt>
                  <c:pt idx="6">
                    <c:v>2016</c:v>
                  </c:pt>
                </c:lvl>
              </c:multiLvlStrCache>
            </c:multiLvlStrRef>
          </c:cat>
          <c:val>
            <c:numRef>
              <c:f>PivotChart!$B$5:$B$17</c:f>
              <c:numCache>
                <c:formatCode>#,##0</c:formatCode>
                <c:ptCount val="8"/>
                <c:pt idx="0">
                  <c:v>1285447.8649999998</c:v>
                </c:pt>
                <c:pt idx="1">
                  <c:v>1199108.2220000001</c:v>
                </c:pt>
                <c:pt idx="2">
                  <c:v>3343457.068</c:v>
                </c:pt>
                <c:pt idx="3">
                  <c:v>4297315.6909999996</c:v>
                </c:pt>
                <c:pt idx="4">
                  <c:v>6083716.1529999999</c:v>
                </c:pt>
                <c:pt idx="5">
                  <c:v>6619006.5989999995</c:v>
                </c:pt>
                <c:pt idx="6">
                  <c:v>4963427.5</c:v>
                </c:pt>
                <c:pt idx="7">
                  <c:v>3605960.2650000001</c:v>
                </c:pt>
              </c:numCache>
            </c:numRef>
          </c:val>
          <c:extLst>
            <c:ext xmlns:c16="http://schemas.microsoft.com/office/drawing/2014/chart" uri="{C3380CC4-5D6E-409C-BE32-E72D297353CC}">
              <c16:uniqueId val="{00000000-3817-4429-B51D-0BFAF922465D}"/>
            </c:ext>
          </c:extLst>
        </c:ser>
        <c:ser>
          <c:idx val="1"/>
          <c:order val="1"/>
          <c:tx>
            <c:strRef>
              <c:f>PivotChart!$C$3:$C$4</c:f>
              <c:strCache>
                <c:ptCount val="1"/>
                <c:pt idx="0">
                  <c:v>Russian Federation</c:v>
                </c:pt>
              </c:strCache>
            </c:strRef>
          </c:tx>
          <c:spPr>
            <a:solidFill>
              <a:schemeClr val="accent2"/>
            </a:solidFill>
            <a:ln>
              <a:noFill/>
            </a:ln>
            <a:effectLst/>
          </c:spPr>
          <c:invertIfNegative val="0"/>
          <c:cat>
            <c:multiLvlStrRef>
              <c:f>PivotChart!$A$5:$A$17</c:f>
              <c:multiLvlStrCache>
                <c:ptCount val="8"/>
                <c:lvl>
                  <c:pt idx="0">
                    <c:v>Imports</c:v>
                  </c:pt>
                  <c:pt idx="1">
                    <c:v>Exports</c:v>
                  </c:pt>
                  <c:pt idx="2">
                    <c:v>Imports</c:v>
                  </c:pt>
                  <c:pt idx="3">
                    <c:v>Exports</c:v>
                  </c:pt>
                  <c:pt idx="4">
                    <c:v>Imports</c:v>
                  </c:pt>
                  <c:pt idx="5">
                    <c:v>Exports</c:v>
                  </c:pt>
                  <c:pt idx="6">
                    <c:v>Imports</c:v>
                  </c:pt>
                  <c:pt idx="7">
                    <c:v>Exports</c:v>
                  </c:pt>
                </c:lvl>
                <c:lvl>
                  <c:pt idx="0">
                    <c:v>2005</c:v>
                  </c:pt>
                  <c:pt idx="2">
                    <c:v>2010</c:v>
                  </c:pt>
                  <c:pt idx="4">
                    <c:v>2014</c:v>
                  </c:pt>
                  <c:pt idx="6">
                    <c:v>2016</c:v>
                  </c:pt>
                </c:lvl>
              </c:multiLvlStrCache>
            </c:multiLvlStrRef>
          </c:cat>
          <c:val>
            <c:numRef>
              <c:f>PivotChart!$C$5:$C$17</c:f>
              <c:numCache>
                <c:formatCode>#,##0</c:formatCode>
                <c:ptCount val="8"/>
                <c:pt idx="0">
                  <c:v>9011740.6860000007</c:v>
                </c:pt>
                <c:pt idx="1">
                  <c:v>4831897.4359999998</c:v>
                </c:pt>
                <c:pt idx="2">
                  <c:v>13228722.220999999</c:v>
                </c:pt>
                <c:pt idx="3">
                  <c:v>7268301.8229999989</c:v>
                </c:pt>
                <c:pt idx="4">
                  <c:v>20136308.351</c:v>
                </c:pt>
                <c:pt idx="5">
                  <c:v>7716992.1710000001</c:v>
                </c:pt>
                <c:pt idx="6">
                  <c:v>15252657.143999999</c:v>
                </c:pt>
                <c:pt idx="7">
                  <c:v>5472499.9230000004</c:v>
                </c:pt>
              </c:numCache>
            </c:numRef>
          </c:val>
          <c:extLst>
            <c:ext xmlns:c16="http://schemas.microsoft.com/office/drawing/2014/chart" uri="{C3380CC4-5D6E-409C-BE32-E72D297353CC}">
              <c16:uniqueId val="{00000001-3817-4429-B51D-0BFAF922465D}"/>
            </c:ext>
          </c:extLst>
        </c:ser>
        <c:ser>
          <c:idx val="2"/>
          <c:order val="2"/>
          <c:tx>
            <c:strRef>
              <c:f>PivotChart!$D$3:$D$4</c:f>
              <c:strCache>
                <c:ptCount val="1"/>
                <c:pt idx="0">
                  <c:v>Others</c:v>
                </c:pt>
              </c:strCache>
            </c:strRef>
          </c:tx>
          <c:spPr>
            <a:solidFill>
              <a:schemeClr val="accent3"/>
            </a:solidFill>
            <a:ln>
              <a:noFill/>
            </a:ln>
            <a:effectLst/>
          </c:spPr>
          <c:invertIfNegative val="0"/>
          <c:cat>
            <c:multiLvlStrRef>
              <c:f>PivotChart!$A$5:$A$17</c:f>
              <c:multiLvlStrCache>
                <c:ptCount val="8"/>
                <c:lvl>
                  <c:pt idx="0">
                    <c:v>Imports</c:v>
                  </c:pt>
                  <c:pt idx="1">
                    <c:v>Exports</c:v>
                  </c:pt>
                  <c:pt idx="2">
                    <c:v>Imports</c:v>
                  </c:pt>
                  <c:pt idx="3">
                    <c:v>Exports</c:v>
                  </c:pt>
                  <c:pt idx="4">
                    <c:v>Imports</c:v>
                  </c:pt>
                  <c:pt idx="5">
                    <c:v>Exports</c:v>
                  </c:pt>
                  <c:pt idx="6">
                    <c:v>Imports</c:v>
                  </c:pt>
                  <c:pt idx="7">
                    <c:v>Exports</c:v>
                  </c:pt>
                </c:lvl>
                <c:lvl>
                  <c:pt idx="0">
                    <c:v>2005</c:v>
                  </c:pt>
                  <c:pt idx="2">
                    <c:v>2010</c:v>
                  </c:pt>
                  <c:pt idx="4">
                    <c:v>2014</c:v>
                  </c:pt>
                  <c:pt idx="6">
                    <c:v>2016</c:v>
                  </c:pt>
                </c:lvl>
              </c:multiLvlStrCache>
            </c:multiLvlStrRef>
          </c:cat>
          <c:val>
            <c:numRef>
              <c:f>PivotChart!$D$5:$D$17</c:f>
              <c:numCache>
                <c:formatCode>#,##0</c:formatCode>
                <c:ptCount val="8"/>
                <c:pt idx="0">
                  <c:v>9905383.0270000026</c:v>
                </c:pt>
                <c:pt idx="1">
                  <c:v>17267302.956</c:v>
                </c:pt>
                <c:pt idx="2">
                  <c:v>17305430.374000005</c:v>
                </c:pt>
                <c:pt idx="3">
                  <c:v>27725693.914000005</c:v>
                </c:pt>
                <c:pt idx="4">
                  <c:v>22128287.307999998</c:v>
                </c:pt>
                <c:pt idx="5">
                  <c:v>30723131.96799998</c:v>
                </c:pt>
                <c:pt idx="6">
                  <c:v>15294614.101999998</c:v>
                </c:pt>
                <c:pt idx="7">
                  <c:v>18407534.486000001</c:v>
                </c:pt>
              </c:numCache>
            </c:numRef>
          </c:val>
          <c:extLst>
            <c:ext xmlns:c16="http://schemas.microsoft.com/office/drawing/2014/chart" uri="{C3380CC4-5D6E-409C-BE32-E72D297353CC}">
              <c16:uniqueId val="{00000002-3817-4429-B51D-0BFAF922465D}"/>
            </c:ext>
          </c:extLst>
        </c:ser>
        <c:ser>
          <c:idx val="3"/>
          <c:order val="3"/>
          <c:tx>
            <c:strRef>
              <c:f>PivotChart!$E$3:$E$4</c:f>
              <c:strCache>
                <c:ptCount val="1"/>
                <c:pt idx="0">
                  <c:v>EU28 (European Union)</c:v>
                </c:pt>
              </c:strCache>
            </c:strRef>
          </c:tx>
          <c:spPr>
            <a:solidFill>
              <a:schemeClr val="accent4"/>
            </a:solidFill>
            <a:ln>
              <a:noFill/>
            </a:ln>
            <a:effectLst/>
          </c:spPr>
          <c:invertIfNegative val="0"/>
          <c:cat>
            <c:multiLvlStrRef>
              <c:f>PivotChart!$A$5:$A$17</c:f>
              <c:multiLvlStrCache>
                <c:ptCount val="8"/>
                <c:lvl>
                  <c:pt idx="0">
                    <c:v>Imports</c:v>
                  </c:pt>
                  <c:pt idx="1">
                    <c:v>Exports</c:v>
                  </c:pt>
                  <c:pt idx="2">
                    <c:v>Imports</c:v>
                  </c:pt>
                  <c:pt idx="3">
                    <c:v>Exports</c:v>
                  </c:pt>
                  <c:pt idx="4">
                    <c:v>Imports</c:v>
                  </c:pt>
                  <c:pt idx="5">
                    <c:v>Exports</c:v>
                  </c:pt>
                  <c:pt idx="6">
                    <c:v>Imports</c:v>
                  </c:pt>
                  <c:pt idx="7">
                    <c:v>Exports</c:v>
                  </c:pt>
                </c:lvl>
                <c:lvl>
                  <c:pt idx="0">
                    <c:v>2005</c:v>
                  </c:pt>
                  <c:pt idx="2">
                    <c:v>2010</c:v>
                  </c:pt>
                  <c:pt idx="4">
                    <c:v>2014</c:v>
                  </c:pt>
                  <c:pt idx="6">
                    <c:v>2016</c:v>
                  </c:pt>
                </c:lvl>
              </c:multiLvlStrCache>
            </c:multiLvlStrRef>
          </c:cat>
          <c:val>
            <c:numRef>
              <c:f>PivotChart!$E$5:$E$17</c:f>
              <c:numCache>
                <c:formatCode>#,##0</c:formatCode>
                <c:ptCount val="8"/>
                <c:pt idx="0">
                  <c:v>7511006.6160000004</c:v>
                </c:pt>
                <c:pt idx="1">
                  <c:v>18600963.153000001</c:v>
                </c:pt>
                <c:pt idx="2">
                  <c:v>13551373.416999999</c:v>
                </c:pt>
                <c:pt idx="3">
                  <c:v>47326321.872000001</c:v>
                </c:pt>
                <c:pt idx="4">
                  <c:v>17883292.877</c:v>
                </c:pt>
                <c:pt idx="5">
                  <c:v>64395005.716000006</c:v>
                </c:pt>
                <c:pt idx="6">
                  <c:v>14439289.326000001</c:v>
                </c:pt>
                <c:pt idx="7">
                  <c:v>26810041.919</c:v>
                </c:pt>
              </c:numCache>
            </c:numRef>
          </c:val>
          <c:extLst>
            <c:ext xmlns:c16="http://schemas.microsoft.com/office/drawing/2014/chart" uri="{C3380CC4-5D6E-409C-BE32-E72D297353CC}">
              <c16:uniqueId val="{00000003-3817-4429-B51D-0BFAF922465D}"/>
            </c:ext>
          </c:extLst>
        </c:ser>
        <c:ser>
          <c:idx val="4"/>
          <c:order val="4"/>
          <c:tx>
            <c:strRef>
              <c:f>PivotChart!$F$3:$F$4</c:f>
              <c:strCache>
                <c:ptCount val="1"/>
                <c:pt idx="0">
                  <c:v>China excluding Hong Kong, Macao and Taiwan</c:v>
                </c:pt>
              </c:strCache>
            </c:strRef>
          </c:tx>
          <c:spPr>
            <a:solidFill>
              <a:schemeClr val="accent5"/>
            </a:solidFill>
            <a:ln>
              <a:noFill/>
            </a:ln>
            <a:effectLst/>
          </c:spPr>
          <c:invertIfNegative val="0"/>
          <c:cat>
            <c:multiLvlStrRef>
              <c:f>PivotChart!$A$5:$A$17</c:f>
              <c:multiLvlStrCache>
                <c:ptCount val="8"/>
                <c:lvl>
                  <c:pt idx="0">
                    <c:v>Imports</c:v>
                  </c:pt>
                  <c:pt idx="1">
                    <c:v>Exports</c:v>
                  </c:pt>
                  <c:pt idx="2">
                    <c:v>Imports</c:v>
                  </c:pt>
                  <c:pt idx="3">
                    <c:v>Exports</c:v>
                  </c:pt>
                  <c:pt idx="4">
                    <c:v>Imports</c:v>
                  </c:pt>
                  <c:pt idx="5">
                    <c:v>Exports</c:v>
                  </c:pt>
                  <c:pt idx="6">
                    <c:v>Imports</c:v>
                  </c:pt>
                  <c:pt idx="7">
                    <c:v>Exports</c:v>
                  </c:pt>
                </c:lvl>
                <c:lvl>
                  <c:pt idx="0">
                    <c:v>2005</c:v>
                  </c:pt>
                  <c:pt idx="2">
                    <c:v>2010</c:v>
                  </c:pt>
                  <c:pt idx="4">
                    <c:v>2014</c:v>
                  </c:pt>
                  <c:pt idx="6">
                    <c:v>2016</c:v>
                  </c:pt>
                </c:lvl>
              </c:multiLvlStrCache>
            </c:multiLvlStrRef>
          </c:cat>
          <c:val>
            <c:numRef>
              <c:f>PivotChart!$F$5:$F$17</c:f>
              <c:numCache>
                <c:formatCode>#,##0</c:formatCode>
                <c:ptCount val="8"/>
                <c:pt idx="0">
                  <c:v>3288627.0320000001</c:v>
                </c:pt>
                <c:pt idx="1">
                  <c:v>3184416.8860000004</c:v>
                </c:pt>
                <c:pt idx="2">
                  <c:v>11387375.68</c:v>
                </c:pt>
                <c:pt idx="3">
                  <c:v>14334608.876000002</c:v>
                </c:pt>
                <c:pt idx="4">
                  <c:v>20519354.833999999</c:v>
                </c:pt>
                <c:pt idx="5">
                  <c:v>25162788.539000005</c:v>
                </c:pt>
                <c:pt idx="6">
                  <c:v>11723517.974000001</c:v>
                </c:pt>
                <c:pt idx="7">
                  <c:v>12105285.601</c:v>
                </c:pt>
              </c:numCache>
            </c:numRef>
          </c:val>
          <c:extLst>
            <c:ext xmlns:c16="http://schemas.microsoft.com/office/drawing/2014/chart" uri="{C3380CC4-5D6E-409C-BE32-E72D297353CC}">
              <c16:uniqueId val="{00000004-3817-4429-B51D-0BFAF922465D}"/>
            </c:ext>
          </c:extLst>
        </c:ser>
        <c:ser>
          <c:idx val="5"/>
          <c:order val="5"/>
          <c:tx>
            <c:strRef>
              <c:f>PivotChart!$G$3:$G$4</c:f>
              <c:strCache>
                <c:ptCount val="1"/>
                <c:pt idx="0">
                  <c:v>Central Asia</c:v>
                </c:pt>
              </c:strCache>
            </c:strRef>
          </c:tx>
          <c:spPr>
            <a:solidFill>
              <a:schemeClr val="accent6"/>
            </a:solidFill>
            <a:ln>
              <a:noFill/>
            </a:ln>
            <a:effectLst/>
          </c:spPr>
          <c:invertIfNegative val="0"/>
          <c:cat>
            <c:multiLvlStrRef>
              <c:f>PivotChart!$A$5:$A$17</c:f>
              <c:multiLvlStrCache>
                <c:ptCount val="8"/>
                <c:lvl>
                  <c:pt idx="0">
                    <c:v>Imports</c:v>
                  </c:pt>
                  <c:pt idx="1">
                    <c:v>Exports</c:v>
                  </c:pt>
                  <c:pt idx="2">
                    <c:v>Imports</c:v>
                  </c:pt>
                  <c:pt idx="3">
                    <c:v>Exports</c:v>
                  </c:pt>
                  <c:pt idx="4">
                    <c:v>Imports</c:v>
                  </c:pt>
                  <c:pt idx="5">
                    <c:v>Exports</c:v>
                  </c:pt>
                  <c:pt idx="6">
                    <c:v>Imports</c:v>
                  </c:pt>
                  <c:pt idx="7">
                    <c:v>Exports</c:v>
                  </c:pt>
                </c:lvl>
                <c:lvl>
                  <c:pt idx="0">
                    <c:v>2005</c:v>
                  </c:pt>
                  <c:pt idx="2">
                    <c:v>2010</c:v>
                  </c:pt>
                  <c:pt idx="4">
                    <c:v>2014</c:v>
                  </c:pt>
                  <c:pt idx="6">
                    <c:v>2016</c:v>
                  </c:pt>
                </c:lvl>
              </c:multiLvlStrCache>
            </c:multiLvlStrRef>
          </c:cat>
          <c:val>
            <c:numRef>
              <c:f>PivotChart!$G$5:$G$17</c:f>
              <c:numCache>
                <c:formatCode>#,##0</c:formatCode>
                <c:ptCount val="8"/>
                <c:pt idx="0">
                  <c:v>2063718.7049999998</c:v>
                </c:pt>
                <c:pt idx="1">
                  <c:v>2052576.8869999999</c:v>
                </c:pt>
                <c:pt idx="2">
                  <c:v>4310406.0519999992</c:v>
                </c:pt>
                <c:pt idx="3">
                  <c:v>4280459.6359999999</c:v>
                </c:pt>
                <c:pt idx="4">
                  <c:v>5479115.0599999996</c:v>
                </c:pt>
                <c:pt idx="5">
                  <c:v>7034057.2439999999</c:v>
                </c:pt>
                <c:pt idx="6">
                  <c:v>6766257.0629999992</c:v>
                </c:pt>
                <c:pt idx="7">
                  <c:v>5100400.1060000006</c:v>
                </c:pt>
              </c:numCache>
            </c:numRef>
          </c:val>
          <c:extLst>
            <c:ext xmlns:c16="http://schemas.microsoft.com/office/drawing/2014/chart" uri="{C3380CC4-5D6E-409C-BE32-E72D297353CC}">
              <c16:uniqueId val="{00000005-3817-4429-B51D-0BFAF922465D}"/>
            </c:ext>
          </c:extLst>
        </c:ser>
        <c:dLbls>
          <c:showLegendKey val="0"/>
          <c:showVal val="0"/>
          <c:showCatName val="0"/>
          <c:showSerName val="0"/>
          <c:showPercent val="0"/>
          <c:showBubbleSize val="0"/>
        </c:dLbls>
        <c:gapWidth val="150"/>
        <c:overlap val="100"/>
        <c:axId val="112848384"/>
        <c:axId val="108676800"/>
      </c:barChart>
      <c:catAx>
        <c:axId val="1128483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676800"/>
        <c:crosses val="autoZero"/>
        <c:auto val="1"/>
        <c:lblAlgn val="ctr"/>
        <c:lblOffset val="100"/>
        <c:noMultiLvlLbl val="0"/>
      </c:catAx>
      <c:valAx>
        <c:axId val="108676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48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56928-08D2-41C2-911F-D4647BEB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4232</Words>
  <Characters>24123</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28299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Apostolov</dc:creator>
  <cp:keywords/>
  <dc:description/>
  <cp:lastModifiedBy>Aruna Vivekanantham</cp:lastModifiedBy>
  <cp:revision>2</cp:revision>
  <cp:lastPrinted>2017-09-12T14:08:00Z</cp:lastPrinted>
  <dcterms:created xsi:type="dcterms:W3CDTF">2018-09-03T07:30:00Z</dcterms:created>
  <dcterms:modified xsi:type="dcterms:W3CDTF">2018-09-03T07:30:00Z</dcterms:modified>
</cp:coreProperties>
</file>