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2F" w:rsidRPr="00333A2F" w:rsidRDefault="00796CF1" w:rsidP="00333A2F">
      <w:pPr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</w:pPr>
      <w:r w:rsidRPr="00796CF1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 xml:space="preserve">Building </w:t>
      </w:r>
      <w:r w:rsidR="00484273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 xml:space="preserve">an </w:t>
      </w:r>
      <w:r w:rsidRPr="00796CF1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 xml:space="preserve">enabling environment for TRADE FACILITATION </w:t>
      </w:r>
      <w:r w:rsidR="00484273" w:rsidRPr="00796CF1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>IN UKRAINE</w:t>
      </w:r>
      <w:r w:rsidR="00484273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 xml:space="preserve"> by implementing a </w:t>
      </w:r>
      <w:r w:rsidRPr="00796CF1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>SINGLE WINDOW</w:t>
      </w:r>
      <w:r w:rsidR="00333A2F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bg-BG"/>
        </w:rPr>
        <w:t xml:space="preserve"> </w:t>
      </w:r>
      <w:r w:rsidR="00FC47E1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>– fourth UNECE Trade Facilitation seminar</w:t>
      </w:r>
      <w:r w:rsidR="00333A2F">
        <w:rPr>
          <w:rFonts w:ascii="Times New Roman" w:eastAsia="Calibri" w:hAnsi="Times New Roman" w:cs="Times New Roman"/>
          <w:b/>
          <w:i/>
          <w:iCs/>
          <w:caps/>
          <w:color w:val="993300"/>
          <w:sz w:val="24"/>
          <w:szCs w:val="24"/>
          <w:lang w:val="en-US"/>
        </w:rPr>
        <w:t xml:space="preserve"> in odessa, ukraine, 27 May 2014</w:t>
      </w:r>
    </w:p>
    <w:p w:rsidR="005F1D4F" w:rsidRPr="005F1D4F" w:rsidRDefault="00796CF1" w:rsidP="0019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 w:rsidRPr="00796CF1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For a fourth consecutive year, the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United Nations Economic Commission for Europe (</w:t>
      </w:r>
      <w:r w:rsidRPr="00796CF1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UNECE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)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organizes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,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in co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llaboration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with the Government of Ukraine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,</w:t>
      </w:r>
      <w:r w:rsidRPr="00796CF1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a </w:t>
      </w:r>
      <w:r w:rsidRPr="00A0020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uk-UA"/>
        </w:rPr>
        <w:t xml:space="preserve">seminar </w:t>
      </w:r>
      <w:r w:rsidR="00731F16" w:rsidRPr="00A0020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uk-UA"/>
        </w:rPr>
        <w:t xml:space="preserve">on </w:t>
      </w:r>
      <w:r w:rsidRPr="00A0020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uk-UA"/>
        </w:rPr>
        <w:t>trade facilitation and the Single Window in Ukraine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. It will take place 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in Odessa 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on 27 May 2014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,</w:t>
      </w:r>
      <w:r w:rsidR="005A3CCE" w:rsidRPr="005F1D4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  <w:r w:rsidR="00623BDD" w:rsidRPr="005F1D4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during the 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annual </w:t>
      </w:r>
      <w:r w:rsidR="00623BDD" w:rsidRPr="005F1D4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Transport Week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, 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and 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wi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ll be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support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ed by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  <w:r w:rsidR="005F1D4F" w:rsidRPr="005F1D4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the </w:t>
      </w:r>
      <w:r w:rsidR="005F1D4F" w:rsidRPr="005F1D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Ukrainian National Committee of the International Chamber of Commerce (ICC Ukraine) and the Association of freight-forwarding and logistic</w:t>
      </w:r>
      <w:r w:rsidR="005F1D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5F1D4F" w:rsidRPr="005F1D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organizations of Ukraine “</w:t>
      </w:r>
      <w:proofErr w:type="spellStart"/>
      <w:r w:rsidR="005F1D4F" w:rsidRPr="005F1D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Ukrzovnishtrans</w:t>
      </w:r>
      <w:proofErr w:type="spellEnd"/>
      <w:r w:rsidR="005F1D4F" w:rsidRPr="005F1D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”</w:t>
      </w:r>
      <w:r w:rsidR="005F1D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</w:p>
    <w:p w:rsidR="006A4B9D" w:rsidRDefault="00AC2C78" w:rsidP="0019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The</w:t>
      </w:r>
      <w:r w:rsidR="005A3CCE" w:rsidRPr="00623BD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Port Community System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in Odessa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– 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a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key product of the cooperation 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project 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between UNECE and Ukrainian public and private partners 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moved from </w:t>
      </w:r>
      <w:r w:rsidR="00C97EFB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pilot tests to full operation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last year</w:t>
      </w:r>
      <w:r w:rsidR="00C97EFB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. The first tests took place in October 2012, when 21 containers were cleared using the new Electronic Information System (EIS) in the Port of  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Odessa, to reach a monthly maximum of 13,472 containers </w:t>
      </w:r>
      <w:r w:rsidR="00C97EFB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i</w:t>
      </w:r>
      <w:r w:rsidR="004B406C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n </w:t>
      </w:r>
      <w:r w:rsidR="00C97EFB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Ju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l</w:t>
      </w:r>
      <w:r w:rsidR="00C97EFB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y 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2013, and 11,206 in February </w:t>
      </w:r>
      <w:r w:rsidR="004B406C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2014. 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A</w:t>
      </w:r>
      <w:r w:rsidR="002166A3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total </w:t>
      </w:r>
      <w:r w:rsidR="00A0020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of 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130,556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containers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have been cleared 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using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the system </w:t>
      </w:r>
      <w:r w:rsidR="00DE527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and its </w:t>
      </w:r>
      <w:r w:rsidR="00DE5279">
        <w:rPr>
          <w:rFonts w:ascii="Times New Roman" w:eastAsia="Times New Roman" w:hAnsi="Times New Roman" w:cs="Times New Roman"/>
          <w:i/>
          <w:noProof/>
          <w:sz w:val="24"/>
          <w:szCs w:val="24"/>
          <w:lang w:val="en-GB" w:eastAsia="uk-UA"/>
        </w:rPr>
        <w:t>e-naryad</w:t>
      </w:r>
      <w:r w:rsidR="00DE527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electronic document 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by </w:t>
      </w:r>
      <w:r w:rsidR="00731F16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the end of </w:t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February 2014.</w:t>
      </w:r>
      <w:r w:rsidR="00242532" w:rsidRPr="00DE5279">
        <w:rPr>
          <w:rStyle w:val="FootnoteReference"/>
          <w:rFonts w:ascii="Times New Roman" w:eastAsia="Times New Roman" w:hAnsi="Times New Roman" w:cs="Times New Roman"/>
          <w:noProof/>
          <w:sz w:val="20"/>
          <w:szCs w:val="20"/>
          <w:lang w:val="en-GB" w:eastAsia="uk-UA"/>
        </w:rPr>
        <w:footnoteReference w:id="1"/>
      </w:r>
      <w:r w:rsidR="00242532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</w:p>
    <w:p w:rsidR="00993C99" w:rsidRDefault="00993C99" w:rsidP="0002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 w:eastAsia="uk-UA"/>
        </w:rPr>
      </w:pPr>
      <w:r>
        <w:rPr>
          <w:noProof/>
          <w:lang w:val="en-GB" w:eastAsia="en-GB"/>
        </w:rPr>
        <w:drawing>
          <wp:inline distT="0" distB="0" distL="0" distR="0" wp14:anchorId="6EE5CC70" wp14:editId="00E0E412">
            <wp:extent cx="5943600" cy="11144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1465" w:rsidRPr="00A0020D" w:rsidRDefault="00511465" w:rsidP="00511465">
      <w:pPr>
        <w:pStyle w:val="Caption"/>
        <w:spacing w:after="0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GB" w:eastAsia="uk-UA"/>
        </w:rPr>
      </w:pPr>
      <w:r w:rsidRPr="00A0020D">
        <w:rPr>
          <w:rFonts w:ascii="Times New Roman" w:hAnsi="Times New Roman" w:cs="Times New Roman"/>
          <w:color w:val="auto"/>
          <w:lang w:val="en-GB"/>
        </w:rPr>
        <w:t>Table</w:t>
      </w:r>
      <w:r w:rsidRPr="00A0020D">
        <w:rPr>
          <w:rFonts w:ascii="Times New Roman" w:hAnsi="Times New Roman" w:cs="Times New Roman"/>
          <w:color w:val="auto"/>
        </w:rPr>
        <w:t xml:space="preserve"> </w:t>
      </w:r>
      <w:r w:rsidRPr="00A0020D">
        <w:rPr>
          <w:rFonts w:ascii="Times New Roman" w:hAnsi="Times New Roman" w:cs="Times New Roman"/>
          <w:color w:val="auto"/>
        </w:rPr>
        <w:fldChar w:fldCharType="begin"/>
      </w:r>
      <w:r w:rsidRPr="00A0020D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A0020D">
        <w:rPr>
          <w:rFonts w:ascii="Times New Roman" w:hAnsi="Times New Roman" w:cs="Times New Roman"/>
          <w:color w:val="auto"/>
        </w:rPr>
        <w:fldChar w:fldCharType="separate"/>
      </w:r>
      <w:r w:rsidR="00484273">
        <w:rPr>
          <w:rFonts w:ascii="Times New Roman" w:hAnsi="Times New Roman" w:cs="Times New Roman"/>
          <w:noProof/>
          <w:color w:val="auto"/>
        </w:rPr>
        <w:t>1</w:t>
      </w:r>
      <w:r w:rsidRPr="00A0020D">
        <w:rPr>
          <w:rFonts w:ascii="Times New Roman" w:hAnsi="Times New Roman" w:cs="Times New Roman"/>
          <w:color w:val="auto"/>
        </w:rPr>
        <w:fldChar w:fldCharType="end"/>
      </w:r>
      <w:r w:rsidRPr="00A0020D">
        <w:rPr>
          <w:rFonts w:ascii="Times New Roman" w:hAnsi="Times New Roman" w:cs="Times New Roman"/>
          <w:color w:val="auto"/>
          <w:lang w:val="en-GB"/>
        </w:rPr>
        <w:t xml:space="preserve">: Number of containers cleared </w:t>
      </w:r>
      <w:r w:rsidR="00731F16" w:rsidRPr="00A0020D">
        <w:rPr>
          <w:rFonts w:ascii="Times New Roman" w:hAnsi="Times New Roman" w:cs="Times New Roman"/>
          <w:color w:val="auto"/>
          <w:lang w:val="en-GB"/>
        </w:rPr>
        <w:t xml:space="preserve">per month since the launch of </w:t>
      </w:r>
      <w:r w:rsidRPr="00A0020D">
        <w:rPr>
          <w:rFonts w:ascii="Times New Roman" w:hAnsi="Times New Roman" w:cs="Times New Roman"/>
          <w:color w:val="auto"/>
          <w:lang w:val="en-GB"/>
        </w:rPr>
        <w:t>the Odessa Port Community System</w:t>
      </w:r>
    </w:p>
    <w:p w:rsidR="00F94355" w:rsidRDefault="00F94355" w:rsidP="00F94355">
      <w:pPr>
        <w:pStyle w:val="Default"/>
        <w:rPr>
          <w:rFonts w:ascii="Times New Roman" w:eastAsia="Times New Roman" w:hAnsi="Times New Roman" w:cs="Times New Roman"/>
          <w:noProof/>
          <w:lang w:eastAsia="uk-UA"/>
        </w:rPr>
      </w:pPr>
    </w:p>
    <w:p w:rsidR="00055AC8" w:rsidRPr="001D7CC1" w:rsidRDefault="00242532" w:rsidP="00190B38">
      <w:pPr>
        <w:pStyle w:val="Default"/>
        <w:jc w:val="both"/>
        <w:rPr>
          <w:rFonts w:ascii="Times New Roman" w:eastAsia="Times New Roman" w:hAnsi="Times New Roman" w:cs="Times New Roman"/>
          <w:noProof/>
          <w:lang w:eastAsia="uk-UA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t xml:space="preserve">The objectives of the seminar include exploring possibilities </w:t>
      </w:r>
      <w:r w:rsidR="00731F16">
        <w:rPr>
          <w:rFonts w:ascii="Times New Roman" w:eastAsia="Times New Roman" w:hAnsi="Times New Roman" w:cs="Times New Roman"/>
          <w:noProof/>
          <w:lang w:eastAsia="uk-UA"/>
        </w:rPr>
        <w:t>t</w:t>
      </w:r>
      <w:r>
        <w:rPr>
          <w:rFonts w:ascii="Times New Roman" w:eastAsia="Times New Roman" w:hAnsi="Times New Roman" w:cs="Times New Roman"/>
          <w:noProof/>
          <w:lang w:eastAsia="uk-UA"/>
        </w:rPr>
        <w:t>o</w:t>
      </w:r>
      <w:r w:rsidR="00731F16">
        <w:rPr>
          <w:rFonts w:ascii="Times New Roman" w:eastAsia="Times New Roman" w:hAnsi="Times New Roman" w:cs="Times New Roman"/>
          <w:noProof/>
          <w:lang w:eastAsia="uk-UA"/>
        </w:rPr>
        <w:t xml:space="preserve"> expand</w:t>
      </w:r>
      <w:r>
        <w:rPr>
          <w:rFonts w:ascii="Times New Roman" w:eastAsia="Times New Roman" w:hAnsi="Times New Roman" w:cs="Times New Roman"/>
          <w:noProof/>
          <w:lang w:eastAsia="uk-UA"/>
        </w:rPr>
        <w:t xml:space="preserve"> the use of the system </w:t>
      </w:r>
      <w:r w:rsidR="00731F16">
        <w:rPr>
          <w:rFonts w:ascii="Times New Roman" w:eastAsia="Times New Roman" w:hAnsi="Times New Roman" w:cs="Times New Roman"/>
          <w:noProof/>
          <w:lang w:eastAsia="uk-UA"/>
        </w:rPr>
        <w:t xml:space="preserve">and </w:t>
      </w:r>
      <w:r w:rsidR="006A4B9D">
        <w:rPr>
          <w:rFonts w:ascii="Times New Roman" w:eastAsia="Times New Roman" w:hAnsi="Times New Roman" w:cs="Times New Roman"/>
          <w:noProof/>
          <w:lang w:eastAsia="uk-UA"/>
        </w:rPr>
        <w:t>cover export procedures (</w:t>
      </w:r>
      <w:r w:rsidR="00731F16">
        <w:rPr>
          <w:rFonts w:ascii="Times New Roman" w:eastAsia="Times New Roman" w:hAnsi="Times New Roman" w:cs="Times New Roman"/>
          <w:noProof/>
          <w:lang w:eastAsia="uk-UA"/>
        </w:rPr>
        <w:t xml:space="preserve">in addition to the </w:t>
      </w:r>
      <w:r w:rsidR="006A4B9D">
        <w:rPr>
          <w:rFonts w:ascii="Times New Roman" w:eastAsia="Times New Roman" w:hAnsi="Times New Roman" w:cs="Times New Roman"/>
          <w:noProof/>
          <w:lang w:eastAsia="uk-UA"/>
        </w:rPr>
        <w:t xml:space="preserve">current </w:t>
      </w:r>
      <w:r>
        <w:rPr>
          <w:rFonts w:ascii="Times New Roman" w:eastAsia="Times New Roman" w:hAnsi="Times New Roman" w:cs="Times New Roman"/>
          <w:noProof/>
          <w:lang w:eastAsia="uk-UA"/>
        </w:rPr>
        <w:t>concentration on import</w:t>
      </w:r>
      <w:r w:rsidR="006A4B9D">
        <w:rPr>
          <w:rFonts w:ascii="Times New Roman" w:eastAsia="Times New Roman" w:hAnsi="Times New Roman" w:cs="Times New Roman"/>
          <w:noProof/>
          <w:lang w:eastAsia="uk-UA"/>
        </w:rPr>
        <w:t>s</w:t>
      </w:r>
      <w:r w:rsidR="00055AC8">
        <w:rPr>
          <w:rFonts w:ascii="Times New Roman" w:eastAsia="Times New Roman" w:hAnsi="Times New Roman" w:cs="Times New Roman"/>
          <w:noProof/>
          <w:lang w:eastAsia="uk-UA"/>
        </w:rPr>
        <w:t>)</w:t>
      </w:r>
      <w:r w:rsidR="009731BF">
        <w:rPr>
          <w:rFonts w:ascii="Times New Roman" w:eastAsia="Times New Roman" w:hAnsi="Times New Roman" w:cs="Times New Roman"/>
          <w:noProof/>
          <w:lang w:eastAsia="uk-UA"/>
        </w:rPr>
        <w:t>;</w:t>
      </w:r>
      <w:r>
        <w:rPr>
          <w:rFonts w:ascii="Times New Roman" w:eastAsia="Times New Roman" w:hAnsi="Times New Roman" w:cs="Times New Roman"/>
          <w:noProof/>
          <w:lang w:eastAsia="uk-UA"/>
        </w:rPr>
        <w:t xml:space="preserve"> </w:t>
      </w:r>
      <w:r w:rsidR="006A4B9D">
        <w:rPr>
          <w:rFonts w:ascii="Times New Roman" w:eastAsia="Times New Roman" w:hAnsi="Times New Roman" w:cs="Times New Roman"/>
          <w:noProof/>
          <w:lang w:eastAsia="uk-UA"/>
        </w:rPr>
        <w:t xml:space="preserve">various types of cargo beyond containers; all processes, types of transport and types of goods. </w:t>
      </w:r>
      <w:r w:rsidR="001D7CC1">
        <w:rPr>
          <w:rFonts w:ascii="Times New Roman" w:eastAsia="Times New Roman" w:hAnsi="Times New Roman" w:cs="Times New Roman"/>
          <w:noProof/>
          <w:lang w:eastAsia="uk-UA"/>
        </w:rPr>
        <w:t>It is necessary to automate, for example, the certificates for exports</w:t>
      </w:r>
      <w:r w:rsidR="008E6ACD">
        <w:rPr>
          <w:rFonts w:ascii="Times New Roman" w:eastAsia="Times New Roman" w:hAnsi="Times New Roman" w:cs="Times New Roman"/>
          <w:noProof/>
          <w:lang w:val="bg-BG" w:eastAsia="uk-UA"/>
        </w:rPr>
        <w:t xml:space="preserve"> </w:t>
      </w:r>
      <w:r w:rsidR="008E6ACD" w:rsidRPr="008E6ACD">
        <w:rPr>
          <w:rFonts w:ascii="Times New Roman" w:eastAsia="Times New Roman" w:hAnsi="Times New Roman" w:cs="Times New Roman"/>
          <w:noProof/>
          <w:lang w:eastAsia="uk-UA"/>
        </w:rPr>
        <w:t>of cereals</w:t>
      </w:r>
      <w:r w:rsidR="001D7CC1">
        <w:rPr>
          <w:rFonts w:ascii="Times New Roman" w:eastAsia="Times New Roman" w:hAnsi="Times New Roman" w:cs="Times New Roman"/>
          <w:noProof/>
          <w:lang w:eastAsia="uk-UA"/>
        </w:rPr>
        <w:t xml:space="preserve">. </w:t>
      </w:r>
      <w:r w:rsidR="001D7CC1" w:rsidRPr="00B617C5">
        <w:rPr>
          <w:rFonts w:ascii="Times New Roman" w:eastAsia="Times New Roman" w:hAnsi="Times New Roman" w:cs="Times New Roman"/>
          <w:noProof/>
          <w:lang w:eastAsia="uk-UA"/>
        </w:rPr>
        <w:t xml:space="preserve">Ukraine is third largest global exporter of corn and sixth </w:t>
      </w:r>
      <w:r w:rsidR="00731F16" w:rsidRPr="00B617C5">
        <w:rPr>
          <w:rFonts w:ascii="Times New Roman" w:eastAsia="Times New Roman" w:hAnsi="Times New Roman" w:cs="Times New Roman"/>
          <w:noProof/>
          <w:lang w:eastAsia="uk-UA"/>
        </w:rPr>
        <w:t xml:space="preserve">of wheat </w:t>
      </w:r>
      <w:r w:rsidR="001D7CC1" w:rsidRPr="00B617C5">
        <w:rPr>
          <w:rFonts w:ascii="Times New Roman" w:eastAsia="Times New Roman" w:hAnsi="Times New Roman" w:cs="Times New Roman"/>
          <w:noProof/>
          <w:lang w:eastAsia="uk-UA"/>
        </w:rPr>
        <w:t xml:space="preserve">yet, reportedly, </w:t>
      </w:r>
      <w:r w:rsidR="00731F16" w:rsidRPr="00B617C5">
        <w:rPr>
          <w:rFonts w:ascii="Times New Roman" w:eastAsia="Times New Roman" w:hAnsi="Times New Roman" w:cs="Times New Roman"/>
          <w:noProof/>
          <w:lang w:eastAsia="uk-UA"/>
        </w:rPr>
        <w:t>trade flows</w:t>
      </w:r>
      <w:r w:rsidR="001D7CC1" w:rsidRPr="00B617C5">
        <w:rPr>
          <w:rFonts w:ascii="Times New Roman" w:eastAsia="Times New Roman" w:hAnsi="Times New Roman" w:cs="Times New Roman"/>
          <w:noProof/>
          <w:lang w:eastAsia="uk-UA"/>
        </w:rPr>
        <w:t xml:space="preserve"> are choked by bureaucratic</w:t>
      </w:r>
      <w:r w:rsidR="005B4678" w:rsidRPr="00B617C5">
        <w:rPr>
          <w:rFonts w:ascii="Times New Roman" w:eastAsia="Times New Roman" w:hAnsi="Times New Roman" w:cs="Times New Roman"/>
          <w:noProof/>
          <w:lang w:eastAsia="uk-UA"/>
        </w:rPr>
        <w:t xml:space="preserve"> obstacles</w:t>
      </w:r>
      <w:r w:rsidR="001D7CC1" w:rsidRPr="00B617C5">
        <w:rPr>
          <w:rFonts w:ascii="Times New Roman" w:eastAsia="Times New Roman" w:hAnsi="Times New Roman" w:cs="Times New Roman"/>
          <w:noProof/>
          <w:lang w:eastAsia="uk-UA"/>
        </w:rPr>
        <w:t xml:space="preserve">: export certificates not available, payments </w:t>
      </w:r>
      <w:r w:rsidR="00A0020D" w:rsidRPr="00B617C5">
        <w:rPr>
          <w:rFonts w:ascii="Times New Roman" w:eastAsia="Times New Roman" w:hAnsi="Times New Roman" w:cs="Times New Roman"/>
          <w:noProof/>
          <w:lang w:eastAsia="uk-UA"/>
        </w:rPr>
        <w:t>requir</w:t>
      </w:r>
      <w:r w:rsidR="005B4678" w:rsidRPr="00B617C5">
        <w:rPr>
          <w:rFonts w:ascii="Times New Roman" w:eastAsia="Times New Roman" w:hAnsi="Times New Roman" w:cs="Times New Roman"/>
          <w:noProof/>
          <w:lang w:eastAsia="uk-UA"/>
        </w:rPr>
        <w:t xml:space="preserve">ed by </w:t>
      </w:r>
      <w:r w:rsidR="00A0020D" w:rsidRPr="00B617C5">
        <w:rPr>
          <w:rFonts w:ascii="Times New Roman" w:eastAsia="Times New Roman" w:hAnsi="Times New Roman" w:cs="Times New Roman"/>
          <w:noProof/>
          <w:lang w:eastAsia="uk-UA"/>
        </w:rPr>
        <w:t>various</w:t>
      </w:r>
      <w:r w:rsidR="001D7CC1" w:rsidRPr="00B617C5">
        <w:rPr>
          <w:rFonts w:ascii="Times New Roman" w:eastAsia="Times New Roman" w:hAnsi="Times New Roman" w:cs="Times New Roman"/>
          <w:noProof/>
          <w:lang w:eastAsia="uk-UA"/>
        </w:rPr>
        <w:t xml:space="preserve"> person</w:t>
      </w:r>
      <w:r w:rsidR="00A0020D" w:rsidRPr="00B617C5">
        <w:rPr>
          <w:rFonts w:ascii="Times New Roman" w:eastAsia="Times New Roman" w:hAnsi="Times New Roman" w:cs="Times New Roman"/>
          <w:noProof/>
          <w:lang w:eastAsia="uk-UA"/>
        </w:rPr>
        <w:t>s</w:t>
      </w:r>
      <w:r w:rsidR="001D7CC1" w:rsidRPr="00B617C5">
        <w:rPr>
          <w:rFonts w:ascii="Times New Roman" w:eastAsia="Times New Roman" w:hAnsi="Times New Roman" w:cs="Times New Roman"/>
          <w:noProof/>
          <w:lang w:eastAsia="uk-UA"/>
        </w:rPr>
        <w:t>.</w:t>
      </w:r>
      <w:r w:rsidR="005B4678" w:rsidRPr="00B617C5">
        <w:rPr>
          <w:rFonts w:ascii="Times New Roman" w:eastAsia="Times New Roman" w:hAnsi="Times New Roman" w:cs="Times New Roman"/>
          <w:noProof/>
          <w:lang w:eastAsia="uk-UA"/>
        </w:rPr>
        <w:t xml:space="preserve"> Inclusion in the system may eliminate subjective involvement </w:t>
      </w:r>
      <w:r w:rsidR="00967DA0">
        <w:rPr>
          <w:rFonts w:ascii="Times New Roman" w:eastAsia="Times New Roman" w:hAnsi="Times New Roman" w:cs="Times New Roman"/>
          <w:noProof/>
          <w:lang w:eastAsia="uk-UA"/>
        </w:rPr>
        <w:t xml:space="preserve">of </w:t>
      </w:r>
      <w:r w:rsidR="00967DA0" w:rsidRPr="00BE4B34">
        <w:rPr>
          <w:rFonts w:ascii="Times New Roman" w:eastAsia="Times New Roman" w:hAnsi="Times New Roman" w:cs="Times New Roman"/>
          <w:noProof/>
          <w:lang w:eastAsia="uk-UA"/>
        </w:rPr>
        <w:t xml:space="preserve">control officers </w:t>
      </w:r>
      <w:r w:rsidR="005B4678" w:rsidRPr="00BE4B34">
        <w:rPr>
          <w:rFonts w:ascii="Times New Roman" w:eastAsia="Times New Roman" w:hAnsi="Times New Roman" w:cs="Times New Roman"/>
          <w:noProof/>
          <w:lang w:eastAsia="uk-UA"/>
        </w:rPr>
        <w:t xml:space="preserve">and allow for </w:t>
      </w:r>
      <w:r w:rsidR="006A1C08" w:rsidRPr="00BE4B34">
        <w:rPr>
          <w:rFonts w:ascii="Times New Roman" w:eastAsia="Times New Roman" w:hAnsi="Times New Roman" w:cs="Times New Roman"/>
          <w:noProof/>
          <w:lang w:val="en-US" w:eastAsia="uk-UA"/>
        </w:rPr>
        <w:t>more tr</w:t>
      </w:r>
      <w:r w:rsidR="00B617C5" w:rsidRPr="00BE4B34">
        <w:rPr>
          <w:rFonts w:ascii="Times New Roman" w:eastAsia="Times New Roman" w:hAnsi="Times New Roman" w:cs="Times New Roman"/>
          <w:noProof/>
          <w:lang w:val="en-US" w:eastAsia="uk-UA"/>
        </w:rPr>
        <w:t>ansparent and efficient trade procces</w:t>
      </w:r>
      <w:r w:rsidR="003611DD" w:rsidRPr="00BE4B34">
        <w:rPr>
          <w:rFonts w:ascii="Times New Roman" w:eastAsia="Times New Roman" w:hAnsi="Times New Roman" w:cs="Times New Roman"/>
          <w:noProof/>
          <w:lang w:val="en-US" w:eastAsia="uk-UA"/>
        </w:rPr>
        <w:t>s</w:t>
      </w:r>
      <w:r w:rsidR="00B617C5" w:rsidRPr="00BE4B34">
        <w:rPr>
          <w:rFonts w:ascii="Times New Roman" w:eastAsia="Times New Roman" w:hAnsi="Times New Roman" w:cs="Times New Roman"/>
          <w:noProof/>
          <w:lang w:val="en-US" w:eastAsia="uk-UA"/>
        </w:rPr>
        <w:t>es</w:t>
      </w:r>
      <w:r w:rsidR="00B617C5" w:rsidRPr="00B617C5">
        <w:rPr>
          <w:rFonts w:ascii="Times New Roman" w:eastAsia="Times New Roman" w:hAnsi="Times New Roman" w:cs="Times New Roman"/>
          <w:noProof/>
          <w:lang w:val="en-US" w:eastAsia="uk-UA"/>
        </w:rPr>
        <w:t>.</w:t>
      </w:r>
      <w:r w:rsidR="005B4678">
        <w:rPr>
          <w:rFonts w:ascii="Times New Roman" w:eastAsia="Times New Roman" w:hAnsi="Times New Roman" w:cs="Times New Roman"/>
          <w:noProof/>
          <w:lang w:eastAsia="uk-UA"/>
        </w:rPr>
        <w:t xml:space="preserve"> </w:t>
      </w:r>
      <w:r w:rsidR="00F94355">
        <w:rPr>
          <w:rFonts w:ascii="Times New Roman" w:eastAsia="Times New Roman" w:hAnsi="Times New Roman" w:cs="Times New Roman"/>
          <w:noProof/>
          <w:lang w:eastAsia="uk-UA"/>
        </w:rPr>
        <w:t xml:space="preserve">The objectives </w:t>
      </w:r>
      <w:r w:rsidR="00A0020D">
        <w:rPr>
          <w:rFonts w:ascii="Times New Roman" w:eastAsia="Times New Roman" w:hAnsi="Times New Roman" w:cs="Times New Roman"/>
          <w:noProof/>
          <w:lang w:eastAsia="uk-UA"/>
        </w:rPr>
        <w:t xml:space="preserve">of the seminar </w:t>
      </w:r>
      <w:r w:rsidR="00F94355">
        <w:rPr>
          <w:rFonts w:ascii="Times New Roman" w:eastAsia="Times New Roman" w:hAnsi="Times New Roman" w:cs="Times New Roman"/>
          <w:noProof/>
          <w:lang w:eastAsia="uk-UA"/>
        </w:rPr>
        <w:t>match up t</w:t>
      </w:r>
      <w:r w:rsidR="00515C1D">
        <w:rPr>
          <w:rFonts w:ascii="Times New Roman" w:eastAsia="Times New Roman" w:hAnsi="Times New Roman" w:cs="Times New Roman"/>
          <w:noProof/>
          <w:lang w:eastAsia="uk-UA"/>
        </w:rPr>
        <w:t>he OECD trade facilitation indicators assessment for Ukraine</w:t>
      </w:r>
      <w:r w:rsidR="00F94355">
        <w:rPr>
          <w:rFonts w:ascii="Times New Roman" w:eastAsia="Times New Roman" w:hAnsi="Times New Roman" w:cs="Times New Roman"/>
          <w:noProof/>
          <w:lang w:eastAsia="uk-UA"/>
        </w:rPr>
        <w:t>, which</w:t>
      </w:r>
      <w:r w:rsidR="00515C1D">
        <w:rPr>
          <w:rFonts w:ascii="Times New Roman" w:eastAsia="Times New Roman" w:hAnsi="Times New Roman" w:cs="Times New Roman"/>
          <w:noProof/>
          <w:lang w:eastAsia="uk-UA"/>
        </w:rPr>
        <w:t xml:space="preserve"> suggests </w:t>
      </w:r>
      <w:r w:rsidR="00F94355">
        <w:rPr>
          <w:rFonts w:ascii="Times New Roman" w:eastAsia="Times New Roman" w:hAnsi="Times New Roman" w:cs="Times New Roman"/>
          <w:noProof/>
          <w:lang w:eastAsia="uk-UA"/>
        </w:rPr>
        <w:t xml:space="preserve">that </w:t>
      </w:r>
      <w:r w:rsidR="00F94355" w:rsidRPr="00F94355">
        <w:rPr>
          <w:rFonts w:ascii="Times New Roman" w:eastAsia="Times New Roman" w:hAnsi="Times New Roman" w:cs="Times New Roman"/>
          <w:noProof/>
          <w:lang w:eastAsia="uk-UA"/>
        </w:rPr>
        <w:t xml:space="preserve">Ukraine’s performance in </w:t>
      </w:r>
      <w:r w:rsidR="00F94355" w:rsidRPr="00F94355">
        <w:rPr>
          <w:rFonts w:ascii="Times New Roman" w:eastAsia="Times New Roman" w:hAnsi="Times New Roman" w:cs="Times New Roman"/>
          <w:b/>
          <w:noProof/>
          <w:lang w:eastAsia="uk-UA"/>
        </w:rPr>
        <w:t>automation</w:t>
      </w:r>
      <w:r w:rsidR="00F94355" w:rsidRPr="00F94355">
        <w:rPr>
          <w:rFonts w:ascii="Times New Roman" w:eastAsia="Times New Roman" w:hAnsi="Times New Roman" w:cs="Times New Roman"/>
          <w:noProof/>
          <w:lang w:eastAsia="uk-UA"/>
        </w:rPr>
        <w:t xml:space="preserve">, </w:t>
      </w:r>
      <w:r w:rsidR="00F94355" w:rsidRPr="00F94355">
        <w:rPr>
          <w:rFonts w:ascii="Times New Roman" w:eastAsia="Times New Roman" w:hAnsi="Times New Roman" w:cs="Times New Roman"/>
          <w:b/>
          <w:noProof/>
          <w:lang w:eastAsia="uk-UA"/>
        </w:rPr>
        <w:t>internal border agency co-operation</w:t>
      </w:r>
      <w:r w:rsidR="00F94355" w:rsidRPr="00F94355">
        <w:rPr>
          <w:rFonts w:ascii="Times New Roman" w:eastAsia="Times New Roman" w:hAnsi="Times New Roman" w:cs="Times New Roman"/>
          <w:noProof/>
          <w:lang w:eastAsia="uk-UA"/>
        </w:rPr>
        <w:t xml:space="preserve"> and </w:t>
      </w:r>
      <w:r w:rsidR="00F94355" w:rsidRPr="00F94355">
        <w:rPr>
          <w:rFonts w:ascii="Times New Roman" w:eastAsia="Times New Roman" w:hAnsi="Times New Roman" w:cs="Times New Roman"/>
          <w:b/>
          <w:noProof/>
          <w:lang w:eastAsia="uk-UA"/>
        </w:rPr>
        <w:t>governance and impartiality</w:t>
      </w:r>
      <w:r w:rsidR="00F94355" w:rsidRPr="00F94355">
        <w:rPr>
          <w:rFonts w:ascii="Times New Roman" w:eastAsia="Times New Roman" w:hAnsi="Times New Roman" w:cs="Times New Roman"/>
          <w:noProof/>
          <w:lang w:eastAsia="uk-UA"/>
        </w:rPr>
        <w:t xml:space="preserve"> is below the averages of non-OECD Europe and Central Asia an</w:t>
      </w:r>
      <w:r w:rsidR="00182A22">
        <w:rPr>
          <w:rFonts w:ascii="Times New Roman" w:eastAsia="Times New Roman" w:hAnsi="Times New Roman" w:cs="Times New Roman"/>
          <w:noProof/>
          <w:lang w:eastAsia="uk-UA"/>
        </w:rPr>
        <w:t>d lower middle income countries, and n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>ee</w:t>
      </w:r>
      <w:r w:rsidR="00182A22">
        <w:rPr>
          <w:rFonts w:ascii="Times New Roman" w:eastAsia="Times New Roman" w:hAnsi="Times New Roman" w:cs="Times New Roman"/>
          <w:noProof/>
          <w:lang w:eastAsia="uk-UA"/>
        </w:rPr>
        <w:t xml:space="preserve">ds </w:t>
      </w:r>
      <w:r w:rsidR="00F94355">
        <w:rPr>
          <w:rFonts w:ascii="Times New Roman" w:eastAsia="Times New Roman" w:hAnsi="Times New Roman" w:cs="Times New Roman"/>
          <w:noProof/>
          <w:lang w:eastAsia="uk-UA"/>
        </w:rPr>
        <w:t>measures for improvement.</w:t>
      </w:r>
      <w:r w:rsidR="00182A22" w:rsidRPr="00367754">
        <w:rPr>
          <w:rStyle w:val="FootnoteReference"/>
          <w:rFonts w:ascii="Times New Roman" w:eastAsia="Times New Roman" w:hAnsi="Times New Roman" w:cs="Times New Roman"/>
          <w:noProof/>
          <w:sz w:val="20"/>
          <w:szCs w:val="20"/>
          <w:lang w:eastAsia="uk-UA"/>
        </w:rPr>
        <w:footnoteReference w:id="2"/>
      </w:r>
      <w:r w:rsidR="00F94355">
        <w:rPr>
          <w:rFonts w:ascii="Times New Roman" w:eastAsia="Times New Roman" w:hAnsi="Times New Roman" w:cs="Times New Roman"/>
          <w:noProof/>
          <w:lang w:eastAsia="uk-UA"/>
        </w:rPr>
        <w:t xml:space="preserve"> </w:t>
      </w:r>
    </w:p>
    <w:p w:rsidR="006A4B9D" w:rsidRDefault="006A4B9D" w:rsidP="0019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The programme </w:t>
      </w:r>
      <w:r w:rsidR="001D7CC1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of the seminar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includes a study visit to the port system </w:t>
      </w:r>
      <w:r w:rsidR="005B4678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n the eve of the seminar</w:t>
      </w:r>
      <w:r w:rsidR="00FC47E1" w:rsidRPr="00FC47E1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  <w:r w:rsidR="00FC47E1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on 26 May 2014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. </w:t>
      </w:r>
      <w:r w:rsidR="005B4678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nternational experts will </w:t>
      </w:r>
      <w:r w:rsidR="005B4678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then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make a </w:t>
      </w:r>
      <w:r w:rsidR="00055AC8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peer review, and issue recommendations on what is still missing or should be corrected in the implementation of the project.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</w:p>
    <w:p w:rsidR="00242532" w:rsidRDefault="006A4B9D" w:rsidP="00190B38">
      <w:pPr>
        <w:pStyle w:val="Default"/>
        <w:jc w:val="both"/>
        <w:rPr>
          <w:rFonts w:ascii="Times New Roman" w:eastAsia="Times New Roman" w:hAnsi="Times New Roman" w:cs="Times New Roman"/>
          <w:noProof/>
          <w:lang w:eastAsia="uk-UA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t xml:space="preserve">The </w:t>
      </w:r>
      <w:r w:rsidR="00D06F25">
        <w:rPr>
          <w:rFonts w:ascii="Times New Roman" w:eastAsia="Times New Roman" w:hAnsi="Times New Roman" w:cs="Times New Roman"/>
          <w:noProof/>
          <w:lang w:eastAsia="uk-UA"/>
        </w:rPr>
        <w:t xml:space="preserve">three years of </w:t>
      </w:r>
      <w:r>
        <w:rPr>
          <w:rFonts w:ascii="Times New Roman" w:eastAsia="Times New Roman" w:hAnsi="Times New Roman" w:cs="Times New Roman"/>
          <w:noProof/>
          <w:lang w:eastAsia="uk-UA"/>
        </w:rPr>
        <w:t xml:space="preserve">work </w:t>
      </w:r>
      <w:r w:rsidR="00B65A25">
        <w:rPr>
          <w:rFonts w:ascii="Times New Roman" w:eastAsia="Times New Roman" w:hAnsi="Times New Roman" w:cs="Times New Roman"/>
          <w:noProof/>
          <w:lang w:eastAsia="uk-UA"/>
        </w:rPr>
        <w:t>in support of trade facilitation and the Single Window in Ukraine have focused on a step-by-step approach – from a Port Community System in Odessa to a maritime</w:t>
      </w:r>
      <w:r w:rsidR="00AB27AC">
        <w:rPr>
          <w:rFonts w:ascii="Times New Roman" w:eastAsia="Times New Roman" w:hAnsi="Times New Roman" w:cs="Times New Roman"/>
          <w:noProof/>
          <w:lang w:eastAsia="uk-UA"/>
        </w:rPr>
        <w:t xml:space="preserve">, </w:t>
      </w:r>
      <w:r w:rsidR="00B65A25">
        <w:rPr>
          <w:rFonts w:ascii="Times New Roman" w:eastAsia="Times New Roman" w:hAnsi="Times New Roman" w:cs="Times New Roman"/>
          <w:noProof/>
          <w:lang w:eastAsia="uk-UA"/>
        </w:rPr>
        <w:t>transport Single Window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>,</w:t>
      </w:r>
      <w:r w:rsidR="00B65A25">
        <w:rPr>
          <w:rFonts w:ascii="Times New Roman" w:eastAsia="Times New Roman" w:hAnsi="Times New Roman" w:cs="Times New Roman"/>
          <w:noProof/>
          <w:lang w:eastAsia="uk-UA"/>
        </w:rPr>
        <w:t xml:space="preserve"> to a </w:t>
      </w:r>
      <w:r w:rsidR="00B60534">
        <w:rPr>
          <w:rFonts w:ascii="Times New Roman" w:eastAsia="Times New Roman" w:hAnsi="Times New Roman" w:cs="Times New Roman"/>
          <w:noProof/>
          <w:lang w:eastAsia="uk-UA"/>
        </w:rPr>
        <w:t xml:space="preserve">future </w:t>
      </w:r>
      <w:r w:rsidR="00B65A25">
        <w:rPr>
          <w:rFonts w:ascii="Times New Roman" w:eastAsia="Times New Roman" w:hAnsi="Times New Roman" w:cs="Times New Roman"/>
          <w:noProof/>
          <w:lang w:eastAsia="uk-UA"/>
        </w:rPr>
        <w:t>national</w:t>
      </w:r>
      <w:r w:rsidR="00B60534">
        <w:rPr>
          <w:rFonts w:ascii="Times New Roman" w:eastAsia="Times New Roman" w:hAnsi="Times New Roman" w:cs="Times New Roman"/>
          <w:noProof/>
          <w:lang w:eastAsia="uk-UA"/>
        </w:rPr>
        <w:t>,</w:t>
      </w:r>
      <w:r w:rsidR="00B65A25">
        <w:rPr>
          <w:rFonts w:ascii="Times New Roman" w:eastAsia="Times New Roman" w:hAnsi="Times New Roman" w:cs="Times New Roman"/>
          <w:noProof/>
          <w:lang w:eastAsia="uk-UA"/>
        </w:rPr>
        <w:t xml:space="preserve"> trade and Customs Single Window. The project 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 xml:space="preserve">has </w:t>
      </w:r>
      <w:r w:rsidR="00B65A25">
        <w:rPr>
          <w:rFonts w:ascii="Times New Roman" w:eastAsia="Times New Roman" w:hAnsi="Times New Roman" w:cs="Times New Roman"/>
          <w:noProof/>
          <w:lang w:eastAsia="uk-UA"/>
        </w:rPr>
        <w:t>gradually involved a broad spectrum of stakeholders</w:t>
      </w:r>
      <w:r w:rsidR="00B60534">
        <w:rPr>
          <w:rFonts w:ascii="Times New Roman" w:eastAsia="Times New Roman" w:hAnsi="Times New Roman" w:cs="Times New Roman"/>
          <w:noProof/>
          <w:lang w:eastAsia="uk-UA"/>
        </w:rPr>
        <w:t xml:space="preserve">  from regulatory agencies and the business community</w:t>
      </w:r>
      <w:r w:rsidR="00B65A25">
        <w:rPr>
          <w:rFonts w:ascii="Times New Roman" w:eastAsia="Times New Roman" w:hAnsi="Times New Roman" w:cs="Times New Roman"/>
          <w:noProof/>
          <w:lang w:eastAsia="uk-UA"/>
        </w:rPr>
        <w:t xml:space="preserve">. </w:t>
      </w:r>
      <w:r w:rsidR="007D384D" w:rsidRPr="007D384D">
        <w:rPr>
          <w:rFonts w:ascii="Times New Roman" w:eastAsia="Times New Roman" w:hAnsi="Times New Roman" w:cs="Times New Roman"/>
          <w:noProof/>
          <w:lang w:eastAsia="uk-UA"/>
        </w:rPr>
        <w:t>A Data Processing Centre operates the system</w:t>
      </w:r>
      <w:r w:rsidR="007D384D">
        <w:rPr>
          <w:rFonts w:ascii="Times New Roman" w:eastAsia="Times New Roman" w:hAnsi="Times New Roman" w:cs="Times New Roman"/>
          <w:noProof/>
          <w:lang w:eastAsia="uk-UA"/>
        </w:rPr>
        <w:t xml:space="preserve">. </w:t>
      </w:r>
      <w:r w:rsidR="005B4678">
        <w:rPr>
          <w:rFonts w:ascii="Times New Roman" w:eastAsia="Times New Roman" w:hAnsi="Times New Roman" w:cs="Times New Roman"/>
          <w:noProof/>
          <w:lang w:eastAsia="uk-UA"/>
        </w:rPr>
        <w:t>T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 xml:space="preserve">he next stage – a maritime Single Window servicing all ports </w:t>
      </w:r>
      <w:r w:rsidR="005B4678">
        <w:rPr>
          <w:rFonts w:ascii="Times New Roman" w:eastAsia="Times New Roman" w:hAnsi="Times New Roman" w:cs="Times New Roman"/>
          <w:noProof/>
          <w:lang w:eastAsia="uk-UA"/>
        </w:rPr>
        <w:t xml:space="preserve">in 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 xml:space="preserve">the country - 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>will be launched soon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 xml:space="preserve">. Two options are being 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lastRenderedPageBreak/>
        <w:t xml:space="preserve">considered: Ukraine develops such a system 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 xml:space="preserve">either 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 xml:space="preserve">on its own or 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 xml:space="preserve">through 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>a twinning project with a European country, for example with Finland</w:t>
      </w:r>
      <w:r w:rsidR="005B4678">
        <w:rPr>
          <w:rFonts w:ascii="Times New Roman" w:eastAsia="Times New Roman" w:hAnsi="Times New Roman" w:cs="Times New Roman"/>
          <w:noProof/>
          <w:lang w:eastAsia="uk-UA"/>
        </w:rPr>
        <w:t xml:space="preserve"> – the first country in Europe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>, which has already implemented a maritime sector Single Window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 xml:space="preserve"> (the 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>PortNet system under the Ministry of Transport of Finland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>)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 xml:space="preserve">. 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>The European Commission envisages a network of such national transport Single Window systems, following</w:t>
      </w:r>
      <w:r w:rsidR="00FC47E1" w:rsidRPr="00FC47E1">
        <w:rPr>
          <w:rFonts w:ascii="Times New Roman" w:eastAsia="Times New Roman" w:hAnsi="Times New Roman" w:cs="Times New Roman"/>
          <w:noProof/>
          <w:lang w:eastAsia="uk-UA"/>
        </w:rPr>
        <w:t xml:space="preserve"> </w:t>
      </w:r>
      <w:r w:rsidR="009731BF" w:rsidRPr="009731BF">
        <w:rPr>
          <w:rFonts w:ascii="Times New Roman" w:eastAsia="Times New Roman" w:hAnsi="Times New Roman" w:cs="Times New Roman"/>
          <w:noProof/>
          <w:lang w:eastAsia="uk-UA"/>
        </w:rPr>
        <w:t>D</w:t>
      </w:r>
      <w:r w:rsidR="009731BF">
        <w:rPr>
          <w:rFonts w:ascii="Times New Roman" w:eastAsia="Times New Roman" w:hAnsi="Times New Roman" w:cs="Times New Roman"/>
          <w:noProof/>
          <w:lang w:eastAsia="uk-UA"/>
        </w:rPr>
        <w:t xml:space="preserve">irective </w:t>
      </w:r>
      <w:r w:rsidR="009731BF" w:rsidRPr="009731BF">
        <w:rPr>
          <w:rFonts w:ascii="Times New Roman" w:eastAsia="Times New Roman" w:hAnsi="Times New Roman" w:cs="Times New Roman"/>
          <w:noProof/>
          <w:lang w:eastAsia="uk-UA"/>
        </w:rPr>
        <w:t>2010/65/EU on reporting formalities for ships</w:t>
      </w:r>
      <w:r w:rsidR="00FC47E1">
        <w:rPr>
          <w:rFonts w:ascii="Times New Roman" w:eastAsia="Times New Roman" w:hAnsi="Times New Roman" w:cs="Times New Roman"/>
          <w:noProof/>
          <w:lang w:eastAsia="uk-UA"/>
        </w:rPr>
        <w:t>.</w:t>
      </w:r>
      <w:r w:rsidR="009731BF" w:rsidRPr="009731BF">
        <w:rPr>
          <w:rStyle w:val="FootnoteReference"/>
          <w:rFonts w:ascii="Times New Roman" w:eastAsia="Times New Roman" w:hAnsi="Times New Roman" w:cs="Times New Roman"/>
          <w:noProof/>
          <w:sz w:val="20"/>
          <w:szCs w:val="20"/>
          <w:lang w:eastAsia="uk-UA"/>
        </w:rPr>
        <w:footnoteReference w:id="3"/>
      </w:r>
      <w:r w:rsidR="00FC47E1">
        <w:rPr>
          <w:rFonts w:ascii="Times New Roman" w:eastAsia="Times New Roman" w:hAnsi="Times New Roman" w:cs="Times New Roman"/>
          <w:noProof/>
          <w:lang w:eastAsia="uk-UA"/>
        </w:rPr>
        <w:t xml:space="preserve"> </w:t>
      </w:r>
      <w:r w:rsidR="000E022C">
        <w:rPr>
          <w:rFonts w:ascii="Times New Roman" w:eastAsia="Times New Roman" w:hAnsi="Times New Roman" w:cs="Times New Roman"/>
          <w:noProof/>
          <w:lang w:eastAsia="uk-UA"/>
        </w:rPr>
        <w:t>Putting in place s</w:t>
      </w:r>
      <w:r w:rsidR="001D7CC1">
        <w:rPr>
          <w:rFonts w:ascii="Times New Roman" w:eastAsia="Times New Roman" w:hAnsi="Times New Roman" w:cs="Times New Roman"/>
          <w:noProof/>
          <w:lang w:eastAsia="uk-UA"/>
        </w:rPr>
        <w:t>uch a project would ensure, on the one hand, the transfer of most innova</w:t>
      </w:r>
      <w:r w:rsidR="00501863">
        <w:rPr>
          <w:rFonts w:ascii="Times New Roman" w:eastAsia="Times New Roman" w:hAnsi="Times New Roman" w:cs="Times New Roman"/>
          <w:noProof/>
          <w:lang w:eastAsia="uk-UA"/>
        </w:rPr>
        <w:t xml:space="preserve">tive techniques used in Europe. On the other hand, using the experience of </w:t>
      </w:r>
      <w:r w:rsidR="009731BF">
        <w:rPr>
          <w:rFonts w:ascii="Times New Roman" w:eastAsia="Times New Roman" w:hAnsi="Times New Roman" w:cs="Times New Roman"/>
          <w:noProof/>
          <w:lang w:eastAsia="uk-UA"/>
        </w:rPr>
        <w:t>one of the most advanced European countries</w:t>
      </w:r>
      <w:r w:rsidR="00501863">
        <w:rPr>
          <w:rFonts w:ascii="Times New Roman" w:eastAsia="Times New Roman" w:hAnsi="Times New Roman" w:cs="Times New Roman"/>
          <w:noProof/>
          <w:lang w:eastAsia="uk-UA"/>
        </w:rPr>
        <w:t xml:space="preserve"> will help </w:t>
      </w:r>
      <w:r w:rsidR="00004278">
        <w:rPr>
          <w:rFonts w:ascii="Times New Roman" w:eastAsia="Times New Roman" w:hAnsi="Times New Roman" w:cs="Times New Roman"/>
          <w:noProof/>
          <w:lang w:eastAsia="uk-UA"/>
        </w:rPr>
        <w:t xml:space="preserve">introduce </w:t>
      </w:r>
      <w:r w:rsidR="00501863">
        <w:rPr>
          <w:rFonts w:ascii="Times New Roman" w:eastAsia="Times New Roman" w:hAnsi="Times New Roman" w:cs="Times New Roman"/>
          <w:noProof/>
          <w:lang w:eastAsia="uk-UA"/>
        </w:rPr>
        <w:t xml:space="preserve">more transparency in </w:t>
      </w:r>
      <w:r w:rsidR="00004278">
        <w:rPr>
          <w:rFonts w:ascii="Times New Roman" w:eastAsia="Times New Roman" w:hAnsi="Times New Roman" w:cs="Times New Roman"/>
          <w:noProof/>
          <w:lang w:eastAsia="uk-UA"/>
        </w:rPr>
        <w:t xml:space="preserve">the project. </w:t>
      </w:r>
    </w:p>
    <w:p w:rsidR="004B406C" w:rsidRDefault="000E022C" w:rsidP="0019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A key issue is the need to define clear principles of pu</w:t>
      </w:r>
      <w:r w:rsidR="00055AC8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blic-private partnership for the establishment and functioning of the 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Port Community System and</w:t>
      </w:r>
      <w:r w:rsidR="00501863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,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  <w:r w:rsidR="00501863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on a later stage, 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the Single Window. It is important to define </w:t>
      </w:r>
      <w:r w:rsidR="00501863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from the outset clear rules, 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relationships and obligations of the public and private sectors, so that </w:t>
      </w:r>
      <w:r w:rsidR="00501863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misunderstandings do not derail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the process of implementation or the 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regulatory functions of the State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. The </w:t>
      </w:r>
      <w:r w:rsidR="00501863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system 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should be built as a public good that must become </w:t>
      </w:r>
      <w:r w:rsidR="00501863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an instrument for improved governance, transparency and efficiency, involving all stakeholders and curbing monopolist tendencies</w:t>
      </w:r>
      <w:r w:rsidR="00993C99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. </w:t>
      </w:r>
    </w:p>
    <w:p w:rsidR="00004278" w:rsidRDefault="00A44D23" w:rsidP="0019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 local, sectorial or national Single Window can </w:t>
      </w:r>
      <w:r w:rsid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function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eff</w:t>
      </w:r>
      <w:r w:rsid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ectively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only if linked to the development of efficient trade and transport corridors and regional cooperation. </w:t>
      </w:r>
      <w:r w:rsid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This c</w:t>
      </w:r>
      <w:r w:rsidR="00367754" w:rsidRP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an provide a measure of predictability, reliability and access to markets crucial to trade and </w:t>
      </w:r>
      <w:r w:rsid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supply chain </w:t>
      </w:r>
      <w:r w:rsidR="00367754" w:rsidRP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logistics</w:t>
      </w:r>
      <w:r w:rsid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One of the sessions at the seminar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, organized in cooperation with the Black Sea Economic Cooperation (BSEC),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is dedicated to the </w:t>
      </w:r>
      <w:r w:rsid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idea of promoting Port Community and Single Window systems in the Black Sea region, and creating a network of information exchange among them - a 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regional </w:t>
      </w:r>
      <w:r w:rsidR="00367754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network of systems. </w:t>
      </w:r>
    </w:p>
    <w:p w:rsidR="00367754" w:rsidRDefault="00367754" w:rsidP="00190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 first draft of a National Trade Facilitation Strategy for Ukraine has been developed and undergoes 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now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 stakeholder review. It is expected that by the time of the seminar, the Strategy will 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develop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further, 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and will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be presented to the 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Govern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m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n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of Ukrain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e for adoption, further develop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m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ent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and implementation. The logic of this strategy is to define the current </w:t>
      </w:r>
      <w:r w:rsidR="00B1658E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procedural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im</w:t>
      </w:r>
      <w:r w:rsidR="00B1658E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pediments to trade, measure them (e.g. time and cost for the clearance of a container) and suggest measures and indicators for improvement in a year, fiv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e years, ten years, etc. The do</w:t>
      </w:r>
      <w:r w:rsidR="00B1658E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cument will include definitions of the key terms and the vision of the strategy</w:t>
      </w:r>
      <w:r w:rsidR="00212D2F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, a governance structure for its</w:t>
      </w:r>
      <w:r w:rsidR="00B1658E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implementation, an action and budget plan. </w:t>
      </w:r>
    </w:p>
    <w:p w:rsidR="00F7227C" w:rsidRPr="00623BDD" w:rsidRDefault="00144EC3" w:rsidP="0019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uk-UA"/>
        </w:rPr>
      </w:pPr>
      <w:r w:rsidRPr="00623BD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uk-UA"/>
        </w:rPr>
        <w:t xml:space="preserve">Expected </w:t>
      </w:r>
      <w:r w:rsidR="009530EA" w:rsidRPr="00623BD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uk-UA"/>
        </w:rPr>
        <w:t>o</w:t>
      </w:r>
      <w:r w:rsidR="00F7227C" w:rsidRPr="00623BD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uk-UA"/>
        </w:rPr>
        <w:t xml:space="preserve">utcomes: </w:t>
      </w:r>
    </w:p>
    <w:p w:rsidR="00B1658E" w:rsidRPr="00B1658E" w:rsidRDefault="00B1658E" w:rsidP="00190B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Brief peer review of the implementation of the Port Community System in Odessa</w:t>
      </w:r>
      <w:r w:rsidR="00C95652" w:rsidRPr="003611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7227C" w:rsidRPr="00623BDD" w:rsidRDefault="00144EC3" w:rsidP="00190B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 w:rsidRPr="00623BDD">
        <w:rPr>
          <w:rFonts w:ascii="Times New Roman" w:hAnsi="Times New Roman" w:cs="Times New Roman"/>
          <w:sz w:val="24"/>
          <w:szCs w:val="24"/>
          <w:lang w:val="en-GB"/>
        </w:rPr>
        <w:t xml:space="preserve">Outline </w:t>
      </w:r>
      <w:r w:rsidR="00B1658E">
        <w:rPr>
          <w:rFonts w:ascii="Times New Roman" w:hAnsi="Times New Roman" w:cs="Times New Roman"/>
          <w:sz w:val="24"/>
          <w:szCs w:val="24"/>
          <w:lang w:val="en-GB"/>
        </w:rPr>
        <w:t xml:space="preserve">of the next steps in the implementation of the </w:t>
      </w:r>
      <w:r w:rsidRPr="00623BDD">
        <w:rPr>
          <w:rFonts w:ascii="Times New Roman" w:hAnsi="Times New Roman" w:cs="Times New Roman"/>
          <w:sz w:val="24"/>
          <w:szCs w:val="24"/>
          <w:lang w:val="en-GB"/>
        </w:rPr>
        <w:t>Single Window</w:t>
      </w:r>
      <w:r w:rsidR="00B1658E">
        <w:rPr>
          <w:rFonts w:ascii="Times New Roman" w:hAnsi="Times New Roman" w:cs="Times New Roman"/>
          <w:sz w:val="24"/>
          <w:szCs w:val="24"/>
          <w:lang w:val="en-GB"/>
        </w:rPr>
        <w:t xml:space="preserve"> concept in Ukraine: </w:t>
      </w:r>
      <w:r w:rsidRPr="00623BDD">
        <w:rPr>
          <w:rFonts w:ascii="Times New Roman" w:hAnsi="Times New Roman" w:cs="Times New Roman"/>
          <w:sz w:val="24"/>
          <w:szCs w:val="24"/>
          <w:lang w:val="en-GB"/>
        </w:rPr>
        <w:t xml:space="preserve">maritime </w:t>
      </w:r>
      <w:r w:rsidR="00B1658E">
        <w:rPr>
          <w:rFonts w:ascii="Times New Roman" w:hAnsi="Times New Roman" w:cs="Times New Roman"/>
          <w:sz w:val="24"/>
          <w:szCs w:val="24"/>
          <w:lang w:val="en-GB"/>
        </w:rPr>
        <w:t xml:space="preserve">transport </w:t>
      </w:r>
      <w:r w:rsidRPr="00623BDD">
        <w:rPr>
          <w:rFonts w:ascii="Times New Roman" w:hAnsi="Times New Roman" w:cs="Times New Roman"/>
          <w:sz w:val="24"/>
          <w:szCs w:val="24"/>
          <w:lang w:val="en-GB"/>
        </w:rPr>
        <w:t xml:space="preserve">Single Window </w:t>
      </w:r>
      <w:r w:rsidR="00B1658E">
        <w:rPr>
          <w:rFonts w:ascii="Times New Roman" w:hAnsi="Times New Roman" w:cs="Times New Roman"/>
          <w:sz w:val="24"/>
          <w:szCs w:val="24"/>
          <w:lang w:val="en-GB"/>
        </w:rPr>
        <w:t>and a national trade/Customs Single Window</w:t>
      </w:r>
      <w:r w:rsidR="00C95652" w:rsidRPr="003611D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7227C" w:rsidRPr="00623B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12D2F" w:rsidRPr="00212D2F" w:rsidRDefault="004566CE" w:rsidP="00190B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Proposals for further </w:t>
      </w:r>
      <w:r w:rsidR="00144EC3" w:rsidRPr="00623BD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data harmonization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and alignment with international standards</w:t>
      </w:r>
      <w:r w:rsidR="00C95652" w:rsidRPr="003611DD">
        <w:rPr>
          <w:rFonts w:ascii="Times New Roman" w:eastAsia="Times New Roman" w:hAnsi="Times New Roman" w:cs="Times New Roman"/>
          <w:noProof/>
          <w:sz w:val="24"/>
          <w:szCs w:val="24"/>
          <w:lang w:val="en-US" w:eastAsia="uk-UA"/>
        </w:rPr>
        <w:t>;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</w:p>
    <w:p w:rsidR="00F7227C" w:rsidRDefault="004566CE" w:rsidP="00190B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Proposals for interorganizational systems of trade and multimodal transport information exchange in the Black Sea region</w:t>
      </w:r>
      <w:r w:rsidR="007D384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and establishing a network of such systems</w:t>
      </w:r>
      <w:r w:rsidR="00C95652" w:rsidRPr="003611DD">
        <w:rPr>
          <w:rFonts w:ascii="Times New Roman" w:eastAsia="Times New Roman" w:hAnsi="Times New Roman" w:cs="Times New Roman"/>
          <w:noProof/>
          <w:sz w:val="24"/>
          <w:szCs w:val="24"/>
          <w:lang w:val="en-US" w:eastAsia="uk-UA"/>
        </w:rPr>
        <w:t>;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</w:p>
    <w:p w:rsidR="009A3E1F" w:rsidRPr="00212D2F" w:rsidRDefault="007D384D" w:rsidP="00190B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Assessment of the d</w:t>
      </w:r>
      <w:r w:rsidR="004566CE">
        <w:rPr>
          <w:rFonts w:ascii="Times New Roman" w:hAnsi="Times New Roman" w:cs="Times New Roman"/>
          <w:sz w:val="24"/>
          <w:szCs w:val="24"/>
          <w:lang w:val="en-GB"/>
        </w:rPr>
        <w:t xml:space="preserve">raft </w:t>
      </w:r>
      <w:r w:rsidR="009A3E1F" w:rsidRPr="00623BDD">
        <w:rPr>
          <w:rFonts w:ascii="Times New Roman" w:hAnsi="Times New Roman" w:cs="Times New Roman"/>
          <w:sz w:val="24"/>
          <w:szCs w:val="24"/>
          <w:lang w:val="en-GB"/>
        </w:rPr>
        <w:t>national trade facilitation str</w:t>
      </w:r>
      <w:r w:rsidR="004566CE">
        <w:rPr>
          <w:rFonts w:ascii="Times New Roman" w:hAnsi="Times New Roman" w:cs="Times New Roman"/>
          <w:sz w:val="24"/>
          <w:szCs w:val="24"/>
          <w:lang w:val="en-GB"/>
        </w:rPr>
        <w:t>ategy for Ukraine with cleared indicators for improvement</w:t>
      </w:r>
      <w:r w:rsidR="00C95652" w:rsidRPr="003611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2D2F" w:rsidRPr="009A3E1F" w:rsidRDefault="00212D2F" w:rsidP="00190B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Key principles for Public-Private Partnership for trade facilitation and Single Window mechanisms in the region. </w:t>
      </w:r>
    </w:p>
    <w:p w:rsidR="00F21BA5" w:rsidRPr="00623BDD" w:rsidRDefault="00F7227C" w:rsidP="00190B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623BD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For more information, please contact Mario Apostolov at </w:t>
      </w:r>
      <w:hyperlink r:id="rId10" w:history="1">
        <w:r w:rsidRPr="00623BD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GB" w:eastAsia="uk-UA"/>
          </w:rPr>
          <w:t>mario.apostolov@unece.org</w:t>
        </w:r>
      </w:hyperlink>
      <w:r w:rsidRPr="00623BDD"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>.</w:t>
      </w:r>
      <w:r w:rsidRPr="00623BDD">
        <w:rPr>
          <w:rFonts w:ascii="Times New Roman" w:eastAsia="Times New Roman" w:hAnsi="Times New Roman" w:cs="Times New Roman"/>
          <w:noProof/>
          <w:sz w:val="24"/>
          <w:szCs w:val="24"/>
          <w:lang w:val="en-GB" w:eastAsia="uk-UA"/>
        </w:rPr>
        <w:t xml:space="preserve"> </w:t>
      </w:r>
    </w:p>
    <w:sectPr w:rsidR="00F21BA5" w:rsidRPr="00623BDD" w:rsidSect="005510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73" w:rsidRDefault="00484273" w:rsidP="00242532">
      <w:pPr>
        <w:spacing w:after="0" w:line="240" w:lineRule="auto"/>
      </w:pPr>
      <w:r>
        <w:separator/>
      </w:r>
    </w:p>
  </w:endnote>
  <w:endnote w:type="continuationSeparator" w:id="0">
    <w:p w:rsidR="00484273" w:rsidRDefault="00484273" w:rsidP="0024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0A" w:rsidRDefault="00551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0A" w:rsidRDefault="00551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0A" w:rsidRDefault="00551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73" w:rsidRDefault="00484273" w:rsidP="00242532">
      <w:pPr>
        <w:spacing w:after="0" w:line="240" w:lineRule="auto"/>
      </w:pPr>
      <w:r>
        <w:separator/>
      </w:r>
    </w:p>
  </w:footnote>
  <w:footnote w:type="continuationSeparator" w:id="0">
    <w:p w:rsidR="00484273" w:rsidRDefault="00484273" w:rsidP="00242532">
      <w:pPr>
        <w:spacing w:after="0" w:line="240" w:lineRule="auto"/>
      </w:pPr>
      <w:r>
        <w:continuationSeparator/>
      </w:r>
    </w:p>
  </w:footnote>
  <w:footnote w:id="1">
    <w:p w:rsidR="00484273" w:rsidRPr="00182A22" w:rsidRDefault="00484273">
      <w:pPr>
        <w:pStyle w:val="FootnoteText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2A22">
        <w:rPr>
          <w:rFonts w:ascii="Times New Roman" w:hAnsi="Times New Roman" w:cs="Times New Roman"/>
          <w:lang w:val="en-GB"/>
        </w:rPr>
        <w:t xml:space="preserve">See </w:t>
      </w:r>
      <w:r w:rsidRPr="00182A22">
        <w:rPr>
          <w:rFonts w:ascii="Times New Roman" w:hAnsi="Times New Roman" w:cs="Times New Roman"/>
        </w:rPr>
        <w:t>http://www.singlewindow.org/upload/statistika/</w:t>
      </w:r>
    </w:p>
  </w:footnote>
  <w:footnote w:id="2">
    <w:p w:rsidR="00484273" w:rsidRPr="00182A22" w:rsidRDefault="0048427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82A22">
        <w:rPr>
          <w:rFonts w:ascii="Times New Roman" w:hAnsi="Times New Roman" w:cs="Times New Roman"/>
        </w:rPr>
        <w:t>http://www.oecd.org/tad/facilitation/Ukraine_OECD-Trade-Facilitation-Indicators.pdf</w:t>
      </w:r>
    </w:p>
  </w:footnote>
  <w:footnote w:id="3">
    <w:p w:rsidR="00484273" w:rsidRPr="009731BF" w:rsidRDefault="00484273">
      <w:pPr>
        <w:pStyle w:val="FootnoteText"/>
        <w:rPr>
          <w:rFonts w:ascii="Times New Roman" w:hAnsi="Times New Roman" w:cs="Times New Roman"/>
          <w:lang w:val="en-GB"/>
        </w:rPr>
      </w:pPr>
      <w:r w:rsidRPr="009731BF">
        <w:rPr>
          <w:rStyle w:val="FootnoteReference"/>
          <w:rFonts w:ascii="Times New Roman" w:hAnsi="Times New Roman" w:cs="Times New Roman"/>
        </w:rPr>
        <w:footnoteRef/>
      </w:r>
      <w:r w:rsidRPr="009731BF">
        <w:rPr>
          <w:rFonts w:ascii="Times New Roman" w:hAnsi="Times New Roman" w:cs="Times New Roman"/>
        </w:rPr>
        <w:t xml:space="preserve"> http://eur-lex.europa.eu/LexUriServ/LexUriServ.do?uri=OJ:L:2010:283:0001:0010:EN:PDF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0A" w:rsidRDefault="00551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053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00A" w:rsidRDefault="005510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00A" w:rsidRDefault="005510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0A" w:rsidRDefault="0055100A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2BF"/>
    <w:multiLevelType w:val="hybridMultilevel"/>
    <w:tmpl w:val="5D6A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7D34"/>
    <w:multiLevelType w:val="hybridMultilevel"/>
    <w:tmpl w:val="1A04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4F0D"/>
    <w:multiLevelType w:val="hybridMultilevel"/>
    <w:tmpl w:val="A8AC641A"/>
    <w:lvl w:ilvl="0" w:tplc="2D883A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11DC"/>
    <w:multiLevelType w:val="hybridMultilevel"/>
    <w:tmpl w:val="B4DA8466"/>
    <w:lvl w:ilvl="0" w:tplc="A3568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2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2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E8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2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4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6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0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4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EA06D0"/>
    <w:multiLevelType w:val="hybridMultilevel"/>
    <w:tmpl w:val="848430CE"/>
    <w:lvl w:ilvl="0" w:tplc="9826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8"/>
    <w:rsid w:val="00004278"/>
    <w:rsid w:val="00025D30"/>
    <w:rsid w:val="00055AC8"/>
    <w:rsid w:val="000733F5"/>
    <w:rsid w:val="000D0969"/>
    <w:rsid w:val="000E022C"/>
    <w:rsid w:val="000E51BD"/>
    <w:rsid w:val="00144EC3"/>
    <w:rsid w:val="001823B0"/>
    <w:rsid w:val="00182A22"/>
    <w:rsid w:val="00190B38"/>
    <w:rsid w:val="001D7CC1"/>
    <w:rsid w:val="001E1C26"/>
    <w:rsid w:val="001F764C"/>
    <w:rsid w:val="00203179"/>
    <w:rsid w:val="00212D2F"/>
    <w:rsid w:val="002166A3"/>
    <w:rsid w:val="002278DD"/>
    <w:rsid w:val="00242532"/>
    <w:rsid w:val="00244AC5"/>
    <w:rsid w:val="00273F90"/>
    <w:rsid w:val="00293002"/>
    <w:rsid w:val="00293D54"/>
    <w:rsid w:val="002D2B9A"/>
    <w:rsid w:val="003306B1"/>
    <w:rsid w:val="00333A2F"/>
    <w:rsid w:val="00344B38"/>
    <w:rsid w:val="003611DD"/>
    <w:rsid w:val="00367754"/>
    <w:rsid w:val="003A0BB6"/>
    <w:rsid w:val="003F2142"/>
    <w:rsid w:val="00410017"/>
    <w:rsid w:val="004472AB"/>
    <w:rsid w:val="004566CE"/>
    <w:rsid w:val="00484273"/>
    <w:rsid w:val="004B406C"/>
    <w:rsid w:val="004E4DE1"/>
    <w:rsid w:val="00501863"/>
    <w:rsid w:val="00510038"/>
    <w:rsid w:val="00511465"/>
    <w:rsid w:val="00512119"/>
    <w:rsid w:val="00515C1D"/>
    <w:rsid w:val="0055100A"/>
    <w:rsid w:val="005A3CCE"/>
    <w:rsid w:val="005B4678"/>
    <w:rsid w:val="005D4557"/>
    <w:rsid w:val="005E23A5"/>
    <w:rsid w:val="005F1D4F"/>
    <w:rsid w:val="00623BDD"/>
    <w:rsid w:val="00647ACC"/>
    <w:rsid w:val="0067706C"/>
    <w:rsid w:val="00693C6B"/>
    <w:rsid w:val="006A1C08"/>
    <w:rsid w:val="006A4B9D"/>
    <w:rsid w:val="006C12EC"/>
    <w:rsid w:val="00730C39"/>
    <w:rsid w:val="00731F16"/>
    <w:rsid w:val="007343F6"/>
    <w:rsid w:val="00747F34"/>
    <w:rsid w:val="007757A5"/>
    <w:rsid w:val="0078120B"/>
    <w:rsid w:val="00796CF1"/>
    <w:rsid w:val="007C6E90"/>
    <w:rsid w:val="007D384D"/>
    <w:rsid w:val="007E5BBB"/>
    <w:rsid w:val="0084529F"/>
    <w:rsid w:val="008773E3"/>
    <w:rsid w:val="0088786B"/>
    <w:rsid w:val="008E6ACD"/>
    <w:rsid w:val="008F1B9F"/>
    <w:rsid w:val="009530EA"/>
    <w:rsid w:val="00967DA0"/>
    <w:rsid w:val="009731BF"/>
    <w:rsid w:val="009837A6"/>
    <w:rsid w:val="00993C99"/>
    <w:rsid w:val="009A3E1F"/>
    <w:rsid w:val="009C395B"/>
    <w:rsid w:val="009D29F9"/>
    <w:rsid w:val="00A0020D"/>
    <w:rsid w:val="00A118F3"/>
    <w:rsid w:val="00A44D23"/>
    <w:rsid w:val="00A62FA2"/>
    <w:rsid w:val="00A85FE3"/>
    <w:rsid w:val="00A96C8A"/>
    <w:rsid w:val="00AB27AC"/>
    <w:rsid w:val="00AC20B7"/>
    <w:rsid w:val="00AC2C78"/>
    <w:rsid w:val="00AC3C69"/>
    <w:rsid w:val="00AC53A2"/>
    <w:rsid w:val="00AE2022"/>
    <w:rsid w:val="00B00B73"/>
    <w:rsid w:val="00B07EB1"/>
    <w:rsid w:val="00B116F9"/>
    <w:rsid w:val="00B15E04"/>
    <w:rsid w:val="00B1658E"/>
    <w:rsid w:val="00B556AA"/>
    <w:rsid w:val="00B60534"/>
    <w:rsid w:val="00B617C5"/>
    <w:rsid w:val="00B65A25"/>
    <w:rsid w:val="00B81525"/>
    <w:rsid w:val="00B83152"/>
    <w:rsid w:val="00BB1ACE"/>
    <w:rsid w:val="00BB586B"/>
    <w:rsid w:val="00BE4B34"/>
    <w:rsid w:val="00BF5329"/>
    <w:rsid w:val="00C3670B"/>
    <w:rsid w:val="00C8530B"/>
    <w:rsid w:val="00C95652"/>
    <w:rsid w:val="00C97EFB"/>
    <w:rsid w:val="00CF6C3C"/>
    <w:rsid w:val="00D06F25"/>
    <w:rsid w:val="00D20857"/>
    <w:rsid w:val="00D5308C"/>
    <w:rsid w:val="00D7405B"/>
    <w:rsid w:val="00D74876"/>
    <w:rsid w:val="00DE2334"/>
    <w:rsid w:val="00DE5279"/>
    <w:rsid w:val="00E2099C"/>
    <w:rsid w:val="00E351E1"/>
    <w:rsid w:val="00ED7CD6"/>
    <w:rsid w:val="00EF7471"/>
    <w:rsid w:val="00F21BA5"/>
    <w:rsid w:val="00F51A04"/>
    <w:rsid w:val="00F7227C"/>
    <w:rsid w:val="00F94355"/>
    <w:rsid w:val="00FA43D4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D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5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5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53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114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4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CM4">
    <w:name w:val="CM4"/>
    <w:basedOn w:val="Default"/>
    <w:next w:val="Default"/>
    <w:uiPriority w:val="99"/>
    <w:rsid w:val="009731BF"/>
    <w:rPr>
      <w:rFonts w:ascii="EUAlbertina" w:hAnsi="EUAlbertin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5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0A"/>
  </w:style>
  <w:style w:type="paragraph" w:styleId="Footer">
    <w:name w:val="footer"/>
    <w:basedOn w:val="Normal"/>
    <w:link w:val="FooterChar"/>
    <w:uiPriority w:val="99"/>
    <w:unhideWhenUsed/>
    <w:rsid w:val="0055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D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5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5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53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114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4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CM4">
    <w:name w:val="CM4"/>
    <w:basedOn w:val="Default"/>
    <w:next w:val="Default"/>
    <w:uiPriority w:val="99"/>
    <w:rsid w:val="009731BF"/>
    <w:rPr>
      <w:rFonts w:ascii="EUAlbertina" w:hAnsi="EUAlbertin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5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0A"/>
  </w:style>
  <w:style w:type="paragraph" w:styleId="Footer">
    <w:name w:val="footer"/>
    <w:basedOn w:val="Normal"/>
    <w:link w:val="FooterChar"/>
    <w:uiPriority w:val="99"/>
    <w:unhideWhenUsed/>
    <w:rsid w:val="0055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7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83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6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o.apostolov@unece.org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www.singlewindow.org/upload/statistika/Statistika_po_sostoyaniyu_na_0303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91937546268255E-2"/>
          <c:y val="0.11106370121902343"/>
          <c:w val="0.94444334510542205"/>
          <c:h val="0.68390086485091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'[Statistika_po_sostoyaniyu_na_030314.xls]Стат. использования ЕИС февраль'!$A$30</c:f>
              <c:strCache>
                <c:ptCount val="1"/>
                <c:pt idx="0">
                  <c:v>контейнеров за месяц, шт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'[Statistika_po_sostoyaniyu_na_030314.xls]Стат. использования ЕИС февраль'!$B$29:$R$29</c:f>
              <c:numCache>
                <c:formatCode>mmm\-yy</c:formatCode>
                <c:ptCount val="17"/>
                <c:pt idx="0">
                  <c:v>41183</c:v>
                </c:pt>
                <c:pt idx="1">
                  <c:v>41214</c:v>
                </c:pt>
                <c:pt idx="2">
                  <c:v>41244</c:v>
                </c:pt>
                <c:pt idx="3">
                  <c:v>41275</c:v>
                </c:pt>
                <c:pt idx="4">
                  <c:v>41306</c:v>
                </c:pt>
                <c:pt idx="5">
                  <c:v>41334</c:v>
                </c:pt>
                <c:pt idx="6">
                  <c:v>41365</c:v>
                </c:pt>
                <c:pt idx="7">
                  <c:v>41395</c:v>
                </c:pt>
                <c:pt idx="8">
                  <c:v>41426</c:v>
                </c:pt>
                <c:pt idx="9">
                  <c:v>41456</c:v>
                </c:pt>
                <c:pt idx="10">
                  <c:v>41487</c:v>
                </c:pt>
                <c:pt idx="11">
                  <c:v>41518</c:v>
                </c:pt>
                <c:pt idx="12">
                  <c:v>41548</c:v>
                </c:pt>
                <c:pt idx="13">
                  <c:v>41579</c:v>
                </c:pt>
                <c:pt idx="14">
                  <c:v>41609</c:v>
                </c:pt>
                <c:pt idx="15">
                  <c:v>41640</c:v>
                </c:pt>
                <c:pt idx="16">
                  <c:v>41671</c:v>
                </c:pt>
              </c:numCache>
            </c:numRef>
          </c:cat>
          <c:val>
            <c:numRef>
              <c:f>'[Statistika_po_sostoyaniyu_na_030314.xls]Стат. использования ЕИС февраль'!$B$30:$R$30</c:f>
              <c:numCache>
                <c:formatCode>General</c:formatCode>
                <c:ptCount val="17"/>
                <c:pt idx="0">
                  <c:v>21</c:v>
                </c:pt>
                <c:pt idx="1">
                  <c:v>86</c:v>
                </c:pt>
                <c:pt idx="2">
                  <c:v>209</c:v>
                </c:pt>
                <c:pt idx="3">
                  <c:v>507</c:v>
                </c:pt>
                <c:pt idx="4">
                  <c:v>841</c:v>
                </c:pt>
                <c:pt idx="5">
                  <c:v>1260</c:v>
                </c:pt>
                <c:pt idx="6">
                  <c:v>10548</c:v>
                </c:pt>
                <c:pt idx="7">
                  <c:v>11608</c:v>
                </c:pt>
                <c:pt idx="8">
                  <c:v>11171</c:v>
                </c:pt>
                <c:pt idx="9">
                  <c:v>13472</c:v>
                </c:pt>
                <c:pt idx="10">
                  <c:v>12121</c:v>
                </c:pt>
                <c:pt idx="11">
                  <c:v>12564</c:v>
                </c:pt>
                <c:pt idx="12">
                  <c:v>11442</c:v>
                </c:pt>
                <c:pt idx="13">
                  <c:v>10991</c:v>
                </c:pt>
                <c:pt idx="14">
                  <c:v>12683</c:v>
                </c:pt>
                <c:pt idx="15">
                  <c:v>9444</c:v>
                </c:pt>
                <c:pt idx="16">
                  <c:v>8757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71941376"/>
        <c:axId val="346000192"/>
      </c:barChart>
      <c:dateAx>
        <c:axId val="3719413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6000192"/>
        <c:crosses val="autoZero"/>
        <c:auto val="1"/>
        <c:lblOffset val="100"/>
        <c:baseTimeUnit val="months"/>
        <c:majorUnit val="1"/>
        <c:majorTimeUnit val="months"/>
      </c:dateAx>
      <c:valAx>
        <c:axId val="346000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1941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887E-8D87-44DA-B376-95C0CEA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Mario Apostolov</cp:lastModifiedBy>
  <cp:revision>3</cp:revision>
  <cp:lastPrinted>2014-03-14T14:49:00Z</cp:lastPrinted>
  <dcterms:created xsi:type="dcterms:W3CDTF">2014-03-14T17:24:00Z</dcterms:created>
  <dcterms:modified xsi:type="dcterms:W3CDTF">2014-03-14T17:25:00Z</dcterms:modified>
</cp:coreProperties>
</file>