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019" w:rsidRDefault="006D2019" w:rsidP="006D2019">
      <w:pPr>
        <w:pStyle w:val="Default"/>
      </w:pPr>
    </w:p>
    <w:p w:rsidR="006D2019" w:rsidRPr="006D2019" w:rsidRDefault="006D2019" w:rsidP="006D2019">
      <w:pPr>
        <w:pStyle w:val="Default"/>
        <w:ind w:right="-25"/>
        <w:jc w:val="center"/>
        <w:rPr>
          <w:sz w:val="28"/>
          <w:szCs w:val="28"/>
          <w:lang w:val="ru-RU"/>
        </w:rPr>
      </w:pPr>
      <w:r w:rsidRPr="006D2019">
        <w:rPr>
          <w:lang w:val="ru-RU"/>
        </w:rPr>
        <w:t xml:space="preserve"> </w:t>
      </w:r>
      <w:r w:rsidRPr="006D2019">
        <w:rPr>
          <w:b/>
          <w:bCs/>
          <w:sz w:val="28"/>
          <w:szCs w:val="28"/>
          <w:lang w:val="ru-RU"/>
        </w:rPr>
        <w:t xml:space="preserve">Рекомендации третьей Конференции Евразийской Экономической Комиссии и Европейской Экономической Комиссии ООН </w:t>
      </w:r>
      <w:proofErr w:type="gramStart"/>
      <w:r w:rsidRPr="006D2019">
        <w:rPr>
          <w:b/>
          <w:bCs/>
          <w:sz w:val="28"/>
          <w:szCs w:val="28"/>
          <w:lang w:val="ru-RU"/>
        </w:rPr>
        <w:t>по</w:t>
      </w:r>
      <w:proofErr w:type="gramEnd"/>
      <w:r w:rsidRPr="006D2019">
        <w:rPr>
          <w:b/>
          <w:bCs/>
          <w:sz w:val="28"/>
          <w:szCs w:val="28"/>
          <w:lang w:val="ru-RU"/>
        </w:rPr>
        <w:t xml:space="preserve"> </w:t>
      </w:r>
    </w:p>
    <w:p w:rsidR="006D2019" w:rsidRPr="006D2019" w:rsidRDefault="006D2019" w:rsidP="006D2019">
      <w:pPr>
        <w:pStyle w:val="Default"/>
        <w:ind w:right="-25"/>
        <w:jc w:val="center"/>
        <w:rPr>
          <w:sz w:val="28"/>
          <w:szCs w:val="28"/>
          <w:lang w:val="ru-RU"/>
        </w:rPr>
      </w:pPr>
      <w:r w:rsidRPr="006D2019">
        <w:rPr>
          <w:b/>
          <w:bCs/>
          <w:sz w:val="28"/>
          <w:szCs w:val="28"/>
          <w:lang w:val="ru-RU"/>
        </w:rPr>
        <w:t xml:space="preserve">упрощению процедур торговли и «единому окну», </w:t>
      </w:r>
    </w:p>
    <w:p w:rsidR="006D2019" w:rsidRPr="006D2019" w:rsidRDefault="006D2019" w:rsidP="006D2019">
      <w:pPr>
        <w:pStyle w:val="Default"/>
        <w:ind w:right="-25"/>
        <w:jc w:val="center"/>
        <w:rPr>
          <w:sz w:val="28"/>
          <w:szCs w:val="28"/>
          <w:lang w:val="ru-RU"/>
        </w:rPr>
      </w:pPr>
      <w:r w:rsidRPr="006D2019">
        <w:rPr>
          <w:b/>
          <w:bCs/>
          <w:sz w:val="28"/>
          <w:szCs w:val="28"/>
          <w:lang w:val="ru-RU"/>
        </w:rPr>
        <w:t xml:space="preserve">(Алматы, 24-25 апреля 2014 г.) </w:t>
      </w:r>
    </w:p>
    <w:p w:rsidR="006D2019" w:rsidRPr="006D2019" w:rsidRDefault="006D2019" w:rsidP="006D2019">
      <w:pPr>
        <w:pStyle w:val="Default"/>
        <w:ind w:right="-23" w:firstLine="567"/>
        <w:jc w:val="both"/>
        <w:rPr>
          <w:sz w:val="28"/>
          <w:szCs w:val="28"/>
          <w:lang w:val="ru-RU"/>
        </w:rPr>
      </w:pPr>
      <w:r w:rsidRPr="006D2019">
        <w:rPr>
          <w:sz w:val="28"/>
          <w:szCs w:val="28"/>
          <w:lang w:val="ru-RU"/>
        </w:rPr>
        <w:t xml:space="preserve">Участники Конференции признали, что упрощение, гармонизация, стандартизация и автоматизация процедур торговли несет конкретные преимущества для всех участников международной торговли, в том числе влечет сокращение прямых и косвенных затрат на совершение внешнеторговых операций, повышает уровень соблюдения законодательства. </w:t>
      </w:r>
    </w:p>
    <w:p w:rsidR="006D2019" w:rsidRPr="006D2019" w:rsidRDefault="006D2019" w:rsidP="006D2019">
      <w:pPr>
        <w:pStyle w:val="Default"/>
        <w:ind w:right="-23" w:firstLine="567"/>
        <w:jc w:val="both"/>
        <w:rPr>
          <w:sz w:val="28"/>
          <w:szCs w:val="28"/>
          <w:lang w:val="ru-RU"/>
        </w:rPr>
      </w:pPr>
      <w:r w:rsidRPr="006D2019">
        <w:rPr>
          <w:sz w:val="28"/>
          <w:szCs w:val="28"/>
          <w:lang w:val="ru-RU"/>
        </w:rPr>
        <w:t xml:space="preserve">Упрощение трансграничной торговли способствует ускоренному экономическому развитию, а более эффективный контроль на границе повышает безопасность и обеспечивает полноту поступлений в бюджет. </w:t>
      </w:r>
    </w:p>
    <w:p w:rsidR="006D2019" w:rsidRPr="006D2019" w:rsidRDefault="006D2019" w:rsidP="006D2019">
      <w:pPr>
        <w:pStyle w:val="Default"/>
        <w:ind w:right="-23" w:firstLine="567"/>
        <w:jc w:val="both"/>
        <w:rPr>
          <w:sz w:val="28"/>
          <w:szCs w:val="28"/>
          <w:lang w:val="ru-RU"/>
        </w:rPr>
      </w:pPr>
      <w:r w:rsidRPr="006D2019">
        <w:rPr>
          <w:sz w:val="28"/>
          <w:szCs w:val="28"/>
          <w:lang w:val="ru-RU"/>
        </w:rPr>
        <w:t xml:space="preserve">Участники согласились, что в рамках мер по упрощению процедур торговли актуальными являются следующие направления: </w:t>
      </w:r>
    </w:p>
    <w:p w:rsidR="006D2019" w:rsidRPr="006D2019" w:rsidRDefault="006D2019" w:rsidP="006D2019">
      <w:pPr>
        <w:pStyle w:val="Default"/>
        <w:ind w:left="1003" w:hanging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6D2019">
        <w:rPr>
          <w:sz w:val="28"/>
          <w:szCs w:val="28"/>
          <w:lang w:val="ru-RU"/>
        </w:rPr>
        <w:t xml:space="preserve"> внедрение и развитие передовых инструментов для упрощения процедур торговли («единое окно», институт уполномоченных экономических операторов и др.), в том числе с учётом норм Соглашения по упрощению процедур торговли Всемирной торговой организации; </w:t>
      </w:r>
    </w:p>
    <w:p w:rsidR="006D2019" w:rsidRPr="006D2019" w:rsidRDefault="006D2019" w:rsidP="006D2019">
      <w:pPr>
        <w:pStyle w:val="Default"/>
        <w:ind w:left="1003" w:hanging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6D2019">
        <w:rPr>
          <w:sz w:val="28"/>
          <w:szCs w:val="28"/>
          <w:lang w:val="ru-RU"/>
        </w:rPr>
        <w:t xml:space="preserve"> создание организационной основы (рабочей группы) для межгосударственного, межведомственного сотрудничества и государственно-частного партнерства; </w:t>
      </w:r>
    </w:p>
    <w:p w:rsidR="006D2019" w:rsidRPr="006D2019" w:rsidRDefault="006D2019" w:rsidP="006D2019">
      <w:pPr>
        <w:pStyle w:val="Default"/>
        <w:rPr>
          <w:sz w:val="28"/>
          <w:szCs w:val="28"/>
          <w:lang w:val="ru-RU"/>
        </w:rPr>
      </w:pPr>
      <w:bookmarkStart w:id="0" w:name="_GoBack"/>
      <w:bookmarkEnd w:id="0"/>
    </w:p>
    <w:p w:rsidR="006D2019" w:rsidRPr="006D2019" w:rsidRDefault="006D2019" w:rsidP="006D2019">
      <w:pPr>
        <w:pStyle w:val="Default"/>
        <w:ind w:right="-25" w:firstLine="567"/>
        <w:jc w:val="both"/>
        <w:rPr>
          <w:sz w:val="28"/>
          <w:szCs w:val="28"/>
          <w:lang w:val="ru-RU"/>
        </w:rPr>
      </w:pPr>
      <w:r w:rsidRPr="006D2019">
        <w:rPr>
          <w:sz w:val="28"/>
          <w:szCs w:val="28"/>
          <w:lang w:val="ru-RU"/>
        </w:rPr>
        <w:t xml:space="preserve">По результатам конференции участниками выделены следующие рекомендации: </w:t>
      </w:r>
    </w:p>
    <w:p w:rsidR="006D2019" w:rsidRPr="006D2019" w:rsidRDefault="006D2019" w:rsidP="006D2019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6D2019">
        <w:rPr>
          <w:sz w:val="28"/>
          <w:szCs w:val="28"/>
          <w:lang w:val="ru-RU"/>
        </w:rPr>
        <w:t xml:space="preserve">1. Подготовить сборник по материалам конференций и семинара. </w:t>
      </w:r>
    </w:p>
    <w:p w:rsidR="006D2019" w:rsidRPr="006D2019" w:rsidRDefault="006D2019" w:rsidP="006D2019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6D2019">
        <w:rPr>
          <w:sz w:val="28"/>
          <w:szCs w:val="28"/>
          <w:lang w:val="ru-RU"/>
        </w:rPr>
        <w:t>2. При реализации мер по развитию механизма «единого окна» в государствах - членах Таможенного союза и Единого экономического пространства использовать вышеназванный сборник материалов и придерживаться рекомендаций Европейской экономической комисс</w:t>
      </w:r>
      <w:proofErr w:type="gramStart"/>
      <w:r w:rsidRPr="006D2019">
        <w:rPr>
          <w:sz w:val="28"/>
          <w:szCs w:val="28"/>
          <w:lang w:val="ru-RU"/>
        </w:rPr>
        <w:t>ии ОО</w:t>
      </w:r>
      <w:proofErr w:type="gramEnd"/>
      <w:r w:rsidRPr="006D2019">
        <w:rPr>
          <w:sz w:val="28"/>
          <w:szCs w:val="28"/>
          <w:lang w:val="ru-RU"/>
        </w:rPr>
        <w:t xml:space="preserve">Н, СЕФАКТ ООН, Всемирной Таможенной Организации и Всемирной Торговой Организации. </w:t>
      </w:r>
    </w:p>
    <w:p w:rsidR="006D2019" w:rsidRPr="006D2019" w:rsidRDefault="006D2019" w:rsidP="006D2019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6D2019">
        <w:rPr>
          <w:sz w:val="28"/>
          <w:szCs w:val="28"/>
          <w:lang w:val="ru-RU"/>
        </w:rPr>
        <w:t xml:space="preserve">3. Государствам – членам Таможенного союза и Единого экономического пространства наделить Евразийскую экономическую комиссию полномочиями по координации работ по развитию механизма «единого окна» в государствах - членах Таможенного союза и Единого экономического пространства. </w:t>
      </w:r>
    </w:p>
    <w:p w:rsidR="006D2019" w:rsidRDefault="006D2019" w:rsidP="006D2019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6D2019">
        <w:rPr>
          <w:sz w:val="28"/>
          <w:szCs w:val="28"/>
          <w:lang w:val="ru-RU"/>
        </w:rPr>
        <w:t xml:space="preserve">4. В целях формирования организационной основы для «единого окна» в государствах-членах Таможенного союза и Единого экономического пространства целесообразно: </w:t>
      </w:r>
    </w:p>
    <w:p w:rsidR="006D2019" w:rsidRPr="006D2019" w:rsidRDefault="006D2019" w:rsidP="006D2019">
      <w:pPr>
        <w:pStyle w:val="Default"/>
        <w:ind w:firstLine="567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</w:rPr>
        <w:t>a</w:t>
      </w:r>
      <w:proofErr w:type="gramEnd"/>
      <w:r w:rsidRPr="006D2019">
        <w:rPr>
          <w:sz w:val="28"/>
          <w:szCs w:val="28"/>
          <w:lang w:val="ru-RU"/>
        </w:rPr>
        <w:t xml:space="preserve">. Создать рабочую группу на уровне Евразийской экономической комиссии; </w:t>
      </w:r>
    </w:p>
    <w:p w:rsidR="006D2019" w:rsidRPr="006D2019" w:rsidRDefault="006D2019" w:rsidP="006D2019">
      <w:pPr>
        <w:pStyle w:val="Default"/>
        <w:ind w:left="851" w:hanging="284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</w:rPr>
        <w:t>b</w:t>
      </w:r>
      <w:proofErr w:type="gramEnd"/>
      <w:r>
        <w:rPr>
          <w:sz w:val="28"/>
          <w:szCs w:val="28"/>
          <w:lang w:val="ru-RU"/>
        </w:rPr>
        <w:t xml:space="preserve">. </w:t>
      </w:r>
      <w:r w:rsidRPr="006D2019">
        <w:rPr>
          <w:sz w:val="28"/>
          <w:szCs w:val="28"/>
          <w:lang w:val="ru-RU"/>
        </w:rPr>
        <w:t>Включить в состав рабочей группы представителей бизнес-сообщества государств-членов Таможенного союза и Единого экономического пространства;</w:t>
      </w:r>
    </w:p>
    <w:p w:rsidR="006D2019" w:rsidRPr="006D2019" w:rsidRDefault="006D2019" w:rsidP="006D2019">
      <w:pPr>
        <w:pStyle w:val="Default"/>
        <w:ind w:left="1777" w:hanging="360"/>
        <w:jc w:val="both"/>
        <w:rPr>
          <w:sz w:val="28"/>
          <w:szCs w:val="28"/>
          <w:lang w:val="ru-RU"/>
        </w:rPr>
      </w:pPr>
    </w:p>
    <w:p w:rsidR="006D2019" w:rsidRPr="006D2019" w:rsidRDefault="006D2019" w:rsidP="006D2019">
      <w:pPr>
        <w:pStyle w:val="Default"/>
        <w:rPr>
          <w:sz w:val="28"/>
          <w:szCs w:val="28"/>
          <w:lang w:val="ru-RU"/>
        </w:rPr>
      </w:pPr>
    </w:p>
    <w:p w:rsidR="006D2019" w:rsidRPr="006D2019" w:rsidRDefault="006D2019" w:rsidP="006D2019">
      <w:pPr>
        <w:pStyle w:val="Default"/>
        <w:pageBreakBefore/>
        <w:rPr>
          <w:sz w:val="28"/>
          <w:szCs w:val="28"/>
          <w:lang w:val="ru-RU"/>
        </w:rPr>
      </w:pPr>
    </w:p>
    <w:p w:rsidR="006D2019" w:rsidRPr="006D2019" w:rsidRDefault="006D2019" w:rsidP="006D2019">
      <w:pPr>
        <w:pStyle w:val="Default"/>
        <w:ind w:left="851" w:hanging="284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</w:rPr>
        <w:t>c</w:t>
      </w:r>
      <w:proofErr w:type="gramEnd"/>
      <w:r w:rsidRPr="006D2019">
        <w:rPr>
          <w:sz w:val="28"/>
          <w:szCs w:val="28"/>
          <w:lang w:val="ru-RU"/>
        </w:rPr>
        <w:t xml:space="preserve">. Вышеуказанной рабочей группе разработать проект многолетнего Плана развития «единого окна» в государствах - членах Таможенного союза и Единого экономического пространства; </w:t>
      </w:r>
    </w:p>
    <w:p w:rsidR="006D2019" w:rsidRPr="006D2019" w:rsidRDefault="006D2019" w:rsidP="006D2019">
      <w:pPr>
        <w:pStyle w:val="Default"/>
        <w:ind w:left="851" w:hanging="284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</w:rPr>
        <w:t>d</w:t>
      </w:r>
      <w:proofErr w:type="gramEnd"/>
      <w:r w:rsidRPr="006D2019">
        <w:rPr>
          <w:sz w:val="28"/>
          <w:szCs w:val="28"/>
          <w:lang w:val="ru-RU"/>
        </w:rPr>
        <w:t xml:space="preserve">. Вышеуказанной рабочей группе обеспечить выработку понятийного аппарата в сфере упрощения процедур торговли и реализации «единого окна»; </w:t>
      </w:r>
    </w:p>
    <w:p w:rsidR="006D2019" w:rsidRPr="006D2019" w:rsidRDefault="006D2019" w:rsidP="006D2019">
      <w:pPr>
        <w:pStyle w:val="Default"/>
        <w:ind w:left="851" w:hanging="284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</w:rPr>
        <w:t>e</w:t>
      </w:r>
      <w:proofErr w:type="gramEnd"/>
      <w:r w:rsidRPr="006D2019">
        <w:rPr>
          <w:sz w:val="28"/>
          <w:szCs w:val="28"/>
          <w:lang w:val="ru-RU"/>
        </w:rPr>
        <w:t xml:space="preserve">. Государствам-членам Таможенного союза и Единого экономического пространства обеспечить наличие планов развития «единого окна» на национальном уровне; </w:t>
      </w:r>
    </w:p>
    <w:p w:rsidR="006D2019" w:rsidRPr="006D2019" w:rsidRDefault="006D2019" w:rsidP="006D2019">
      <w:pPr>
        <w:pStyle w:val="Default"/>
        <w:ind w:left="851" w:hanging="284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</w:rPr>
        <w:t>f</w:t>
      </w:r>
      <w:proofErr w:type="gramEnd"/>
      <w:r w:rsidRPr="006D2019">
        <w:rPr>
          <w:sz w:val="28"/>
          <w:szCs w:val="28"/>
          <w:lang w:val="ru-RU"/>
        </w:rPr>
        <w:t xml:space="preserve">. Использовать поэтапный подход при создании и выполнении планов по реализации «единого окна»; </w:t>
      </w:r>
    </w:p>
    <w:p w:rsidR="006D2019" w:rsidRPr="006D2019" w:rsidRDefault="006D2019" w:rsidP="006D2019">
      <w:pPr>
        <w:pStyle w:val="Default"/>
        <w:ind w:left="851" w:hanging="284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g</w:t>
      </w:r>
      <w:r w:rsidRPr="006D2019">
        <w:rPr>
          <w:sz w:val="28"/>
          <w:szCs w:val="28"/>
          <w:lang w:val="ru-RU"/>
        </w:rPr>
        <w:t xml:space="preserve">. Государствам-членам Таможенного союза и Единого экономического пространства обеспечить наличие координирующего органа на правительственном уровне по внедрению проекта «единого окна», а также уполномоченного органа, </w:t>
      </w:r>
      <w:proofErr w:type="spellStart"/>
      <w:r w:rsidRPr="006D2019">
        <w:rPr>
          <w:sz w:val="28"/>
          <w:szCs w:val="28"/>
          <w:lang w:val="ru-RU"/>
        </w:rPr>
        <w:t>отвественного</w:t>
      </w:r>
      <w:proofErr w:type="spellEnd"/>
      <w:r w:rsidRPr="006D2019">
        <w:rPr>
          <w:sz w:val="28"/>
          <w:szCs w:val="28"/>
          <w:lang w:val="ru-RU"/>
        </w:rPr>
        <w:t xml:space="preserve"> за реализацию проекта; </w:t>
      </w:r>
    </w:p>
    <w:p w:rsidR="006D2019" w:rsidRPr="006D2019" w:rsidRDefault="006D2019" w:rsidP="006D2019">
      <w:pPr>
        <w:pStyle w:val="Default"/>
        <w:ind w:left="851" w:hanging="284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</w:rPr>
        <w:t>h</w:t>
      </w:r>
      <w:proofErr w:type="gramEnd"/>
      <w:r w:rsidRPr="006D2019">
        <w:rPr>
          <w:sz w:val="28"/>
          <w:szCs w:val="28"/>
          <w:lang w:val="ru-RU"/>
        </w:rPr>
        <w:t xml:space="preserve">. Использовать успешный опыт реализации пилотных проектов по «единому окну» с целью их масштабирования и тиражирования; </w:t>
      </w:r>
    </w:p>
    <w:p w:rsidR="006D2019" w:rsidRPr="006D2019" w:rsidRDefault="006D2019" w:rsidP="006D2019">
      <w:pPr>
        <w:pStyle w:val="Default"/>
        <w:ind w:left="851" w:hanging="284"/>
        <w:jc w:val="both"/>
        <w:rPr>
          <w:sz w:val="28"/>
          <w:szCs w:val="28"/>
          <w:lang w:val="ru-RU"/>
        </w:rPr>
      </w:pPr>
      <w:proofErr w:type="spellStart"/>
      <w:proofErr w:type="gramStart"/>
      <w:r>
        <w:rPr>
          <w:sz w:val="28"/>
          <w:szCs w:val="28"/>
        </w:rPr>
        <w:t>i</w:t>
      </w:r>
      <w:proofErr w:type="spellEnd"/>
      <w:proofErr w:type="gramEnd"/>
      <w:r w:rsidRPr="006D2019">
        <w:rPr>
          <w:sz w:val="28"/>
          <w:szCs w:val="28"/>
          <w:lang w:val="ru-RU"/>
        </w:rPr>
        <w:t xml:space="preserve">. Обеспечить взаимодействие национальных «единых окон» государств-членов Таможенного союза и Единого экономического пространства по мере готовности; </w:t>
      </w:r>
    </w:p>
    <w:p w:rsidR="006D2019" w:rsidRPr="006D2019" w:rsidRDefault="006D2019" w:rsidP="006D2019">
      <w:pPr>
        <w:pStyle w:val="Default"/>
        <w:ind w:left="1777" w:hanging="360"/>
        <w:jc w:val="both"/>
        <w:rPr>
          <w:sz w:val="28"/>
          <w:szCs w:val="28"/>
          <w:lang w:val="ru-RU"/>
        </w:rPr>
      </w:pPr>
    </w:p>
    <w:p w:rsidR="006D2019" w:rsidRDefault="006D2019" w:rsidP="006D2019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6D2019">
        <w:rPr>
          <w:sz w:val="28"/>
          <w:szCs w:val="28"/>
          <w:lang w:val="ru-RU"/>
        </w:rPr>
        <w:t xml:space="preserve">5. В целях создания благоприятной правовой основы для внедрения «единого окна» в государствах-членах Таможенного союза и Единого экономического пространства целесообразно: </w:t>
      </w:r>
    </w:p>
    <w:p w:rsidR="006D2019" w:rsidRPr="006D2019" w:rsidRDefault="006D2019" w:rsidP="006D2019">
      <w:pPr>
        <w:pStyle w:val="Default"/>
        <w:ind w:firstLine="567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</w:rPr>
        <w:t>a</w:t>
      </w:r>
      <w:proofErr w:type="gramEnd"/>
      <w:r w:rsidRPr="006D2019">
        <w:rPr>
          <w:sz w:val="28"/>
          <w:szCs w:val="28"/>
          <w:lang w:val="ru-RU"/>
        </w:rPr>
        <w:t xml:space="preserve">. Провести анализ нормативных актов, касающихся взаимодействия государственных органов и участников ВЭД и по мере практического развития проекта выявить нормы, препятствующие внедрению «единого окна». </w:t>
      </w:r>
    </w:p>
    <w:p w:rsidR="006D2019" w:rsidRPr="006D2019" w:rsidRDefault="006D2019" w:rsidP="006D2019">
      <w:pPr>
        <w:pStyle w:val="Default"/>
        <w:ind w:left="993" w:hanging="426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</w:rPr>
        <w:t>b</w:t>
      </w:r>
      <w:proofErr w:type="gramEnd"/>
      <w:r w:rsidRPr="006D2019">
        <w:rPr>
          <w:sz w:val="28"/>
          <w:szCs w:val="28"/>
          <w:lang w:val="ru-RU"/>
        </w:rPr>
        <w:t xml:space="preserve">. Обеспечить внедрение и применение международных стандартов по обмену электронными документами в наднациональном и национальном законодательстве; </w:t>
      </w:r>
    </w:p>
    <w:p w:rsidR="006D2019" w:rsidRPr="006D2019" w:rsidRDefault="006D2019" w:rsidP="006D2019">
      <w:pPr>
        <w:pStyle w:val="Default"/>
        <w:ind w:left="993" w:hanging="426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</w:rPr>
        <w:t>c</w:t>
      </w:r>
      <w:proofErr w:type="gramEnd"/>
      <w:r w:rsidRPr="006D2019">
        <w:rPr>
          <w:sz w:val="28"/>
          <w:szCs w:val="28"/>
          <w:lang w:val="ru-RU"/>
        </w:rPr>
        <w:t xml:space="preserve">. Проводить системную работу по устранению выявленных пробелов и развитию законодательства, как на наднациональном, так и национальном уровнях </w:t>
      </w:r>
    </w:p>
    <w:p w:rsidR="006D2019" w:rsidRPr="006D2019" w:rsidRDefault="006D2019" w:rsidP="006D2019">
      <w:pPr>
        <w:pStyle w:val="Default"/>
        <w:ind w:left="1777" w:hanging="360"/>
        <w:jc w:val="both"/>
        <w:rPr>
          <w:sz w:val="28"/>
          <w:szCs w:val="28"/>
          <w:lang w:val="ru-RU"/>
        </w:rPr>
      </w:pPr>
    </w:p>
    <w:p w:rsidR="006D2019" w:rsidRPr="006D2019" w:rsidRDefault="006D2019" w:rsidP="006D2019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6D2019">
        <w:rPr>
          <w:sz w:val="28"/>
          <w:szCs w:val="28"/>
          <w:lang w:val="ru-RU"/>
        </w:rPr>
        <w:t>6. Просить Евразийскую экономическую комиссию и Европейскую экономическую комиссию ООН организовать семинар по техническим аспектам реализации «единого окна» до конца 2014 года.</w:t>
      </w:r>
    </w:p>
    <w:p w:rsidR="00A92B84" w:rsidRPr="006D2019" w:rsidRDefault="006D2019">
      <w:pPr>
        <w:rPr>
          <w:lang w:val="ru-RU"/>
        </w:rPr>
      </w:pPr>
    </w:p>
    <w:sectPr w:rsidR="00A92B84" w:rsidRPr="006D2019" w:rsidSect="007B7449">
      <w:pgSz w:w="11906" w:h="17338"/>
      <w:pgMar w:top="1381" w:right="440" w:bottom="1274" w:left="86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019"/>
    <w:rsid w:val="006D2019"/>
    <w:rsid w:val="00E65E19"/>
    <w:rsid w:val="00F9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D20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D20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ECE-ISU</Company>
  <LinksUpToDate>false</LinksUpToDate>
  <CharactersWithSpaces>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akinshina</dc:creator>
  <cp:lastModifiedBy>akinshina</cp:lastModifiedBy>
  <cp:revision>1</cp:revision>
  <dcterms:created xsi:type="dcterms:W3CDTF">2014-05-08T07:43:00Z</dcterms:created>
  <dcterms:modified xsi:type="dcterms:W3CDTF">2014-05-08T07:46:00Z</dcterms:modified>
</cp:coreProperties>
</file>