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33CB0" w:rsidRPr="00204D2E" w:rsidTr="00A33CB0">
        <w:trPr>
          <w:trHeight w:val="2259"/>
        </w:trPr>
        <w:tc>
          <w:tcPr>
            <w:tcW w:w="5218" w:type="dxa"/>
          </w:tcPr>
          <w:p w:rsidR="00A33CB0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8D4744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588DAB18" wp14:editId="4DE9A99C">
                  <wp:extent cx="1343771" cy="1169872"/>
                  <wp:effectExtent l="0" t="0" r="8890" b="0"/>
                  <wp:docPr id="2" name="Picture 2" descr="UN logo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55" cy="11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CB0" w:rsidRPr="003B1261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UNITED NATIONS ECONOMIC COMMISSION FOR EUROPE</w:t>
            </w:r>
          </w:p>
        </w:tc>
        <w:tc>
          <w:tcPr>
            <w:tcW w:w="4678" w:type="dxa"/>
          </w:tcPr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23445">
              <w:rPr>
                <w:noProof/>
                <w:lang w:val="en-GB" w:eastAsia="en-GB"/>
              </w:rPr>
              <w:drawing>
                <wp:inline distT="0" distB="0" distL="0" distR="0" wp14:anchorId="379E9279" wp14:editId="5965EB92">
                  <wp:extent cx="1539874" cy="638175"/>
                  <wp:effectExtent l="0" t="0" r="3810" b="0"/>
                  <wp:docPr id="5" name="Picture 5" descr="G:\Trade\05-Exchange (CC)\Mario\Regional Adviser\COUNTRY FILES\Russia\RUSSIAN CONTRIBUTION PROJECTS\SECOND PHASE\CONFERENCE MOSCOW April 2013\Logo EEC\e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de\05-Exchange (CC)\Mario\Regional Adviser\COUNTRY FILES\Russia\RUSSIAN CONTRIBUTION PROJECTS\SECOND PHASE\CONFERENCE MOSCOW April 2013\Logo EEC\e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47" cy="64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F82" w:rsidRDefault="00275F82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33CB0" w:rsidRPr="00996CE8" w:rsidRDefault="00A33CB0" w:rsidP="00A33CB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EURASIAN ECONOMIC</w:t>
            </w:r>
            <w:r w:rsidRPr="003B1261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COMMISSION</w:t>
            </w:r>
          </w:p>
        </w:tc>
      </w:tr>
      <w:tr w:rsidR="00A33CB0" w:rsidRPr="00CA50DB" w:rsidTr="00A85FB2">
        <w:trPr>
          <w:trHeight w:val="1251"/>
        </w:trPr>
        <w:tc>
          <w:tcPr>
            <w:tcW w:w="5218" w:type="dxa"/>
            <w:vAlign w:val="center"/>
          </w:tcPr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Palais des Nations, Office 431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CH-1211 Geneva 10, Switzerland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</w:rPr>
              <w:t>: +41-22 9171134/1234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261">
              <w:rPr>
                <w:rFonts w:ascii="Arial" w:hAnsi="Arial" w:cs="Arial"/>
                <w:sz w:val="18"/>
                <w:szCs w:val="18"/>
              </w:rPr>
              <w:t>Fax: +41 22-917 0037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 xml:space="preserve">e-mail: </w:t>
            </w:r>
            <w:r w:rsidR="009708AA">
              <w:fldChar w:fldCharType="begin"/>
            </w:r>
            <w:r w:rsidR="009708AA" w:rsidRPr="009708AA">
              <w:rPr>
                <w:lang w:val="fr-CH"/>
              </w:rPr>
              <w:instrText xml:space="preserve"> HYPERLINK "mailto:mario.apostolov@unece.org%20" </w:instrText>
            </w:r>
            <w:r w:rsidR="009708AA">
              <w:fldChar w:fldCharType="separate"/>
            </w:r>
            <w:r w:rsidRPr="00C43BCF"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  <w:t>mario.apostolov@unece.org</w:t>
            </w:r>
            <w:r w:rsidRPr="00C43BCF">
              <w:rPr>
                <w:rStyle w:val="Hyperlink"/>
                <w:sz w:val="18"/>
                <w:szCs w:val="18"/>
                <w:lang w:val="pt-PT"/>
              </w:rPr>
              <w:t xml:space="preserve"> </w:t>
            </w:r>
            <w:r w:rsidR="009708AA">
              <w:rPr>
                <w:rStyle w:val="Hyperlink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A33CB0" w:rsidRPr="003B1261" w:rsidRDefault="00A33CB0" w:rsidP="003B1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>Smolensky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 xml:space="preserve"> b-r, 3/5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>119121, Moscow, Russian Federation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>Tel.: +7495 -604 4038</w:t>
            </w:r>
          </w:p>
          <w:p w:rsidR="00185348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 xml:space="preserve">e-mail: </w:t>
            </w:r>
            <w:r w:rsidR="00185348">
              <w:rPr>
                <w:rFonts w:ascii="Arial" w:hAnsi="Arial" w:cs="Arial"/>
                <w:sz w:val="18"/>
                <w:szCs w:val="18"/>
                <w:lang w:val="pt-PT"/>
              </w:rPr>
              <w:fldChar w:fldCharType="begin"/>
            </w:r>
            <w:r w:rsidR="00185348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HYPERLINK "mailto:bondarenko@</w:instrText>
            </w:r>
            <w:r w:rsidR="00185348" w:rsidRPr="00185348">
              <w:rPr>
                <w:rFonts w:ascii="Arial" w:hAnsi="Arial" w:cs="Arial"/>
                <w:sz w:val="18"/>
                <w:szCs w:val="18"/>
                <w:lang w:val="pt-PT"/>
              </w:rPr>
              <w:instrText>eecommission.org</w:instrText>
            </w:r>
            <w:r w:rsidR="00185348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" </w:instrText>
            </w:r>
            <w:r w:rsidR="00185348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185348" w:rsidRPr="007E1D73"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  <w:t>bondarenko@eecommission.org</w:t>
            </w:r>
            <w:r w:rsidR="00185348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  <w:p w:rsidR="00A33CB0" w:rsidRPr="00C43BCF" w:rsidRDefault="00A33CB0" w:rsidP="00CA50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992572" w:rsidRPr="00C43BCF" w:rsidRDefault="00992572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A650B7" w:rsidRPr="00AF3477" w:rsidRDefault="00A650B7" w:rsidP="00A650B7">
      <w:pPr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</w:pPr>
      <w:r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Organizational</w:t>
      </w:r>
      <w:r w:rsidR="00E760D3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and</w:t>
      </w:r>
      <w:r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E760D3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l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egal</w:t>
      </w:r>
      <w:r w:rsidR="00064177" w:rsidRPr="000641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0641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aspects</w:t>
      </w:r>
      <w:r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of</w:t>
      </w:r>
      <w:r w:rsidR="00244937" w:rsidRP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S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ingle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 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  <w:t>W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indow</w:t>
      </w:r>
      <w:r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41FFC"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development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in</w:t>
      </w:r>
      <w:r w:rsid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EB6D5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the</w:t>
      </w:r>
      <w:r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Customs Union</w:t>
      </w:r>
      <w:r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and</w:t>
      </w:r>
      <w:r w:rsid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EB6D5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Single</w:t>
      </w:r>
      <w:r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Economic</w:t>
      </w:r>
      <w:r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Space </w:t>
      </w:r>
      <w:r w:rsidR="00A41FFC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Member States</w:t>
      </w:r>
    </w:p>
    <w:p w:rsidR="00CD3E47" w:rsidRDefault="00CD3E47" w:rsidP="00CD3E47">
      <w:pPr>
        <w:jc w:val="center"/>
        <w:rPr>
          <w:rFonts w:ascii="Georgia" w:hAnsi="Georgia" w:cs="Arial"/>
          <w:b/>
          <w:sz w:val="40"/>
          <w:szCs w:val="40"/>
          <w:lang w:val="bg-BG"/>
        </w:rPr>
      </w:pPr>
      <w:r w:rsidRPr="009F0F9A">
        <w:rPr>
          <w:rFonts w:ascii="Georgia" w:hAnsi="Georgia"/>
          <w:bCs/>
          <w:sz w:val="24"/>
          <w:szCs w:val="24"/>
          <w:lang w:val="en-GB"/>
        </w:rPr>
        <w:t xml:space="preserve">Third </w:t>
      </w:r>
      <w:r>
        <w:rPr>
          <w:rFonts w:ascii="Georgia" w:hAnsi="Georgia"/>
          <w:bCs/>
          <w:sz w:val="24"/>
          <w:szCs w:val="24"/>
          <w:lang w:val="en-GB"/>
        </w:rPr>
        <w:t xml:space="preserve">Joint </w:t>
      </w:r>
      <w:r w:rsidRPr="009F0F9A">
        <w:rPr>
          <w:rFonts w:ascii="Georgia" w:hAnsi="Georgia"/>
          <w:bCs/>
          <w:sz w:val="24"/>
          <w:szCs w:val="24"/>
          <w:lang w:val="en-GB"/>
        </w:rPr>
        <w:t xml:space="preserve">Conference on Trade Facilitation and the Single Window </w:t>
      </w:r>
    </w:p>
    <w:p w:rsidR="00FA616D" w:rsidRDefault="00FA616D" w:rsidP="00A85FB2">
      <w:pPr>
        <w:jc w:val="center"/>
        <w:rPr>
          <w:rFonts w:ascii="Georgia" w:hAnsi="Georgia" w:cs="Arial"/>
          <w:lang w:val="en-US"/>
        </w:rPr>
      </w:pPr>
    </w:p>
    <w:p w:rsidR="003F7178" w:rsidRPr="003F7178" w:rsidRDefault="003F7178" w:rsidP="00A85FB2">
      <w:pPr>
        <w:jc w:val="center"/>
        <w:rPr>
          <w:rFonts w:ascii="Georgia" w:hAnsi="Georgia" w:cs="Arial"/>
          <w:lang w:val="en-US"/>
        </w:rPr>
      </w:pPr>
    </w:p>
    <w:p w:rsidR="00A85FB2" w:rsidRPr="00921ACA" w:rsidRDefault="000E6809" w:rsidP="005A439E">
      <w:pPr>
        <w:jc w:val="center"/>
        <w:rPr>
          <w:rFonts w:ascii="Georgia" w:hAnsi="Georgia" w:cs="Arial"/>
          <w:sz w:val="24"/>
          <w:szCs w:val="24"/>
          <w:lang w:val="en-US"/>
        </w:rPr>
      </w:pPr>
      <w:r w:rsidRPr="00921ACA">
        <w:rPr>
          <w:rFonts w:ascii="Georgia" w:hAnsi="Georgia" w:cs="Arial"/>
          <w:sz w:val="24"/>
          <w:szCs w:val="24"/>
          <w:lang w:val="en-US"/>
        </w:rPr>
        <w:t>24</w:t>
      </w:r>
      <w:r w:rsidR="00992572" w:rsidRPr="00921ACA">
        <w:rPr>
          <w:rFonts w:ascii="Georgia" w:hAnsi="Georgia" w:cs="Arial"/>
          <w:sz w:val="24"/>
          <w:szCs w:val="24"/>
          <w:lang w:val="bg-BG"/>
        </w:rPr>
        <w:t>-25</w:t>
      </w:r>
      <w:r w:rsidR="005A439E" w:rsidRPr="00921ACA">
        <w:rPr>
          <w:rFonts w:ascii="Georgia" w:hAnsi="Georgia" w:cs="Arial"/>
          <w:sz w:val="24"/>
          <w:szCs w:val="24"/>
          <w:lang w:val="en-US"/>
        </w:rPr>
        <w:t xml:space="preserve"> April</w:t>
      </w:r>
      <w:r w:rsidRPr="00921ACA">
        <w:rPr>
          <w:rFonts w:ascii="Georgia" w:hAnsi="Georgia" w:cs="Arial"/>
          <w:sz w:val="24"/>
          <w:szCs w:val="24"/>
          <w:lang w:val="en-US"/>
        </w:rPr>
        <w:t xml:space="preserve"> 201</w:t>
      </w:r>
      <w:r w:rsidR="00992572" w:rsidRPr="00921ACA">
        <w:rPr>
          <w:rFonts w:ascii="Georgia" w:hAnsi="Georgia" w:cs="Arial"/>
          <w:sz w:val="24"/>
          <w:szCs w:val="24"/>
          <w:lang w:val="bg-BG"/>
        </w:rPr>
        <w:t>4</w:t>
      </w:r>
    </w:p>
    <w:p w:rsidR="005A439E" w:rsidRPr="00921ACA" w:rsidRDefault="003F7178" w:rsidP="003F7178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en-US"/>
        </w:rPr>
      </w:pPr>
      <w:r w:rsidRPr="00921ACA">
        <w:rPr>
          <w:rFonts w:ascii="Georgia" w:hAnsi="Georgia" w:cs="Arial"/>
          <w:sz w:val="24"/>
          <w:szCs w:val="24"/>
          <w:lang w:val="en-US"/>
        </w:rPr>
        <w:t>Venue: Hotel “InterContinental Almaty”</w:t>
      </w:r>
    </w:p>
    <w:p w:rsidR="003F7178" w:rsidRPr="00921ACA" w:rsidRDefault="003F7178" w:rsidP="003F7178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en-US"/>
        </w:rPr>
      </w:pPr>
      <w:proofErr w:type="spellStart"/>
      <w:r w:rsidRPr="00921ACA">
        <w:rPr>
          <w:rFonts w:ascii="Georgia" w:hAnsi="Georgia" w:cs="Arial"/>
          <w:sz w:val="24"/>
          <w:szCs w:val="24"/>
          <w:lang w:val="en-US"/>
        </w:rPr>
        <w:t>Zheltoksan</w:t>
      </w:r>
      <w:proofErr w:type="spellEnd"/>
      <w:r w:rsidRPr="00921ACA">
        <w:rPr>
          <w:rFonts w:ascii="Georgia" w:hAnsi="Georgia" w:cs="Arial"/>
          <w:sz w:val="24"/>
          <w:szCs w:val="24"/>
          <w:lang w:val="en-US"/>
        </w:rPr>
        <w:t xml:space="preserve"> Str. 181, Almaty</w:t>
      </w:r>
    </w:p>
    <w:p w:rsidR="003F7178" w:rsidRDefault="003F7178" w:rsidP="005A439E">
      <w:pPr>
        <w:jc w:val="center"/>
        <w:rPr>
          <w:rFonts w:ascii="Georgia" w:hAnsi="Georgia" w:cs="Arial"/>
          <w:sz w:val="28"/>
          <w:szCs w:val="28"/>
          <w:lang w:val="en-US"/>
        </w:rPr>
      </w:pPr>
    </w:p>
    <w:p w:rsidR="003F7178" w:rsidRDefault="003F7178" w:rsidP="005A439E">
      <w:pPr>
        <w:jc w:val="center"/>
        <w:rPr>
          <w:rFonts w:ascii="Georgia" w:hAnsi="Georgia" w:cs="Arial"/>
          <w:sz w:val="28"/>
          <w:szCs w:val="28"/>
          <w:lang w:val="en-US"/>
        </w:rPr>
      </w:pPr>
    </w:p>
    <w:p w:rsidR="005A439E" w:rsidRPr="005A439E" w:rsidRDefault="005A439E" w:rsidP="005A439E">
      <w:pPr>
        <w:jc w:val="center"/>
        <w:rPr>
          <w:rFonts w:eastAsia="Batang" w:cs="Times New Roman"/>
          <w:color w:val="000000"/>
          <w:sz w:val="20"/>
          <w:szCs w:val="20"/>
          <w:lang w:val="en-US" w:eastAsia="ko-KR"/>
        </w:rPr>
      </w:pPr>
    </w:p>
    <w:p w:rsidR="00631849" w:rsidRPr="0033001B" w:rsidRDefault="0033001B" w:rsidP="00631849">
      <w:pPr>
        <w:jc w:val="center"/>
        <w:rPr>
          <w:rFonts w:ascii="Georgia" w:hAnsi="Georgia" w:cs="Arial"/>
          <w:b/>
          <w:smallCaps/>
          <w:sz w:val="32"/>
          <w:szCs w:val="32"/>
          <w:u w:val="single"/>
          <w:lang w:val="en-US"/>
        </w:rPr>
      </w:pPr>
      <w:r w:rsidRPr="0033001B">
        <w:rPr>
          <w:rFonts w:ascii="Georgia" w:hAnsi="Georgia" w:cs="Arial"/>
          <w:b/>
          <w:smallCaps/>
          <w:sz w:val="32"/>
          <w:szCs w:val="32"/>
          <w:u w:val="single"/>
          <w:lang w:val="en-US"/>
        </w:rPr>
        <w:t>agenda</w:t>
      </w: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3F7178" w:rsidRPr="004140F9" w:rsidRDefault="003F7178">
      <w:pPr>
        <w:rPr>
          <w:rFonts w:ascii="Georgia" w:hAnsi="Georgia" w:cs="Arial"/>
          <w:lang w:val="en-GB"/>
        </w:rPr>
      </w:pPr>
      <w:r w:rsidRPr="00EA1846">
        <w:rPr>
          <w:rFonts w:ascii="Georgia" w:hAnsi="Georgia" w:cs="Arial"/>
          <w:lang w:val="en-GB"/>
        </w:rPr>
        <w:t>Version</w:t>
      </w:r>
      <w:r w:rsidRPr="001B164C">
        <w:rPr>
          <w:rFonts w:ascii="Georgia" w:hAnsi="Georgia" w:cs="Arial"/>
          <w:lang w:val="en-US"/>
        </w:rPr>
        <w:t xml:space="preserve"> </w:t>
      </w:r>
      <w:r>
        <w:rPr>
          <w:rFonts w:ascii="Georgia" w:hAnsi="Georgia" w:cs="Arial"/>
          <w:lang w:val="en-US"/>
        </w:rPr>
        <w:t>2</w:t>
      </w:r>
      <w:r w:rsidR="00CA50DB" w:rsidRPr="004140F9">
        <w:rPr>
          <w:rFonts w:ascii="Georgia" w:hAnsi="Georgia" w:cs="Arial"/>
          <w:lang w:val="en-GB"/>
        </w:rPr>
        <w:t>5</w:t>
      </w:r>
    </w:p>
    <w:p w:rsidR="00921ACA" w:rsidRDefault="00921A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10EB5" w:rsidRPr="001B164C" w:rsidRDefault="00CD3E47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</w:t>
      </w:r>
      <w:r w:rsidR="00AC4589" w:rsidRPr="001B164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5804" w:rsidRPr="001B164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10D2" w:rsidRPr="001B1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>
        <w:rPr>
          <w:rFonts w:ascii="Times New Roman" w:hAnsi="Times New Roman" w:cs="Times New Roman"/>
          <w:sz w:val="24"/>
          <w:szCs w:val="24"/>
          <w:lang w:val="en-US"/>
        </w:rPr>
        <w:t>Registration</w:t>
      </w:r>
    </w:p>
    <w:p w:rsidR="00803758" w:rsidRPr="001B164C" w:rsidRDefault="00803758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3246C" w:rsidRPr="00AD061D" w:rsidRDefault="00615149" w:rsidP="0093246C">
      <w:pPr>
        <w:pStyle w:val="NoSpacing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3E47" w:rsidRPr="00FD67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03758"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7BF" w:rsidRPr="00FD67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15804" w:rsidRPr="00FD6701">
        <w:rPr>
          <w:rFonts w:ascii="Times New Roman" w:hAnsi="Times New Roman" w:cs="Times New Roman"/>
          <w:sz w:val="24"/>
          <w:szCs w:val="24"/>
          <w:lang w:val="en-US"/>
        </w:rPr>
        <w:t>0 –</w:t>
      </w:r>
      <w:r w:rsidR="0093246C"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04"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3E47" w:rsidRPr="00FD67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03758"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7BF" w:rsidRPr="00FD670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34EF7" w:rsidRPr="00FD670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B66BF"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 w:rsidRPr="00E13B5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Welcome address</w:t>
      </w:r>
    </w:p>
    <w:p w:rsidR="00D21F73" w:rsidRPr="00AF3477" w:rsidRDefault="008D4A06" w:rsidP="00F67F8A">
      <w:pPr>
        <w:spacing w:before="120" w:after="0" w:line="240" w:lineRule="auto"/>
        <w:ind w:left="851" w:hanging="142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proofErr w:type="spellStart"/>
      <w:r w:rsidRPr="00DF11A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>Amrin</w:t>
      </w:r>
      <w:proofErr w:type="spellEnd"/>
      <w:r w:rsidRPr="00DF11A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DF11A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>Gosman</w:t>
      </w:r>
      <w:proofErr w:type="spellEnd"/>
      <w:r w:rsidRPr="00DF11A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DF11A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>Karimovich</w:t>
      </w:r>
      <w:proofErr w:type="spellEnd"/>
      <w:r w:rsidRPr="008D4A0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, Chairman of the Customs Control Committee of the Ministry of Finance of the Republic of Kazakhstan</w:t>
      </w:r>
    </w:p>
    <w:p w:rsidR="00B0067F" w:rsidRPr="00AF3477" w:rsidRDefault="00DF11AB" w:rsidP="00F67F8A">
      <w:pPr>
        <w:pStyle w:val="NoSpacing"/>
        <w:ind w:left="851" w:hanging="142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</w:pP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Goshin</w:t>
      </w:r>
      <w:proofErr w:type="spellEnd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8E00D2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Vladimir</w:t>
      </w:r>
      <w:r w:rsidRPr="00DF11A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Anatolievich</w:t>
      </w:r>
      <w:proofErr w:type="spellEnd"/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 Member of the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Board</w:t>
      </w:r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(Minister)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for Customs cooperation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of the </w:t>
      </w:r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Eurasian Economic Commission </w:t>
      </w:r>
    </w:p>
    <w:p w:rsidR="00717A29" w:rsidRPr="00AF3477" w:rsidRDefault="00717A29" w:rsidP="00F67F8A">
      <w:pPr>
        <w:pStyle w:val="NoSpacing"/>
        <w:ind w:left="851" w:hanging="142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</w:pP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Mario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Apostolov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 Regional Advisor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UNECE Trade</w:t>
      </w:r>
    </w:p>
    <w:p w:rsidR="00D147BF" w:rsidRPr="00FD6701" w:rsidRDefault="00D147BF" w:rsidP="00F67F8A">
      <w:pPr>
        <w:pStyle w:val="NoSpacing"/>
        <w:ind w:left="1276" w:hanging="1276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A7EA0" w:rsidRPr="00FD6701" w:rsidRDefault="00057EA6" w:rsidP="00F67F8A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3E47" w:rsidRPr="00FD67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7BF" w:rsidRPr="00FD6701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CD3E47" w:rsidRPr="00FD6701">
        <w:rPr>
          <w:rFonts w:ascii="Times New Roman" w:hAnsi="Times New Roman" w:cs="Times New Roman"/>
          <w:sz w:val="24"/>
          <w:szCs w:val="24"/>
          <w:lang w:val="en-US"/>
        </w:rPr>
        <w:t>5:15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C70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</w:t>
      </w:r>
      <w:r w:rsidR="00815804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803758" w:rsidRPr="00FD670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15804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52A0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1D09AA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Single Window as a trade facilitation </w:t>
      </w:r>
      <w:r w:rsidR="00AE107B" w:rsidRPr="00AD061D">
        <w:rPr>
          <w:rFonts w:ascii="Times New Roman" w:hAnsi="Times New Roman" w:cs="Times New Roman"/>
          <w:b/>
          <w:sz w:val="24"/>
          <w:szCs w:val="24"/>
          <w:lang w:val="en-US"/>
        </w:rPr>
        <w:t>instrument</w:t>
      </w:r>
      <w:r w:rsidR="005275C5" w:rsidRPr="00AD061D">
        <w:rPr>
          <w:rFonts w:ascii="Times New Roman" w:hAnsi="Times New Roman" w:cs="Times New Roman"/>
          <w:b/>
          <w:sz w:val="24"/>
          <w:szCs w:val="24"/>
          <w:lang w:val="en-US"/>
        </w:rPr>
        <w:t>: concepts and terms</w:t>
      </w:r>
    </w:p>
    <w:p w:rsidR="00CD3E47" w:rsidRPr="00F67F8A" w:rsidRDefault="00CD3E47" w:rsidP="00F67F8A">
      <w:pPr>
        <w:pStyle w:val="NoSpacing"/>
        <w:spacing w:before="120" w:after="120"/>
        <w:ind w:left="1134" w:hanging="113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Mario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Apostolov</w:t>
      </w:r>
      <w:proofErr w:type="spellEnd"/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, Regional </w:t>
      </w:r>
      <w:proofErr w:type="gramStart"/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Advisor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UNECE</w:t>
      </w:r>
      <w:proofErr w:type="gram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Trade / </w:t>
      </w:r>
      <w:proofErr w:type="spellStart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Serzhan</w:t>
      </w:r>
      <w:proofErr w:type="spellEnd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Duisebayev</w:t>
      </w:r>
      <w:proofErr w:type="spellEnd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>,</w:t>
      </w:r>
      <w:r w:rsidRPr="00AF3477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Eurasian Economic Commission</w:t>
      </w:r>
    </w:p>
    <w:tbl>
      <w:tblPr>
        <w:tblStyle w:val="TableGrid"/>
        <w:tblW w:w="9074" w:type="dxa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C49FB" w:rsidRPr="00F05709" w:rsidTr="00F67F8A">
        <w:trPr>
          <w:trHeight w:val="950"/>
        </w:trPr>
        <w:tc>
          <w:tcPr>
            <w:tcW w:w="9074" w:type="dxa"/>
          </w:tcPr>
          <w:p w:rsidR="005F1BFB" w:rsidRDefault="0057140D" w:rsidP="00F67F8A">
            <w:pPr>
              <w:pStyle w:val="NoSpacing"/>
              <w:spacing w:before="120" w:after="120"/>
              <w:ind w:left="34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session will </w:t>
            </w:r>
            <w:r w:rsidR="005275C5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6078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F1BFB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common understanding of </w:t>
            </w:r>
            <w:r w:rsidR="00B402D0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F1BFB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Window as an effective </w:t>
            </w:r>
            <w:r w:rsidR="005F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trade facilitation </w:t>
            </w:r>
            <w:r w:rsidR="005F1BFB" w:rsidRPr="001D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="005F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E122F" w:rsidRPr="00CD3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09AA" w:rsidRDefault="001D09AA" w:rsidP="00F67F8A">
            <w:pPr>
              <w:pStyle w:val="NoSpacing"/>
              <w:spacing w:before="120" w:after="120"/>
              <w:ind w:left="34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B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5F1BFB" w:rsidRPr="005F1B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bjective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F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formulate a common </w:t>
            </w:r>
            <w:r w:rsidR="0052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vision of </w:t>
            </w:r>
            <w:r w:rsidR="00BB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2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contents and implementation of </w:t>
            </w:r>
            <w:r w:rsidR="00BB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2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concepts </w:t>
            </w:r>
            <w:r w:rsidR="00BB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in </w:t>
            </w:r>
            <w:r w:rsidR="0052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 of establishing a </w:t>
            </w:r>
            <w:r w:rsidR="00B62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Window such as:</w:t>
            </w:r>
          </w:p>
          <w:p w:rsidR="00B62A24" w:rsidRDefault="00B62A24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2A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 Window;</w:t>
            </w:r>
          </w:p>
          <w:p w:rsidR="003F7178" w:rsidRPr="00BC0751" w:rsidRDefault="00940EBB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07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Framework</w:t>
            </w:r>
            <w:r w:rsidR="003F7178" w:rsidRPr="00BC07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for Single Window;</w:t>
            </w:r>
          </w:p>
          <w:p w:rsidR="00B62A24" w:rsidRDefault="00B62A24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 Window model;</w:t>
            </w:r>
          </w:p>
          <w:p w:rsidR="00B25E58" w:rsidRDefault="00980A4C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0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Strategic plan;</w:t>
            </w:r>
          </w:p>
          <w:p w:rsidR="00B25E58" w:rsidRDefault="005275C5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Lead agency in the establishment and development of a </w:t>
            </w:r>
            <w:r w:rsidR="006304A3" w:rsidRPr="00B25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Single Window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m</w:t>
            </w:r>
            <w:r w:rsidR="00B25E58" w:rsidRPr="00B25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ember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</w:t>
            </w:r>
            <w:r w:rsidR="00B25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the</w:t>
            </w:r>
            <w:r w:rsidR="00B25E58" w:rsidRPr="00B25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5E58" w:rsidRPr="00B25E5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Customs Union and </w:t>
            </w:r>
            <w:r w:rsidR="00B25E58" w:rsidRPr="00B25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Single </w:t>
            </w:r>
            <w:r w:rsidR="00B25E58" w:rsidRPr="00B25E5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Economic </w:t>
            </w:r>
            <w:r w:rsidR="00D779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Space</w:t>
            </w:r>
            <w:r w:rsidRPr="005275C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(CU &amp; SE</w:t>
            </w:r>
            <w:r w:rsidR="00D779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5275C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 w:rsid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03321" w:rsidRDefault="005275C5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oordinating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body</w:t>
            </w:r>
            <w:r w:rsid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03321" w:rsidRPr="00103321" w:rsidRDefault="005275C5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103321" w:rsidRP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olitical will</w:t>
            </w:r>
            <w:r w:rsid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980A4C" w:rsidRDefault="00103321" w:rsidP="00F67F8A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  <w:r w:rsidR="005275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/stakeholders/users</w:t>
            </w:r>
            <w:r w:rsidRPr="00103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the system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4E73DE" w:rsidRPr="00D77996" w:rsidRDefault="00EC0876" w:rsidP="00F543B4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Private Public Partnership in</w:t>
            </w:r>
            <w:r w:rsidR="00B45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="007775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80C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Single Window </w:t>
            </w:r>
            <w:r w:rsidR="007775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implementation</w:t>
            </w:r>
            <w:r w:rsidR="00080C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055BF7" w:rsidRPr="009708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03321" w:rsidRPr="00F543B4" w:rsidRDefault="005275C5" w:rsidP="00F543B4">
            <w:pPr>
              <w:pStyle w:val="NoSpacing"/>
              <w:numPr>
                <w:ilvl w:val="0"/>
                <w:numId w:val="13"/>
              </w:numPr>
              <w:ind w:left="391" w:right="17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4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</w:p>
        </w:tc>
      </w:tr>
    </w:tbl>
    <w:p w:rsidR="0031401A" w:rsidRPr="005F1BFB" w:rsidRDefault="00781C70" w:rsidP="00F67F8A">
      <w:pPr>
        <w:pStyle w:val="NoSpacing"/>
        <w:spacing w:before="120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Speakers</w:t>
      </w:r>
      <w:r w:rsidR="00D8799D" w:rsidRPr="005F1B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3E47" w:rsidRPr="00CD3E47" w:rsidRDefault="00CD3E47" w:rsidP="00F67F8A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Zakhirdzhan</w:t>
      </w:r>
      <w:proofErr w:type="spellEnd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Kuchkarov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 w:rsidR="00D30019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Analytical </w:t>
      </w:r>
      <w:proofErr w:type="spellStart"/>
      <w:r w:rsidR="00D30019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Cent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e</w:t>
      </w:r>
      <w:r w:rsidR="00D30019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r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“Concept”, </w:t>
      </w:r>
      <w:r w:rsidR="00B636C3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Moscow Institute of Physics and Technology:</w:t>
      </w:r>
      <w:r w:rsidR="00B636C3"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GB"/>
        </w:rPr>
        <w:t xml:space="preserve"> </w:t>
      </w:r>
      <w:r w:rsidR="004E73D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636C3" w:rsidRPr="00B636C3">
        <w:rPr>
          <w:rFonts w:ascii="Times New Roman" w:hAnsi="Times New Roman" w:cs="Times New Roman"/>
          <w:sz w:val="24"/>
          <w:szCs w:val="24"/>
          <w:lang w:val="en-GB"/>
        </w:rPr>
        <w:t xml:space="preserve">reation of </w:t>
      </w:r>
      <w:r w:rsidR="004E73D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636C3" w:rsidRPr="006358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B451E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glossary</w:t>
      </w:r>
      <w:r w:rsidR="004E73D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 concepts</w:t>
      </w:r>
      <w:r w:rsidR="00B636C3" w:rsidRPr="006358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B636C3" w:rsidRPr="00B636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636C3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B636C3" w:rsidRPr="00B636C3">
        <w:rPr>
          <w:rFonts w:ascii="Times New Roman" w:hAnsi="Times New Roman" w:cs="Times New Roman"/>
          <w:sz w:val="24"/>
          <w:szCs w:val="24"/>
          <w:lang w:val="en-GB"/>
        </w:rPr>
        <w:t xml:space="preserve">uniform application </w:t>
      </w:r>
      <w:r w:rsidR="00B636C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636C3" w:rsidRPr="00B636C3">
        <w:rPr>
          <w:rFonts w:ascii="Times New Roman" w:hAnsi="Times New Roman" w:cs="Times New Roman"/>
          <w:sz w:val="24"/>
          <w:szCs w:val="24"/>
          <w:lang w:val="en-GB"/>
        </w:rPr>
        <w:t xml:space="preserve"> the creation and </w:t>
      </w:r>
      <w:r w:rsidR="00B636C3">
        <w:rPr>
          <w:rFonts w:ascii="Times New Roman" w:hAnsi="Times New Roman" w:cs="Times New Roman"/>
          <w:sz w:val="24"/>
          <w:szCs w:val="24"/>
          <w:lang w:val="en-GB"/>
        </w:rPr>
        <w:t>development of Single Window</w:t>
      </w:r>
      <w:r w:rsidR="004E73DE">
        <w:rPr>
          <w:rFonts w:ascii="Times New Roman" w:hAnsi="Times New Roman" w:cs="Times New Roman"/>
          <w:sz w:val="24"/>
          <w:szCs w:val="24"/>
          <w:lang w:val="en-GB"/>
        </w:rPr>
        <w:t xml:space="preserve"> mechanisms in the Customs Union and Single Economic </w:t>
      </w:r>
      <w:r w:rsidR="00D77996">
        <w:rPr>
          <w:rFonts w:ascii="Times New Roman" w:hAnsi="Times New Roman" w:cs="Times New Roman"/>
          <w:sz w:val="24"/>
          <w:szCs w:val="24"/>
          <w:lang w:val="en-GB"/>
        </w:rPr>
        <w:t>Space</w:t>
      </w:r>
      <w:r w:rsidR="00B636C3" w:rsidRPr="00B636C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63588F" w:rsidRPr="0063588F" w:rsidRDefault="00080C75" w:rsidP="00F67F8A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3477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Serzhan</w:t>
      </w:r>
      <w:proofErr w:type="spellEnd"/>
      <w:r w:rsidRPr="00AF3477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F3477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Duisebaev</w:t>
      </w:r>
      <w:proofErr w:type="spellEnd"/>
      <w:r w:rsidRPr="00AF3477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, 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Eurasian Economic Commission</w:t>
      </w:r>
      <w:r w:rsidR="00AE107B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:</w:t>
      </w:r>
      <w:r w:rsidR="00AF2641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E23D1D">
        <w:rPr>
          <w:rFonts w:ascii="Times New Roman" w:hAnsi="Times New Roman" w:cs="Times New Roman"/>
          <w:sz w:val="24"/>
          <w:szCs w:val="24"/>
          <w:lang w:val="en-GB"/>
        </w:rPr>
        <w:t>Creation</w:t>
      </w:r>
      <w:r w:rsidR="00AF2641" w:rsidRPr="0063588F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r w:rsidR="009D2BB4" w:rsidRPr="0063588F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="00AF2641" w:rsidRPr="00635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5C5">
        <w:rPr>
          <w:rFonts w:ascii="Times New Roman" w:hAnsi="Times New Roman" w:cs="Times New Roman"/>
          <w:sz w:val="24"/>
          <w:szCs w:val="24"/>
          <w:lang w:val="en-US"/>
        </w:rPr>
        <w:t xml:space="preserve">understanding of the concepts and terms </w:t>
      </w:r>
      <w:r w:rsidR="00EC0876" w:rsidRPr="0063588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75C5">
        <w:rPr>
          <w:rFonts w:ascii="Times New Roman" w:hAnsi="Times New Roman" w:cs="Times New Roman"/>
          <w:sz w:val="24"/>
          <w:szCs w:val="24"/>
          <w:lang w:val="en-US"/>
        </w:rPr>
        <w:t xml:space="preserve">developing a </w:t>
      </w:r>
      <w:r w:rsidR="00EC0876" w:rsidRPr="0063588F">
        <w:rPr>
          <w:rFonts w:ascii="Times New Roman" w:hAnsi="Times New Roman" w:cs="Times New Roman"/>
          <w:sz w:val="24"/>
          <w:szCs w:val="24"/>
          <w:lang w:val="en-US"/>
        </w:rPr>
        <w:t>Single Window</w:t>
      </w:r>
      <w:r w:rsidR="00E23D1D">
        <w:rPr>
          <w:rFonts w:ascii="Times New Roman" w:hAnsi="Times New Roman" w:cs="Times New Roman"/>
          <w:sz w:val="24"/>
          <w:szCs w:val="24"/>
          <w:lang w:val="en-US"/>
        </w:rPr>
        <w:t xml:space="preserve"> in member States of CU &amp; SES</w:t>
      </w:r>
      <w:r w:rsidR="00951D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1E19" w:rsidRPr="00EC0876" w:rsidRDefault="00DB1E19" w:rsidP="00D651A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B1E19" w:rsidRPr="0090501C" w:rsidRDefault="00B636C3" w:rsidP="00185348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15:15 – 15:30</w:t>
      </w:r>
      <w:r w:rsidR="00DB1E19" w:rsidRPr="0090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48D0">
        <w:rPr>
          <w:rFonts w:ascii="Times New Roman" w:hAnsi="Times New Roman" w:cs="Times New Roman"/>
          <w:i/>
          <w:sz w:val="24"/>
          <w:szCs w:val="24"/>
          <w:lang w:val="en-US"/>
        </w:rPr>
        <w:t>Coffee</w:t>
      </w:r>
      <w:r w:rsidR="00D30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48D0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="00E148D0" w:rsidRPr="0090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15149" w:rsidRPr="0090501C" w:rsidRDefault="00F1065F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501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0019" w:rsidRPr="00DB14FE" w:rsidRDefault="0093246C" w:rsidP="003F7178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  <w:r w:rsidRPr="00952B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36C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52B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36C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18534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534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D6498" w:rsidRPr="00952B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04D2E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8D0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</w:t>
      </w:r>
      <w:r w:rsidR="00204D2E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r w:rsidR="00204D2E" w:rsidRPr="00952B2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2A0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Organizational </w:t>
      </w:r>
      <w:r w:rsidR="00BC226E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foundations </w:t>
      </w:r>
      <w:r w:rsidR="00D852A0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BC226E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prerequisites </w:t>
      </w:r>
      <w:r w:rsidR="00FF65D3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for </w:t>
      </w:r>
      <w:r w:rsidR="00BC226E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the development </w:t>
      </w:r>
      <w:r w:rsidR="00951DFC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of</w:t>
      </w:r>
      <w:r w:rsidR="00951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Single Window mechanisms</w:t>
      </w:r>
      <w:r w:rsidR="00FF65D3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2559B6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in the </w:t>
      </w:r>
      <w:r w:rsidR="00BC226E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Member S</w:t>
      </w:r>
      <w:r w:rsidR="002559B6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tates of</w:t>
      </w:r>
      <w:r w:rsidR="002559B6" w:rsidRPr="00AD06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the </w:t>
      </w:r>
      <w:r w:rsidR="00BC226E" w:rsidRPr="00AD061D">
        <w:rPr>
          <w:rFonts w:ascii="Times New Roman" w:hAnsi="Times New Roman" w:cs="Times New Roman"/>
          <w:b/>
          <w:sz w:val="24"/>
          <w:szCs w:val="24"/>
          <w:lang w:val="en-GB"/>
        </w:rPr>
        <w:t>CU &amp; SE</w:t>
      </w:r>
      <w:r w:rsidR="00D7799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470B34" w:rsidRDefault="00470B34" w:rsidP="00DB14FE">
      <w:pPr>
        <w:pStyle w:val="NoSpacing"/>
        <w:spacing w:before="120" w:after="120"/>
        <w:ind w:left="1276" w:hanging="1185"/>
        <w:rPr>
          <w:rStyle w:val="hps"/>
          <w:rFonts w:ascii="Arial" w:hAnsi="Arial" w:cs="Arial"/>
          <w:color w:val="222222"/>
          <w:lang w:val="en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GB"/>
        </w:rPr>
        <w:t>Moderator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F11AB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Dina </w:t>
      </w:r>
      <w:proofErr w:type="spellStart"/>
      <w:r w:rsidR="00DF11AB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Mamasheva</w:t>
      </w:r>
      <w:proofErr w:type="spellEnd"/>
      <w:r w:rsidR="00DF11AB"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GB"/>
        </w:rPr>
        <w:t xml:space="preserve">, </w:t>
      </w:r>
      <w:r w:rsidR="00DF11AB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Deputy Chairman, Customs Control Committee of the Ministry of Finance of Kazakhstan </w:t>
      </w:r>
      <w:r w:rsidR="00DF462E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/ </w:t>
      </w:r>
      <w:r w:rsidR="00DF462E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Sergey Yevtushenko</w:t>
      </w:r>
      <w:r w:rsidR="00DF462E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 Referent of Government of the Russian Federation</w:t>
      </w:r>
      <w:r w:rsidR="00DF462E" w:rsidRPr="00AF3477">
        <w:rPr>
          <w:rStyle w:val="hps"/>
          <w:rFonts w:ascii="Arial" w:hAnsi="Arial" w:cs="Arial"/>
          <w:color w:val="17365D" w:themeColor="text2" w:themeShade="BF"/>
          <w:lang w:val="en"/>
        </w:rPr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C49FB" w:rsidRPr="004140F9" w:rsidTr="00F67F8A">
        <w:trPr>
          <w:trHeight w:val="950"/>
        </w:trPr>
        <w:tc>
          <w:tcPr>
            <w:tcW w:w="9072" w:type="dxa"/>
          </w:tcPr>
          <w:p w:rsidR="00545CA9" w:rsidRPr="00545CA9" w:rsidRDefault="00470B34" w:rsidP="00185348">
            <w:pPr>
              <w:ind w:left="176" w:right="34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C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</w:t>
            </w:r>
            <w:r w:rsidR="00545CA9" w:rsidRPr="0054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recommendations and </w:t>
            </w:r>
            <w:r w:rsidR="004E7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practice </w:t>
            </w:r>
            <w:r w:rsidR="00F4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9A1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organization of </w:t>
            </w:r>
            <w:r w:rsidR="00D5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5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 W</w:t>
            </w:r>
            <w:r w:rsidR="00D546E6" w:rsidRPr="0054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indow </w:t>
            </w:r>
            <w:r w:rsidR="00BC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projects, with a special emphasis on issues of practical significance to the </w:t>
            </w:r>
            <w:r w:rsidR="00BC22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Member S</w:t>
            </w:r>
            <w:r w:rsidR="00572ABB" w:rsidRPr="002559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tates of</w:t>
            </w:r>
            <w:r w:rsidR="00572ABB" w:rsidRPr="002559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the </w:t>
            </w:r>
            <w:r w:rsidR="00BC226E" w:rsidRPr="00BC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 &amp; SE</w:t>
            </w:r>
            <w:r w:rsidR="00F37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545CA9" w:rsidRPr="0054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A1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CA9" w:rsidRDefault="00545CA9" w:rsidP="00185348">
            <w:pPr>
              <w:pStyle w:val="ListParagraph"/>
              <w:numPr>
                <w:ilvl w:val="0"/>
                <w:numId w:val="14"/>
              </w:numPr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</w:t>
            </w:r>
            <w:r w:rsid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will</w:t>
            </w:r>
            <w:r w:rsidR="00BC2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</w:t>
            </w:r>
            <w:r w:rsidR="00BC226E" w:rsidRPr="00E02C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expressed </w:t>
            </w:r>
            <w:r w:rsidR="00BC2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existence of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proofErr w:type="spellEnd"/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document, 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level of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control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approval and execution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a </w:t>
            </w:r>
            <w:proofErr w:type="spellStart"/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</w:t>
            </w:r>
            <w:proofErr w:type="spellEnd"/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document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ence of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high-level working group;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existence of seals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head of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working group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 existence of seals of a head of a working head with regard to other government agencies</w:t>
            </w:r>
            <w:r w:rsidR="00556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organizations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involved in </w:t>
            </w:r>
            <w:r w:rsidR="00556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ingle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07007A" w:rsidRP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indow </w:t>
            </w:r>
            <w:r w:rsidR="00070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="00486D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E02C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AC12AF" w:rsidRPr="00E02C0A" w:rsidRDefault="00556B77" w:rsidP="00F67F8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scope of government authorities, organizations and </w:t>
            </w:r>
            <w:r w:rsidR="00AC12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agencies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involved in</w:t>
            </w:r>
            <w:r w:rsidR="00AC12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Single Window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project.</w:t>
            </w:r>
            <w:r w:rsidR="00AC12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F51A4E" w:rsidRPr="00E02C0A" w:rsidRDefault="00556B77" w:rsidP="00F51A4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Existence of an authorized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F78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agency responsible for the organization and coordination of the Single Window project.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21FDB" w:rsidRDefault="0029557D" w:rsidP="00F67F8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6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Which </w:t>
            </w:r>
            <w:r w:rsidR="00BC226E" w:rsidRPr="00470B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governmental 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authorities/ agencies, or private organization should lead the </w:t>
            </w:r>
            <w:r w:rsidR="004E7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implementation 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the Single Window project – Government, private owner under Government or </w:t>
            </w:r>
            <w:r w:rsidR="004E7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privately</w:t>
            </w:r>
            <w:r w:rsidR="004E7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51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owned </w:t>
            </w:r>
            <w:r w:rsidR="004E7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company</w:t>
            </w:r>
            <w:r w:rsidR="00A2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4E7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70B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the role of</w:t>
            </w:r>
            <w:r w:rsidR="00F70B26" w:rsidRPr="00E02C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lead</w:t>
            </w:r>
            <w:r w:rsidR="00F70B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agency / coordinator</w:t>
            </w:r>
            <w:r w:rsidR="00F70B26" w:rsidRPr="00E02C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CF7877" w:rsidRDefault="00CF7877" w:rsidP="00F67F8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directly deal with development and implementation of the Single Window project?</w:t>
            </w:r>
          </w:p>
          <w:p w:rsidR="00CF7877" w:rsidRDefault="00CF7877" w:rsidP="00F67F8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Presence of studies required financial, human, technical resources.</w:t>
            </w:r>
          </w:p>
          <w:p w:rsidR="00E34D94" w:rsidRDefault="00CF7877" w:rsidP="00E34D9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the legal form of the implementation of </w:t>
            </w:r>
            <w:r w:rsidR="00E34D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 Window used (financed by government, public-private partnership, private business)?</w:t>
            </w:r>
          </w:p>
          <w:p w:rsidR="00E34D94" w:rsidRDefault="00E34D94" w:rsidP="00E34D9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Architecture of building the Single Window:</w:t>
            </w:r>
          </w:p>
          <w:p w:rsidR="00E34D94" w:rsidRDefault="00E34D94" w:rsidP="00E34D94">
            <w:pPr>
              <w:pStyle w:val="ListParagraph"/>
              <w:numPr>
                <w:ilvl w:val="0"/>
                <w:numId w:val="14"/>
              </w:numPr>
              <w:spacing w:before="120" w:after="12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 subsystems of the Single Window are provided (a subsystem of e-payments, a subsystem of risk management, etc.)?</w:t>
            </w:r>
          </w:p>
          <w:p w:rsidR="00CF7877" w:rsidRDefault="00E34D94" w:rsidP="00E34D94">
            <w:pPr>
              <w:pStyle w:val="ListParagraph"/>
              <w:numPr>
                <w:ilvl w:val="0"/>
                <w:numId w:val="14"/>
              </w:numPr>
              <w:spacing w:before="120" w:after="12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collection, exchange and storage of information are organized (centralized, decentralized or combined)?</w:t>
            </w:r>
          </w:p>
          <w:p w:rsidR="00E34D94" w:rsidRPr="00E34D94" w:rsidRDefault="00E34D94" w:rsidP="00E34D94">
            <w:pPr>
              <w:pStyle w:val="ListParagraph"/>
              <w:numPr>
                <w:ilvl w:val="0"/>
                <w:numId w:val="14"/>
              </w:numPr>
              <w:spacing w:before="120" w:after="12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 aspects</w:t>
            </w:r>
          </w:p>
          <w:p w:rsidR="00545CA9" w:rsidRPr="00545CA9" w:rsidRDefault="005F318D" w:rsidP="0018534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results of this session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include the definition of</w:t>
            </w:r>
            <w:r w:rsidR="00545CA9" w:rsidRPr="0054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CA9" w:rsidRPr="0064515A" w:rsidRDefault="005F318D" w:rsidP="00185348">
            <w:pPr>
              <w:pStyle w:val="ListParagraph"/>
              <w:numPr>
                <w:ilvl w:val="0"/>
                <w:numId w:val="15"/>
              </w:numPr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ey </w:t>
            </w:r>
            <w:r w:rsidR="00E34D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aspects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 be included in the process of establishing and developing the</w:t>
            </w:r>
            <w:r w:rsidR="00956B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74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 Window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545CA9" w:rsidRPr="0064515A" w:rsidRDefault="00874922" w:rsidP="00F67F8A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Scope of the project</w:t>
            </w:r>
            <w:r w:rsidR="00CE06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potential </w:t>
            </w:r>
            <w:r w:rsidR="004B5D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stakeholders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scenarios for</w:t>
            </w:r>
            <w:r w:rsidR="004B5D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its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implementation;</w:t>
            </w:r>
          </w:p>
          <w:p w:rsidR="00545CA9" w:rsidRPr="0064515A" w:rsidRDefault="005F318D" w:rsidP="00F67F8A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equired resourc</w:t>
            </w:r>
            <w:r w:rsidR="003B1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 (financial, human, technical, etc.)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3B1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benefits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3B1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risks,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3B1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frame</w:t>
            </w:r>
            <w:r w:rsidR="00545CA9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FF17F0" w:rsidRPr="0064515A" w:rsidRDefault="00545CA9" w:rsidP="00E03C28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76" w:righ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Approaches to ensure </w:t>
            </w:r>
            <w:r w:rsidR="005F318D" w:rsidRPr="006451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coordinat</w:t>
            </w:r>
            <w:r w:rsidR="005F31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ion of </w:t>
            </w:r>
            <w:r w:rsidR="003B1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efforts </w:t>
            </w:r>
            <w:r w:rsidR="00C24C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among all stakeholders </w:t>
            </w:r>
            <w:r w:rsidR="00E340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 the implementation of </w:t>
            </w:r>
            <w:r w:rsidR="00C24C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="00E03C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 Window.</w:t>
            </w:r>
          </w:p>
        </w:tc>
      </w:tr>
    </w:tbl>
    <w:p w:rsidR="001374E2" w:rsidRPr="00B93BC7" w:rsidRDefault="00E340A3" w:rsidP="00F67F8A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Speakers</w:t>
      </w:r>
      <w:r w:rsidR="001374E2" w:rsidRPr="00B93B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BC7" w:rsidRDefault="00DF11AB" w:rsidP="00F67F8A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Dina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Mamasheva</w:t>
      </w:r>
      <w:proofErr w:type="spellEnd"/>
      <w:r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GB"/>
        </w:rPr>
        <w:t xml:space="preserve">, 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Deputy Chairman, Customs Control Committee of the Ministry of Finance of Kazakhstan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.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BC7" w:rsidRPr="00B93BC7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D3001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93BC7" w:rsidRPr="00B93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D1D">
        <w:rPr>
          <w:rFonts w:ascii="Times New Roman" w:hAnsi="Times New Roman" w:cs="Times New Roman"/>
          <w:sz w:val="24"/>
          <w:szCs w:val="24"/>
          <w:lang w:val="en-US"/>
        </w:rPr>
        <w:t>implementation of the</w:t>
      </w:r>
      <w:r w:rsidR="00344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CA8">
        <w:rPr>
          <w:rFonts w:ascii="Times New Roman" w:hAnsi="Times New Roman" w:cs="Times New Roman"/>
          <w:sz w:val="24"/>
          <w:szCs w:val="24"/>
          <w:lang w:val="en-US"/>
        </w:rPr>
        <w:t xml:space="preserve">Single Window </w:t>
      </w:r>
      <w:r w:rsidR="00B93BC7" w:rsidRPr="00B93BC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70B34">
        <w:rPr>
          <w:rFonts w:ascii="Times New Roman" w:hAnsi="Times New Roman" w:cs="Times New Roman"/>
          <w:sz w:val="24"/>
          <w:szCs w:val="24"/>
          <w:lang w:val="en-US"/>
        </w:rPr>
        <w:t xml:space="preserve">Kazakhstan </w:t>
      </w:r>
    </w:p>
    <w:p w:rsidR="00D77996" w:rsidRDefault="008E5C30" w:rsidP="008E5C30">
      <w:pPr>
        <w:pStyle w:val="NoSpacing"/>
        <w:numPr>
          <w:ilvl w:val="0"/>
          <w:numId w:val="16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E5C3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Alexander </w:t>
      </w:r>
      <w:proofErr w:type="spellStart"/>
      <w:r w:rsidRPr="008E5C3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Kononchuk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E5C3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Department of Foreign Economic Activities of the Min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istry of Foreign Affairs, </w:t>
      </w:r>
      <w:r w:rsidRPr="008E5C3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Republic of Belarus</w:t>
      </w:r>
      <w:r w:rsidRPr="008E5C3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77996" w:rsidRPr="00B54F9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7996" w:rsidRPr="007657BC">
        <w:rPr>
          <w:rFonts w:ascii="Times New Roman" w:hAnsi="Times New Roman" w:cs="Times New Roman"/>
          <w:sz w:val="24"/>
          <w:szCs w:val="24"/>
          <w:lang w:val="en-US"/>
        </w:rPr>
        <w:t xml:space="preserve">election of 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4528C3">
        <w:rPr>
          <w:rFonts w:ascii="Times New Roman" w:hAnsi="Times New Roman" w:cs="Times New Roman"/>
          <w:sz w:val="24"/>
          <w:szCs w:val="24"/>
          <w:lang w:val="en-US"/>
        </w:rPr>
        <w:t xml:space="preserve"> and organizational</w:t>
      </w:r>
      <w:r w:rsidR="00D77996" w:rsidRPr="007657B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7996" w:rsidRPr="007657BC">
        <w:rPr>
          <w:rFonts w:ascii="Times New Roman" w:hAnsi="Times New Roman" w:cs="Times New Roman"/>
          <w:sz w:val="24"/>
          <w:szCs w:val="24"/>
          <w:lang w:val="en-US"/>
        </w:rPr>
        <w:t xml:space="preserve"> implementation of 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7996" w:rsidRPr="007657BC">
        <w:rPr>
          <w:rFonts w:ascii="Times New Roman" w:hAnsi="Times New Roman" w:cs="Times New Roman"/>
          <w:sz w:val="24"/>
          <w:szCs w:val="24"/>
          <w:lang w:val="en-US"/>
        </w:rPr>
        <w:t xml:space="preserve"> Single Window in 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 xml:space="preserve">Republic of Belarus </w:t>
      </w:r>
    </w:p>
    <w:p w:rsidR="00B93BC7" w:rsidRPr="00921ACA" w:rsidRDefault="00F05709" w:rsidP="00F67F8A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Serguei</w:t>
      </w:r>
      <w:proofErr w:type="spellEnd"/>
      <w:r w:rsidR="00470B34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 Evtushenko</w:t>
      </w:r>
      <w:r w:rsidR="00470B34" w:rsidRPr="00B54F9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Referent</w:t>
      </w:r>
      <w:r w:rsidR="006667CD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</w:t>
      </w:r>
      <w:r w:rsidR="00F65651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470B34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Government of the Russian Federation</w:t>
      </w:r>
      <w:r w:rsidR="00F65651"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</w:t>
      </w:r>
      <w:r w:rsidR="00470B34"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="00AA42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5651" w:rsidRPr="00F65651">
        <w:rPr>
          <w:rFonts w:ascii="Times New Roman" w:hAnsi="Times New Roman" w:cs="Times New Roman"/>
          <w:sz w:val="24"/>
          <w:szCs w:val="24"/>
          <w:lang w:val="en-US"/>
        </w:rPr>
        <w:t>rganization and development of local Single Window projects in the Russian Federation.</w:t>
      </w:r>
      <w:r w:rsidR="00C24CA8" w:rsidRPr="00F6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5348" w:rsidRPr="00973DA7" w:rsidRDefault="00185348" w:rsidP="00185348">
      <w:pPr>
        <w:pStyle w:val="NoSpacing"/>
        <w:numPr>
          <w:ilvl w:val="0"/>
          <w:numId w:val="16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Rano</w:t>
      </w:r>
      <w:proofErr w:type="spellEnd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Dzhuraeva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Director, Innovation Center of Civil Aviation, Ltd</w:t>
      </w:r>
      <w:r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Results-based</w:t>
      </w:r>
      <w:r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 of Single W</w:t>
      </w:r>
      <w:r w:rsidRPr="00B93BC7">
        <w:rPr>
          <w:rFonts w:ascii="Times New Roman" w:hAnsi="Times New Roman" w:cs="Times New Roman"/>
          <w:sz w:val="24"/>
          <w:szCs w:val="24"/>
          <w:lang w:val="en-US"/>
        </w:rPr>
        <w:t xml:space="preserve">indow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implementation in international air transportation  </w:t>
      </w:r>
    </w:p>
    <w:p w:rsidR="004528C3" w:rsidRPr="00C05B9B" w:rsidRDefault="004528C3" w:rsidP="004528C3">
      <w:pPr>
        <w:pStyle w:val="NoSpacing"/>
        <w:numPr>
          <w:ilvl w:val="0"/>
          <w:numId w:val="17"/>
        </w:numPr>
        <w:spacing w:before="12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Zahouani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Saadaoui</w:t>
      </w:r>
      <w:proofErr w:type="spellEnd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,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Head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of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Electronic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Customs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Sector,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DG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Taxation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Customs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and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Union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(DG TAXUD)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of the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European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Commission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>Organizational</w:t>
      </w:r>
      <w:r w:rsidR="004140F9" w:rsidRPr="004140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40F9">
        <w:rPr>
          <w:rFonts w:ascii="Times New Roman" w:hAnsi="Times New Roman" w:cs="Times New Roman"/>
          <w:sz w:val="24"/>
          <w:szCs w:val="24"/>
          <w:lang w:val="en-GB"/>
        </w:rPr>
        <w:t>and l</w:t>
      </w:r>
      <w:r w:rsidR="004140F9">
        <w:rPr>
          <w:rFonts w:ascii="Times New Roman" w:hAnsi="Times New Roman" w:cs="Times New Roman"/>
          <w:sz w:val="24"/>
          <w:szCs w:val="24"/>
          <w:lang w:val="en-GB"/>
        </w:rPr>
        <w:t xml:space="preserve">egal issues </w:t>
      </w:r>
      <w:r>
        <w:rPr>
          <w:rFonts w:ascii="Times New Roman" w:hAnsi="Times New Roman" w:cs="Times New Roman"/>
          <w:sz w:val="24"/>
          <w:szCs w:val="24"/>
          <w:lang w:val="en-GB"/>
        </w:rPr>
        <w:t>for the implementation of</w:t>
      </w:r>
      <w:r w:rsidRPr="00C05B9B">
        <w:rPr>
          <w:rFonts w:ascii="Times New Roman" w:hAnsi="Times New Roman" w:cs="Times New Roman"/>
          <w:sz w:val="24"/>
          <w:szCs w:val="24"/>
          <w:lang w:val="en-GB"/>
        </w:rPr>
        <w:t xml:space="preserve"> Single Window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solutions </w:t>
      </w:r>
    </w:p>
    <w:p w:rsidR="00185348" w:rsidRPr="00185348" w:rsidRDefault="00973DA7" w:rsidP="00973DA7">
      <w:pPr>
        <w:pStyle w:val="NoSpacing"/>
        <w:numPr>
          <w:ilvl w:val="0"/>
          <w:numId w:val="17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8534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Mario </w:t>
      </w:r>
      <w:proofErr w:type="spellStart"/>
      <w:r w:rsidRPr="0018534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Apostolov</w:t>
      </w:r>
      <w:proofErr w:type="spellEnd"/>
      <w:r w:rsidRPr="0018534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Regional Adviser</w:t>
      </w:r>
      <w:r w:rsidR="00DF11AB" w:rsidRPr="0018534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</w:t>
      </w:r>
      <w:r w:rsidRPr="0018534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UNECE Trade</w:t>
      </w:r>
      <w:r w:rsidRPr="001853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</w:t>
      </w:r>
      <w:r w:rsidRPr="00185348">
        <w:rPr>
          <w:rFonts w:ascii="Times New Roman" w:hAnsi="Times New Roman" w:cs="Times New Roman"/>
          <w:sz w:val="24"/>
          <w:szCs w:val="24"/>
          <w:lang w:val="en-US"/>
        </w:rPr>
        <w:t xml:space="preserve">Possible scenarios and planning of Single Window mechanisms in the </w:t>
      </w:r>
      <w:r w:rsidRPr="00185348">
        <w:rPr>
          <w:rFonts w:ascii="Times New Roman" w:hAnsi="Times New Roman" w:cs="Times New Roman"/>
          <w:sz w:val="24"/>
          <w:szCs w:val="24"/>
          <w:lang w:val="en-GB"/>
        </w:rPr>
        <w:t>Customs Union and Single Economic Area</w:t>
      </w:r>
    </w:p>
    <w:p w:rsidR="00C05B9B" w:rsidRPr="009708AA" w:rsidRDefault="00973DA7" w:rsidP="00185348">
      <w:pPr>
        <w:pStyle w:val="NoSpacing"/>
        <w:spacing w:before="1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85348">
        <w:rPr>
          <w:rFonts w:ascii="Times New Roman" w:hAnsi="Times New Roman" w:cs="Times New Roman"/>
          <w:sz w:val="24"/>
          <w:szCs w:val="24"/>
          <w:lang w:val="en-US"/>
        </w:rPr>
        <w:t xml:space="preserve">Discussion </w:t>
      </w:r>
    </w:p>
    <w:p w:rsidR="00510606" w:rsidRPr="00EA1846" w:rsidRDefault="00510606" w:rsidP="00510606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510606" w:rsidRPr="00EA1846" w:rsidSect="004528C3">
          <w:headerReference w:type="even" r:id="rId11"/>
          <w:footerReference w:type="first" r:id="rId12"/>
          <w:pgSz w:w="11906" w:h="16838"/>
          <w:pgMar w:top="993" w:right="1274" w:bottom="851" w:left="1701" w:header="568" w:footer="708" w:gutter="0"/>
          <w:cols w:space="708"/>
          <w:titlePg/>
          <w:docGrid w:linePitch="360"/>
        </w:sectPr>
      </w:pPr>
    </w:p>
    <w:p w:rsidR="00185348" w:rsidRDefault="005D6498" w:rsidP="00185348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  <w:r w:rsidRPr="003E2D46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99344A" w:rsidRPr="003E2D4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E2D4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59BE" w:rsidRPr="003E2D46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35586D" w:rsidRPr="003E2D46">
        <w:rPr>
          <w:rFonts w:ascii="Times New Roman" w:hAnsi="Times New Roman" w:cs="Times New Roman"/>
          <w:sz w:val="24"/>
          <w:szCs w:val="24"/>
          <w:lang w:val="en-US"/>
        </w:rPr>
        <w:t>– 1</w:t>
      </w:r>
      <w:r w:rsidR="00973DA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5586D" w:rsidRPr="003E2D4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5348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35586D" w:rsidRPr="003E2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348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3</w:t>
      </w:r>
      <w:r w:rsidR="00185348" w:rsidRPr="00AD061D">
        <w:rPr>
          <w:rFonts w:ascii="Times New Roman" w:hAnsi="Times New Roman" w:cs="Times New Roman"/>
          <w:b/>
          <w:sz w:val="24"/>
          <w:szCs w:val="24"/>
          <w:lang w:val="en-US"/>
        </w:rPr>
        <w:t>: Enabling legal environment for the development of</w:t>
      </w:r>
      <w:r w:rsidR="001853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185348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Single Window in the Member States </w:t>
      </w:r>
      <w:r w:rsidR="00185348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of</w:t>
      </w:r>
      <w:r w:rsidR="00185348" w:rsidRPr="00AD06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the Customs Union</w:t>
      </w:r>
      <w:r w:rsidR="001853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Single Economic Space and</w:t>
      </w:r>
      <w:r w:rsidR="00185348" w:rsidRPr="00AD06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best practice</w:t>
      </w:r>
      <w:r w:rsidR="001853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methods.</w:t>
      </w:r>
    </w:p>
    <w:p w:rsidR="00185348" w:rsidRPr="003E2D46" w:rsidRDefault="00185348" w:rsidP="00185348">
      <w:pPr>
        <w:pStyle w:val="NoSpacing"/>
        <w:spacing w:before="120" w:after="120"/>
        <w:ind w:left="1276" w:hanging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GB"/>
        </w:rPr>
        <w:t>Moderator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DF11A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Dmitry </w:t>
      </w:r>
      <w:proofErr w:type="spellStart"/>
      <w:r w:rsidRPr="00DF11A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Nekrasov</w:t>
      </w:r>
      <w:proofErr w:type="spellEnd"/>
      <w:r w:rsidRP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Director, Customs law and practice of t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he Eurasian Economic Commission</w:t>
      </w:r>
    </w:p>
    <w:tbl>
      <w:tblPr>
        <w:tblStyle w:val="TableGrid"/>
        <w:tblW w:w="9375" w:type="dxa"/>
        <w:tblInd w:w="108" w:type="dxa"/>
        <w:tblLook w:val="04A0" w:firstRow="1" w:lastRow="0" w:firstColumn="1" w:lastColumn="0" w:noHBand="0" w:noVBand="1"/>
      </w:tblPr>
      <w:tblGrid>
        <w:gridCol w:w="9375"/>
      </w:tblGrid>
      <w:tr w:rsidR="00185348" w:rsidRPr="004140F9" w:rsidTr="00185348">
        <w:tc>
          <w:tcPr>
            <w:tcW w:w="9375" w:type="dxa"/>
          </w:tcPr>
          <w:p w:rsidR="00185348" w:rsidRPr="00F3240A" w:rsidRDefault="00185348" w:rsidP="00185348">
            <w:pPr>
              <w:pStyle w:val="NoSpacing"/>
              <w:tabs>
                <w:tab w:val="left" w:pos="8964"/>
              </w:tabs>
              <w:spacing w:before="120" w:after="12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24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Objective: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etermine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directions in developing</w:t>
            </w:r>
            <w:r w:rsidRPr="00311D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frameworks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the </w:t>
            </w:r>
            <w:r w:rsidRPr="00410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national levels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the Single Window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Member States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6358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the </w:t>
            </w:r>
            <w:r w:rsidRPr="00F324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 &amp; SES.</w:t>
            </w:r>
          </w:p>
          <w:p w:rsidR="00185348" w:rsidRPr="00CC244F" w:rsidRDefault="00185348" w:rsidP="00185348">
            <w:pPr>
              <w:tabs>
                <w:tab w:val="left" w:pos="8964"/>
              </w:tabs>
              <w:spacing w:before="120" w:after="12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to be reviewed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85348" w:rsidRPr="002A4D96" w:rsidRDefault="00185348" w:rsidP="00185348">
            <w:pPr>
              <w:pStyle w:val="ListParagraph"/>
              <w:numPr>
                <w:ilvl w:val="0"/>
                <w:numId w:val="18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International recommendations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 practice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developing an enabling legal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framework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regulating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implementation of a Single Window (in various areas of law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185348" w:rsidRPr="002A4D96" w:rsidRDefault="00185348" w:rsidP="00185348">
            <w:pPr>
              <w:pStyle w:val="ListParagraph"/>
              <w:numPr>
                <w:ilvl w:val="0"/>
                <w:numId w:val="18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xperience of the Member </w:t>
            </w:r>
            <w:r w:rsidRPr="00EF05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States of </w:t>
            </w:r>
            <w:r w:rsidRPr="00EF05F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the </w:t>
            </w:r>
            <w:r w:rsidRPr="00F324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 &amp;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including the Single W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indow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concept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 legal norms on various levels of legal acts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(concept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 laws, by-laws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185348" w:rsidRPr="002A4D96" w:rsidRDefault="00185348" w:rsidP="00185348">
            <w:pPr>
              <w:pStyle w:val="ListParagraph"/>
              <w:numPr>
                <w:ilvl w:val="0"/>
                <w:numId w:val="18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Challenges to the creation of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legal framework for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 of the Single Window on a supranational level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as well as in the Member States </w:t>
            </w:r>
            <w:r w:rsidRPr="00EF05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F05F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the </w:t>
            </w:r>
            <w:r w:rsidRPr="00F324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 &amp;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85348" w:rsidRDefault="00185348" w:rsidP="00185348">
            <w:pPr>
              <w:pStyle w:val="ListParagraph"/>
              <w:numPr>
                <w:ilvl w:val="0"/>
                <w:numId w:val="18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egal val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idity of electronic documents in intergovernmental information exchanges</w:t>
            </w:r>
          </w:p>
          <w:p w:rsidR="00185348" w:rsidRPr="00CC244F" w:rsidRDefault="00185348" w:rsidP="00185348">
            <w:pPr>
              <w:tabs>
                <w:tab w:val="left" w:pos="8964"/>
              </w:tabs>
              <w:spacing w:before="120" w:after="12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940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session will include definitions of</w:t>
            </w:r>
            <w:r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85348" w:rsidRPr="002A4D96" w:rsidRDefault="00185348" w:rsidP="00185348">
            <w:pPr>
              <w:pStyle w:val="ListParagraph"/>
              <w:numPr>
                <w:ilvl w:val="0"/>
                <w:numId w:val="19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Key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regulatory documents promoting the development of the Single Window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(concepts, laws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etc.)</w:t>
            </w:r>
          </w:p>
          <w:p w:rsidR="00185348" w:rsidRPr="00940EBB" w:rsidRDefault="00185348" w:rsidP="00185348">
            <w:pPr>
              <w:pStyle w:val="ListParagraph"/>
              <w:numPr>
                <w:ilvl w:val="0"/>
                <w:numId w:val="19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Areas of l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egislation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that regulate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implementation of the Single Window, directions of improving the legal norms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these areas;</w:t>
            </w:r>
          </w:p>
          <w:p w:rsidR="00185348" w:rsidRPr="002A4D96" w:rsidRDefault="00185348" w:rsidP="00185348">
            <w:pPr>
              <w:pStyle w:val="ListParagraph"/>
              <w:numPr>
                <w:ilvl w:val="0"/>
                <w:numId w:val="19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Providing for security of information and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recognition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the validity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electronic documents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business to government (B2G)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interaction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85348" w:rsidRPr="00006EE5" w:rsidRDefault="00185348" w:rsidP="00185348">
            <w:pPr>
              <w:pStyle w:val="ListParagraph"/>
              <w:numPr>
                <w:ilvl w:val="0"/>
                <w:numId w:val="19"/>
              </w:numPr>
              <w:tabs>
                <w:tab w:val="left" w:pos="8964"/>
              </w:tabs>
              <w:spacing w:before="120" w:after="120"/>
              <w:ind w:left="318" w:right="195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ecognition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the validity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A4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electronic documents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interagency and international information</w:t>
            </w:r>
            <w:r w:rsidRPr="00CC2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exchange, impediments and possible solutions</w:t>
            </w:r>
            <w:r w:rsidRPr="00CC2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185348" w:rsidRPr="00185348" w:rsidRDefault="00185348" w:rsidP="00185348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DB14FE">
        <w:rPr>
          <w:rFonts w:ascii="Times New Roman" w:hAnsi="Times New Roman" w:cs="Times New Roman"/>
          <w:sz w:val="24"/>
          <w:szCs w:val="24"/>
          <w:u w:val="single"/>
          <w:lang w:val="en-US"/>
        </w:rPr>
        <w:t>Speakers</w:t>
      </w:r>
      <w:r w:rsidRPr="0018534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21ACA" w:rsidRPr="00921ACA" w:rsidRDefault="00921ACA" w:rsidP="00185348">
      <w:pPr>
        <w:pStyle w:val="NoSpacing"/>
        <w:numPr>
          <w:ilvl w:val="0"/>
          <w:numId w:val="17"/>
        </w:numPr>
        <w:spacing w:before="120"/>
        <w:ind w:left="357" w:hanging="357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</w:pPr>
      <w:r w:rsidRPr="00B54F9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Angela </w:t>
      </w:r>
      <w:proofErr w:type="spellStart"/>
      <w:r w:rsidRPr="00B54F9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Ospino</w:t>
      </w:r>
      <w:proofErr w:type="spellEnd"/>
      <w:r w:rsidRPr="00921A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, </w:t>
      </w:r>
      <w:r w:rsidRPr="00921ACA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Deputy Director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</w:t>
      </w:r>
      <w:r w:rsidRPr="00921ACA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Ministry of Commerce, Industry and Tourism of Colombia:</w:t>
      </w:r>
      <w:r w:rsidRPr="00921A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 </w:t>
      </w:r>
      <w:r w:rsidRPr="00921ACA">
        <w:rPr>
          <w:rFonts w:ascii="Times New Roman" w:hAnsi="Times New Roman" w:cs="Times New Roman"/>
          <w:sz w:val="24"/>
          <w:szCs w:val="24"/>
          <w:lang w:val="en-US"/>
        </w:rPr>
        <w:t>Experience of the implementation of the Single Window in Colombia and prospects for the interregional cooperation</w:t>
      </w:r>
    </w:p>
    <w:p w:rsidR="00973DA7" w:rsidRDefault="00185348" w:rsidP="00973DA7">
      <w:pPr>
        <w:pStyle w:val="NoSpacing"/>
        <w:numPr>
          <w:ilvl w:val="0"/>
          <w:numId w:val="17"/>
        </w:numPr>
        <w:spacing w:before="12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7AA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Samuel Yoon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General Manager, </w:t>
      </w:r>
      <w:r w:rsidR="006F7A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Korea Customs UNI-PASS &amp; SW Agency “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KCingle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-CUPIA</w:t>
      </w:r>
      <w:r w:rsidR="006F7A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”. </w:t>
      </w:r>
      <w:r w:rsidR="006F7AA1" w:rsidRPr="006F7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Experience of creati</w:t>
      </w:r>
      <w:r w:rsidR="006F7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="006F7AA1" w:rsidRPr="006F7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development of </w:t>
      </w:r>
      <w:r w:rsidR="006F7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6F7AA1" w:rsidRPr="006F7A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Single Window in Republic of Korea</w:t>
      </w:r>
    </w:p>
    <w:p w:rsidR="006F7AA1" w:rsidRPr="006F7AA1" w:rsidRDefault="006F7AA1" w:rsidP="00973DA7">
      <w:pPr>
        <w:pStyle w:val="NoSpacing"/>
        <w:numPr>
          <w:ilvl w:val="0"/>
          <w:numId w:val="17"/>
        </w:numPr>
        <w:spacing w:before="120"/>
        <w:ind w:left="357" w:hanging="357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6F7AA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Tynchtykbek</w:t>
      </w:r>
      <w:proofErr w:type="spellEnd"/>
      <w:r w:rsidRPr="006F7AA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6F7AA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Kudabaev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6F7A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General Director of “Centre Single Window in the trade”, Kyrgyzstan: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Experience of creation and development of a Single Window in Ky</w:t>
      </w:r>
      <w:r w:rsidR="00D134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rgyzstan </w:t>
      </w:r>
    </w:p>
    <w:p w:rsidR="00AB4347" w:rsidRPr="004140F9" w:rsidRDefault="00AB4347" w:rsidP="00803057">
      <w:pPr>
        <w:pStyle w:val="NoSpacing"/>
        <w:spacing w:before="120"/>
        <w:ind w:left="357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973DA7" w:rsidRDefault="00AB4347" w:rsidP="00F67F8A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E2D4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4FD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3E2D46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E2D4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4FD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 </w:t>
      </w:r>
    </w:p>
    <w:p w:rsidR="00AB4347" w:rsidRDefault="00AB4347" w:rsidP="00F67F8A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644BFE" w:rsidRPr="005E510D" w:rsidRDefault="005E510D" w:rsidP="00F67F8A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Lauri</w:t>
      </w:r>
      <w:proofErr w:type="spellEnd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Railas</w:t>
      </w:r>
      <w:proofErr w:type="spellEnd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,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LL.D., Attorney-at-Law</w:t>
      </w:r>
      <w:r w:rsidR="00644BFE"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member of the UNCEFACT Legal Working Group</w:t>
      </w:r>
      <w:r w:rsidRPr="00C05B9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Experience of a European country in building the legal environment for a Single Window</w:t>
      </w:r>
    </w:p>
    <w:p w:rsidR="00F00B15" w:rsidRDefault="00F00B15" w:rsidP="006321DF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05B9B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GB" w:eastAsia="en-GB"/>
        </w:rPr>
        <w:t>Dr.</w:t>
      </w:r>
      <w:proofErr w:type="spellEnd"/>
      <w:r w:rsidRPr="00C05B9B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GB" w:eastAsia="en-GB"/>
        </w:rPr>
        <w:t xml:space="preserve"> Hong </w:t>
      </w:r>
      <w:proofErr w:type="spellStart"/>
      <w:r w:rsidRPr="00C05B9B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GB" w:eastAsia="en-GB"/>
        </w:rPr>
        <w:t>Xue</w:t>
      </w:r>
      <w:proofErr w:type="spellEnd"/>
      <w:r w:rsidRPr="00C05B9B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>, Director of Beijing Normal University Institute for Internet Policy &amp; Law (IIPL) , Co-Director of UNCITRAL-BNU Joint Certificate Program on International E-Commerce Law</w:t>
      </w:r>
      <w:r w:rsidR="00F67F8A" w:rsidRPr="00C05B9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 w:eastAsia="en-GB"/>
        </w:rPr>
        <w:t>:</w:t>
      </w:r>
      <w:r w:rsidR="006321D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 w:eastAsia="en-GB"/>
        </w:rPr>
        <w:t xml:space="preserve"> </w:t>
      </w:r>
      <w:r w:rsidR="006321DF" w:rsidRPr="006321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Legal Guide for </w:t>
      </w:r>
      <w:r w:rsidR="00FA39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establishing </w:t>
      </w:r>
      <w:r w:rsidR="006321DF">
        <w:rPr>
          <w:rFonts w:ascii="Times New Roman" w:hAnsi="Times New Roman" w:cs="Times New Roman"/>
          <w:sz w:val="24"/>
          <w:szCs w:val="24"/>
          <w:lang w:val="en-GB"/>
        </w:rPr>
        <w:t>a Single Window:</w:t>
      </w:r>
      <w:r w:rsidR="006321DF" w:rsidRPr="006321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legal barriers and possible solutions </w:t>
      </w:r>
      <w:r w:rsidR="006321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 d</w:t>
      </w:r>
      <w:r w:rsidR="004962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eveloping an enabling environment for a Single Window</w:t>
      </w:r>
      <w:r w:rsidR="006321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B6C49" w:rsidRPr="006116FC" w:rsidRDefault="004528C3" w:rsidP="004528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28C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Rakhim</w:t>
      </w:r>
      <w:proofErr w:type="spellEnd"/>
      <w:r w:rsidRPr="004528C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4528C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Oshakbaev</w:t>
      </w:r>
      <w:proofErr w:type="spellEnd"/>
      <w:r w:rsidRPr="004528C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,</w:t>
      </w:r>
      <w:r w:rsidRPr="004528C3">
        <w:rPr>
          <w:lang w:val="en-GB"/>
        </w:rPr>
        <w:t xml:space="preserve"> </w:t>
      </w:r>
      <w:r w:rsidRPr="004528C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>Member of the Board, Deputy Chairman of the National Chamber of Entrepreneurs of Kazakhstan</w:t>
      </w:r>
      <w:r w:rsidR="006B6C49" w:rsidRPr="00803057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>.</w:t>
      </w:r>
      <w:r w:rsidR="006B6C49">
        <w:rPr>
          <w:rFonts w:ascii="Arial" w:hAnsi="Arial" w:cs="Arial"/>
          <w:color w:val="222222"/>
          <w:lang w:val="en"/>
        </w:rPr>
        <w:t xml:space="preserve"> 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>The role and importance of the National Chamber of Entrepreneurs of Kazakhstan in implement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of the 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>Single Windo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 xml:space="preserve"> formation of its </w:t>
      </w:r>
      <w:r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 xml:space="preserve"> and legal framework</w:t>
      </w:r>
    </w:p>
    <w:p w:rsidR="004528C3" w:rsidRPr="004528C3" w:rsidRDefault="004528C3" w:rsidP="004528C3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i/>
          <w:color w:val="008000"/>
          <w:sz w:val="24"/>
          <w:szCs w:val="24"/>
          <w:lang w:val="en-US"/>
        </w:rPr>
      </w:pPr>
      <w:proofErr w:type="spellStart"/>
      <w:r w:rsidRPr="004822D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lastRenderedPageBreak/>
        <w:t>Vilgelmina</w:t>
      </w:r>
      <w:proofErr w:type="spellEnd"/>
      <w:r w:rsidRPr="004822D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4822D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Shavshina</w:t>
      </w:r>
      <w:proofErr w:type="spellEnd"/>
      <w:proofErr w:type="gramStart"/>
      <w:r w:rsidR="004822DB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 xml:space="preserve">, </w:t>
      </w:r>
      <w:r w:rsidRPr="004528C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 xml:space="preserve"> DLA</w:t>
      </w:r>
      <w:proofErr w:type="gramEnd"/>
      <w:r w:rsidRPr="004528C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 xml:space="preserve"> Piper </w:t>
      </w:r>
      <w:proofErr w:type="spellStart"/>
      <w:r w:rsidRPr="004528C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>Rus</w:t>
      </w:r>
      <w:proofErr w:type="spellEnd"/>
      <w:r w:rsidRPr="004528C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en-GB" w:eastAsia="en-GB"/>
        </w:rPr>
        <w:t xml:space="preserve"> Limited, Counsellor, Head of foreign trade regulation. </w:t>
      </w:r>
      <w:r w:rsidRPr="004528C3">
        <w:rPr>
          <w:rFonts w:ascii="Times New Roman" w:hAnsi="Times New Roman" w:cs="Times New Roman"/>
          <w:sz w:val="24"/>
          <w:szCs w:val="24"/>
          <w:lang w:val="en-US"/>
        </w:rPr>
        <w:t xml:space="preserve">Comparative analysis of the provisions of the Institute of authorized economic operator in the European Union and the Customs Union within the </w:t>
      </w:r>
      <w:proofErr w:type="spellStart"/>
      <w:r w:rsidRPr="004528C3">
        <w:rPr>
          <w:rFonts w:ascii="Times New Roman" w:hAnsi="Times New Roman" w:cs="Times New Roman"/>
          <w:sz w:val="24"/>
          <w:szCs w:val="24"/>
          <w:lang w:val="en-US"/>
        </w:rPr>
        <w:t>EurAsEC</w:t>
      </w:r>
      <w:proofErr w:type="spellEnd"/>
      <w:r w:rsidRPr="00452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28C3" w:rsidRPr="00F67F8A" w:rsidRDefault="004528C3" w:rsidP="004528C3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i/>
          <w:color w:val="008000"/>
          <w:sz w:val="24"/>
          <w:szCs w:val="24"/>
          <w:lang w:val="en-US"/>
        </w:rPr>
      </w:pPr>
      <w:r w:rsidRPr="00D134FD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Alexei </w:t>
      </w:r>
      <w:proofErr w:type="spellStart"/>
      <w:r w:rsidRPr="00D134FD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Bondarenko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D134FD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Consultant, </w:t>
      </w:r>
      <w:proofErr w:type="gramStart"/>
      <w:r w:rsidRPr="00D134FD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Department of Customs</w:t>
      </w:r>
      <w:proofErr w:type="gramEnd"/>
      <w:r w:rsidRPr="00D134FD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legislation and legal practice,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Eurasian Economic Commission.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>evelo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pment of the legal basis 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>in the customs legislation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 Single W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 xml:space="preserve">indow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Member States of the C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D13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</w:t>
      </w:r>
    </w:p>
    <w:p w:rsidR="00E335C7" w:rsidRDefault="00E335C7" w:rsidP="00F67F8A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335C7" w:rsidRDefault="000333F8" w:rsidP="00F67F8A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335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67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05B9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12C1B" w:rsidRPr="00E335C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D6701">
        <w:rPr>
          <w:rFonts w:ascii="Times New Roman" w:hAnsi="Times New Roman" w:cs="Times New Roman"/>
          <w:sz w:val="24"/>
          <w:szCs w:val="24"/>
          <w:lang w:val="en-US"/>
        </w:rPr>
        <w:t xml:space="preserve"> – 14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05B9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670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0062C" w:rsidRPr="00E335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6701">
        <w:rPr>
          <w:rFonts w:ascii="Times New Roman" w:hAnsi="Times New Roman" w:cs="Times New Roman"/>
          <w:i/>
          <w:sz w:val="24"/>
          <w:szCs w:val="24"/>
          <w:lang w:val="en-GB"/>
        </w:rPr>
        <w:t>Lunch break</w:t>
      </w:r>
    </w:p>
    <w:p w:rsidR="00FF7784" w:rsidRPr="00C05B9B" w:rsidRDefault="00FF7784" w:rsidP="00F67F8A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05B9B" w:rsidRPr="00921ACA" w:rsidRDefault="00C05B9B" w:rsidP="00921ACA">
      <w:pPr>
        <w:pStyle w:val="NoSpacing"/>
        <w:ind w:left="2410" w:hanging="241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7D85">
        <w:rPr>
          <w:rFonts w:ascii="Times New Roman" w:hAnsi="Times New Roman" w:cs="Times New Roman"/>
          <w:sz w:val="24"/>
          <w:szCs w:val="24"/>
          <w:lang w:val="en-GB"/>
        </w:rPr>
        <w:t>14:30 – 1</w:t>
      </w:r>
      <w:r w:rsidR="00D134FD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F37D8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134F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37D8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3</w:t>
      </w:r>
      <w:r w:rsidRPr="00AD061D">
        <w:rPr>
          <w:rFonts w:ascii="Times New Roman" w:hAnsi="Times New Roman" w:cs="Times New Roman"/>
          <w:b/>
          <w:sz w:val="24"/>
          <w:szCs w:val="24"/>
          <w:lang w:val="en-US"/>
        </w:rPr>
        <w:t>: Enabling legal environment for the development of Single Window</w:t>
      </w:r>
      <w:r w:rsidR="00F37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7D85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Member States </w:t>
      </w:r>
      <w:r w:rsidR="00F37D85" w:rsidRPr="00AD06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of</w:t>
      </w:r>
      <w:r w:rsidR="00F37D85" w:rsidRPr="00AD06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the</w:t>
      </w:r>
      <w:r w:rsidR="00F37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&amp; 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5B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(Continuation) </w:t>
      </w:r>
    </w:p>
    <w:p w:rsidR="00FD6701" w:rsidRDefault="00FD6701" w:rsidP="00F67F8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67F8A">
        <w:rPr>
          <w:rFonts w:ascii="Times New Roman" w:hAnsi="Times New Roman" w:cs="Times New Roman"/>
          <w:sz w:val="24"/>
          <w:szCs w:val="24"/>
          <w:u w:val="single"/>
          <w:lang w:val="en-GB"/>
        </w:rPr>
        <w:t>Speakers</w:t>
      </w:r>
      <w:r w:rsidRPr="00FD67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05B9B" w:rsidRDefault="00C05B9B" w:rsidP="00C05B9B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Luca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Castellani</w:t>
      </w:r>
      <w:proofErr w:type="spellEnd"/>
      <w:r w:rsidRPr="00C05B9B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>,</w:t>
      </w:r>
      <w:r w:rsidRPr="00C05B9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Legal Officer, UNCITRAL Secretariat</w:t>
      </w:r>
      <w:r w:rsidRPr="00C05B9B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3FEE">
        <w:rPr>
          <w:rFonts w:ascii="Times New Roman" w:hAnsi="Times New Roman" w:cs="Times New Roman"/>
          <w:sz w:val="24"/>
          <w:szCs w:val="24"/>
          <w:lang w:val="en-US"/>
        </w:rPr>
        <w:t>International instruments</w:t>
      </w:r>
      <w:r w:rsidR="00FA39F9">
        <w:rPr>
          <w:rFonts w:ascii="Times New Roman" w:hAnsi="Times New Roman" w:cs="Times New Roman"/>
          <w:sz w:val="24"/>
          <w:szCs w:val="24"/>
          <w:lang w:val="en-US"/>
        </w:rPr>
        <w:t xml:space="preserve"> that can be used</w:t>
      </w:r>
      <w:r w:rsidRPr="00973FEE">
        <w:rPr>
          <w:rFonts w:ascii="Times New Roman" w:hAnsi="Times New Roman" w:cs="Times New Roman"/>
          <w:sz w:val="24"/>
          <w:szCs w:val="24"/>
          <w:lang w:val="en-US"/>
        </w:rPr>
        <w:t xml:space="preserve"> to create an enabling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Pr="00973FEE">
        <w:rPr>
          <w:rFonts w:ascii="Times New Roman" w:hAnsi="Times New Roman" w:cs="Times New Roman"/>
          <w:sz w:val="24"/>
          <w:szCs w:val="24"/>
          <w:lang w:val="en-US"/>
        </w:rPr>
        <w:t>environment for trade facilitation and the Single Window</w:t>
      </w:r>
      <w:r w:rsidR="00097E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28C3" w:rsidRPr="004528C3" w:rsidRDefault="006B6C49" w:rsidP="00803057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Anatoly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Martynov</w:t>
      </w:r>
      <w:proofErr w:type="spellEnd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Expert:</w:t>
      </w:r>
      <w:r w:rsidRPr="00C05B9B">
        <w:rPr>
          <w:lang w:val="en-GB"/>
        </w:rPr>
        <w:t xml:space="preserve"> </w:t>
      </w:r>
      <w:r w:rsidRPr="00C05B9B">
        <w:rPr>
          <w:rFonts w:ascii="Times New Roman" w:hAnsi="Times New Roman" w:cs="Times New Roman"/>
          <w:sz w:val="24"/>
          <w:szCs w:val="24"/>
          <w:lang w:val="en-US"/>
        </w:rPr>
        <w:t xml:space="preserve">Recent legal issues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impeding the implementation of a </w:t>
      </w:r>
      <w:r w:rsidRPr="00C05B9B">
        <w:rPr>
          <w:rFonts w:ascii="Times New Roman" w:hAnsi="Times New Roman" w:cs="Times New Roman"/>
          <w:sz w:val="24"/>
          <w:szCs w:val="24"/>
          <w:lang w:val="en-US"/>
        </w:rPr>
        <w:t>Single Window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</w:t>
      </w:r>
      <w:r w:rsidRPr="00C05B9B">
        <w:rPr>
          <w:rFonts w:ascii="Times New Roman" w:hAnsi="Times New Roman" w:cs="Times New Roman"/>
          <w:sz w:val="24"/>
          <w:szCs w:val="24"/>
          <w:lang w:val="en-US"/>
        </w:rPr>
        <w:t xml:space="preserve"> in Russia</w:t>
      </w:r>
      <w:r>
        <w:rPr>
          <w:rFonts w:ascii="Times New Roman" w:hAnsi="Times New Roman" w:cs="Times New Roman"/>
          <w:sz w:val="24"/>
          <w:szCs w:val="24"/>
          <w:lang w:val="en-US"/>
        </w:rPr>
        <w:t>, which need to be addressed.</w:t>
      </w:r>
      <w:r w:rsidR="004528C3" w:rsidRPr="004528C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</w:p>
    <w:p w:rsidR="00C43BCF" w:rsidRPr="004822DB" w:rsidRDefault="004528C3" w:rsidP="004822DB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A.N.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Khotko</w:t>
      </w:r>
      <w:proofErr w:type="spellEnd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,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Director, </w:t>
      </w:r>
      <w:proofErr w:type="gramStart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Information</w:t>
      </w:r>
      <w:proofErr w:type="gramEnd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Technology Department of the Eurasian Economic Commission:</w:t>
      </w:r>
      <w:r w:rsidRPr="00C05B9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5B9B">
        <w:rPr>
          <w:rFonts w:ascii="Times New Roman" w:hAnsi="Times New Roman" w:cs="Times New Roman"/>
          <w:sz w:val="24"/>
          <w:szCs w:val="24"/>
          <w:lang w:val="en-US"/>
        </w:rPr>
        <w:t>egal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2DB">
        <w:rPr>
          <w:rFonts w:ascii="Times New Roman" w:hAnsi="Times New Roman" w:cs="Times New Roman"/>
          <w:sz w:val="24"/>
          <w:szCs w:val="24"/>
          <w:lang w:val="en-US"/>
        </w:rPr>
        <w:t xml:space="preserve">issues of information 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>security during information exchange between</w:t>
      </w:r>
      <w:r w:rsidRPr="004822DB">
        <w:rPr>
          <w:rFonts w:ascii="Times New Roman" w:hAnsi="Times New Roman" w:cs="Times New Roman"/>
          <w:sz w:val="24"/>
          <w:szCs w:val="24"/>
          <w:lang w:val="en-US"/>
        </w:rPr>
        <w:t xml:space="preserve"> Governmental authorities or agencies and data protection legislation.</w:t>
      </w:r>
    </w:p>
    <w:p w:rsidR="00FD6701" w:rsidRDefault="00FD6701" w:rsidP="00F67F8A">
      <w:pPr>
        <w:pStyle w:val="NoSpacing"/>
        <w:ind w:left="4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6701" w:rsidRDefault="00FD6701" w:rsidP="00F67F8A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63A4">
        <w:rPr>
          <w:rFonts w:ascii="Times New Roman" w:hAnsi="Times New Roman" w:cs="Times New Roman"/>
          <w:i/>
          <w:sz w:val="24"/>
          <w:szCs w:val="24"/>
          <w:lang w:val="en-US"/>
        </w:rPr>
        <w:t>Final discussion - list of problematic issues</w:t>
      </w:r>
    </w:p>
    <w:p w:rsidR="00C05B9B" w:rsidRDefault="00C05B9B" w:rsidP="00F67F8A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5B9B" w:rsidRPr="000963A4" w:rsidRDefault="00C05B9B" w:rsidP="00F67F8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C49C9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C49C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 – 1</w:t>
      </w:r>
      <w:r w:rsidR="00CC49C9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C49C9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 coffee break</w:t>
      </w:r>
    </w:p>
    <w:p w:rsidR="000333F8" w:rsidRPr="00E335C7" w:rsidRDefault="000333F8" w:rsidP="004413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3A4" w:rsidRDefault="001937E8" w:rsidP="00F67F8A">
      <w:pPr>
        <w:pStyle w:val="NoSpacing"/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5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822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0963A4" w:rsidRPr="00E335C7">
        <w:rPr>
          <w:rFonts w:ascii="Times New Roman" w:hAnsi="Times New Roman" w:cs="Times New Roman"/>
          <w:b/>
          <w:sz w:val="24"/>
          <w:szCs w:val="24"/>
          <w:lang w:val="en-US"/>
        </w:rPr>
        <w:t>Closing Session and recommendations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963A4" w:rsidRPr="004140F9" w:rsidTr="000963A4">
        <w:trPr>
          <w:trHeight w:val="9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4" w:rsidRPr="000963A4" w:rsidRDefault="00043816" w:rsidP="00F439A6">
            <w:pPr>
              <w:spacing w:before="120" w:after="120"/>
              <w:ind w:left="34" w:right="18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a result of the Conference, the 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="00C9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 will </w:t>
            </w:r>
            <w:r w:rsidR="00F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="00FA39F9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1CF" w:rsidRPr="005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concrete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recommendations for the preparatory phase of</w:t>
            </w:r>
            <w:r w:rsidR="005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establishment and development of the </w:t>
            </w:r>
            <w:r w:rsidR="00307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Window</w:t>
            </w:r>
            <w:r w:rsidR="00F43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include organizational arrangements, 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well as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 an enabling </w:t>
            </w:r>
            <w:r w:rsidR="002F2436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 for the </w:t>
            </w:r>
            <w:r w:rsidR="002F2436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Window </w:t>
            </w:r>
            <w:r w:rsidR="002F2436" w:rsidRPr="00CC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Member States </w:t>
            </w:r>
            <w:r w:rsidR="002F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F2436" w:rsidRPr="006358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the </w:t>
            </w:r>
            <w:r w:rsidR="0050790B" w:rsidRPr="00507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 &amp; SE</w:t>
            </w:r>
            <w:r w:rsidR="007D50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These</w:t>
            </w:r>
            <w:r w:rsidR="002F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recommendations will be used </w:t>
            </w:r>
            <w:r w:rsidR="00E07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working group on the implemen</w:t>
            </w:r>
            <w:r w:rsidR="00E07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tation of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Guidelines for the development of a </w:t>
            </w:r>
            <w:r w:rsidR="00E071DB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Window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="00E071DB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regulation of foreign trade</w:t>
            </w:r>
            <w:r w:rsidR="00F43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will be available to all stakeholders</w:t>
            </w:r>
            <w:r w:rsidR="00E07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EEC Council will establish such a working group, which will develop a 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action plan for </w:t>
            </w:r>
            <w:r w:rsidR="005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</w:t>
            </w:r>
            <w:r w:rsidR="00FA39F9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63A4" w:rsidRPr="0009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Guidelines</w:t>
            </w:r>
            <w:r w:rsidR="0033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963A4" w:rsidRPr="000963A4" w:rsidRDefault="000963A4" w:rsidP="0044137E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3A4" w:rsidRPr="000963A4" w:rsidSect="00B234E6">
      <w:headerReference w:type="default" r:id="rId13"/>
      <w:headerReference w:type="first" r:id="rId14"/>
      <w:footerReference w:type="first" r:id="rId15"/>
      <w:pgSz w:w="11906" w:h="16838"/>
      <w:pgMar w:top="1140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C3" w:rsidRDefault="004528C3" w:rsidP="0099344A">
      <w:pPr>
        <w:spacing w:after="0" w:line="240" w:lineRule="auto"/>
      </w:pPr>
      <w:r>
        <w:separator/>
      </w:r>
    </w:p>
  </w:endnote>
  <w:endnote w:type="continuationSeparator" w:id="0">
    <w:p w:rsidR="004528C3" w:rsidRDefault="004528C3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3" w:rsidRDefault="004528C3">
    <w:pPr>
      <w:pStyle w:val="Footer"/>
    </w:pPr>
    <w:r>
      <w:fldChar w:fldCharType="begin"/>
    </w:r>
    <w:r>
      <w:rPr>
        <w:lang w:val="fr-CH"/>
      </w:rPr>
      <w:instrText xml:space="preserve"> TIME \@ "dd.MM.yyyy" </w:instrText>
    </w:r>
    <w:r>
      <w:fldChar w:fldCharType="separate"/>
    </w:r>
    <w:r w:rsidR="004140F9">
      <w:rPr>
        <w:noProof/>
        <w:lang w:val="fr-CH"/>
      </w:rPr>
      <w:t>23.04.2014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3" w:rsidRDefault="0045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C3" w:rsidRDefault="004528C3" w:rsidP="0099344A">
      <w:pPr>
        <w:spacing w:after="0" w:line="240" w:lineRule="auto"/>
      </w:pPr>
      <w:r>
        <w:separator/>
      </w:r>
    </w:p>
  </w:footnote>
  <w:footnote w:type="continuationSeparator" w:id="0">
    <w:p w:rsidR="004528C3" w:rsidRDefault="004528C3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3" w:rsidRPr="00F37D85" w:rsidRDefault="004528C3" w:rsidP="00B54F96">
    <w:pPr>
      <w:pStyle w:val="Header"/>
      <w:jc w:val="both"/>
      <w:rPr>
        <w:color w:val="FF0000"/>
      </w:rPr>
    </w:pPr>
    <w:r w:rsidRPr="00F37D85">
      <w:rPr>
        <w:b/>
        <w:color w:val="FF0000"/>
        <w:sz w:val="28"/>
        <w:szCs w:val="28"/>
        <w:lang w:val="en-US"/>
      </w:rPr>
      <w:t>Day One</w:t>
    </w:r>
    <w:r w:rsidRPr="00F37D85">
      <w:rPr>
        <w:b/>
        <w:color w:val="FF0000"/>
        <w:sz w:val="28"/>
        <w:szCs w:val="28"/>
      </w:rPr>
      <w:t xml:space="preserve">: 24 </w:t>
    </w:r>
    <w:r w:rsidRPr="00F37D85">
      <w:rPr>
        <w:b/>
        <w:color w:val="FF0000"/>
        <w:sz w:val="28"/>
        <w:szCs w:val="28"/>
        <w:lang w:val="en-US"/>
      </w:rPr>
      <w:t>April</w:t>
    </w:r>
    <w:r w:rsidRPr="00F37D85">
      <w:rPr>
        <w:b/>
        <w:color w:val="FF0000"/>
        <w:sz w:val="28"/>
        <w:szCs w:val="28"/>
        <w:lang w:val="en-US"/>
      </w:rPr>
      <w:tab/>
    </w:r>
    <w:r w:rsidRPr="00F37D85">
      <w:rPr>
        <w:b/>
        <w:color w:val="FF0000"/>
        <w:sz w:val="28"/>
        <w:szCs w:val="28"/>
        <w:lang w:val="en-US"/>
      </w:rPr>
      <w:tab/>
      <w:t xml:space="preserve">  Hall “Ballroom”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3" w:rsidRPr="00F46AA6" w:rsidRDefault="004528C3" w:rsidP="00F46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3" w:rsidRPr="00F37D85" w:rsidRDefault="004528C3" w:rsidP="00A22554">
    <w:pPr>
      <w:pStyle w:val="Header"/>
      <w:rPr>
        <w:b/>
        <w:color w:val="FF0000"/>
        <w:sz w:val="28"/>
        <w:szCs w:val="28"/>
        <w:lang w:val="en-US"/>
      </w:rPr>
    </w:pPr>
    <w:r w:rsidRPr="00F37D85">
      <w:rPr>
        <w:b/>
        <w:color w:val="FF0000"/>
        <w:sz w:val="28"/>
        <w:szCs w:val="28"/>
        <w:lang w:val="en-US"/>
      </w:rPr>
      <w:t>Day Two</w:t>
    </w:r>
    <w:r w:rsidRPr="00F37D85">
      <w:rPr>
        <w:b/>
        <w:color w:val="FF0000"/>
        <w:sz w:val="28"/>
        <w:szCs w:val="28"/>
      </w:rPr>
      <w:t>: 25</w:t>
    </w:r>
    <w:r w:rsidRPr="00F37D85">
      <w:rPr>
        <w:b/>
        <w:color w:val="FF0000"/>
        <w:sz w:val="28"/>
        <w:szCs w:val="28"/>
        <w:lang w:val="en-US"/>
      </w:rPr>
      <w:t xml:space="preserve"> April</w:t>
    </w:r>
    <w:r w:rsidRPr="00F37D85">
      <w:rPr>
        <w:b/>
        <w:color w:val="FF0000"/>
        <w:sz w:val="28"/>
        <w:szCs w:val="28"/>
        <w:lang w:val="en-US"/>
      </w:rPr>
      <w:tab/>
    </w:r>
    <w:r w:rsidRPr="00F37D85">
      <w:rPr>
        <w:b/>
        <w:color w:val="FF0000"/>
        <w:sz w:val="28"/>
        <w:szCs w:val="28"/>
        <w:lang w:val="en-US"/>
      </w:rPr>
      <w:tab/>
      <w:t>Hall “</w:t>
    </w:r>
    <w:proofErr w:type="spellStart"/>
    <w:r w:rsidRPr="00F37D85">
      <w:rPr>
        <w:b/>
        <w:color w:val="FF0000"/>
        <w:sz w:val="28"/>
        <w:szCs w:val="28"/>
        <w:lang w:val="en-US"/>
      </w:rPr>
      <w:t>Ablai</w:t>
    </w:r>
    <w:proofErr w:type="spellEnd"/>
    <w:r w:rsidRPr="00F37D85">
      <w:rPr>
        <w:b/>
        <w:color w:val="FF0000"/>
        <w:sz w:val="28"/>
        <w:szCs w:val="28"/>
        <w:lang w:val="en-US"/>
      </w:rPr>
      <w:t xml:space="preserve"> Khan”</w:t>
    </w:r>
  </w:p>
  <w:p w:rsidR="004528C3" w:rsidRPr="00B54F96" w:rsidRDefault="004528C3" w:rsidP="00A22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1CA"/>
    <w:multiLevelType w:val="hybridMultilevel"/>
    <w:tmpl w:val="5046DFA2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0018"/>
    <w:multiLevelType w:val="hybridMultilevel"/>
    <w:tmpl w:val="A0405CC0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EE3"/>
    <w:multiLevelType w:val="hybridMultilevel"/>
    <w:tmpl w:val="42F06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FF47017"/>
    <w:multiLevelType w:val="hybridMultilevel"/>
    <w:tmpl w:val="EB4EA6E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2CC"/>
    <w:multiLevelType w:val="hybridMultilevel"/>
    <w:tmpl w:val="8D9E65D4"/>
    <w:lvl w:ilvl="0" w:tplc="EE70F594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6842"/>
    <w:multiLevelType w:val="hybridMultilevel"/>
    <w:tmpl w:val="07FA520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9096C39"/>
    <w:multiLevelType w:val="hybridMultilevel"/>
    <w:tmpl w:val="81541864"/>
    <w:lvl w:ilvl="0" w:tplc="C602C9C0">
      <w:start w:val="5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4182B"/>
    <w:multiLevelType w:val="hybridMultilevel"/>
    <w:tmpl w:val="C0CE5578"/>
    <w:lvl w:ilvl="0" w:tplc="DE2854E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642D84"/>
    <w:multiLevelType w:val="hybridMultilevel"/>
    <w:tmpl w:val="BDFCE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408E"/>
    <w:rsid w:val="00006EE5"/>
    <w:rsid w:val="00014900"/>
    <w:rsid w:val="000333F8"/>
    <w:rsid w:val="00041825"/>
    <w:rsid w:val="00043816"/>
    <w:rsid w:val="00050DEC"/>
    <w:rsid w:val="0005310E"/>
    <w:rsid w:val="00055BF7"/>
    <w:rsid w:val="00057EA6"/>
    <w:rsid w:val="00064177"/>
    <w:rsid w:val="00067DF2"/>
    <w:rsid w:val="0007007A"/>
    <w:rsid w:val="00070ECB"/>
    <w:rsid w:val="000722CF"/>
    <w:rsid w:val="000727FB"/>
    <w:rsid w:val="00076111"/>
    <w:rsid w:val="00080C75"/>
    <w:rsid w:val="00085E0A"/>
    <w:rsid w:val="0009402B"/>
    <w:rsid w:val="00094962"/>
    <w:rsid w:val="000963A4"/>
    <w:rsid w:val="00097ED0"/>
    <w:rsid w:val="000A61F4"/>
    <w:rsid w:val="000B5604"/>
    <w:rsid w:val="000C2A53"/>
    <w:rsid w:val="000C60E5"/>
    <w:rsid w:val="000C78F6"/>
    <w:rsid w:val="000E0C40"/>
    <w:rsid w:val="000E6809"/>
    <w:rsid w:val="000F01D0"/>
    <w:rsid w:val="00103321"/>
    <w:rsid w:val="0011300E"/>
    <w:rsid w:val="00114294"/>
    <w:rsid w:val="00121FA3"/>
    <w:rsid w:val="0013433D"/>
    <w:rsid w:val="00134EF7"/>
    <w:rsid w:val="001374E2"/>
    <w:rsid w:val="001401CD"/>
    <w:rsid w:val="001450DD"/>
    <w:rsid w:val="001716A5"/>
    <w:rsid w:val="00173D63"/>
    <w:rsid w:val="00174664"/>
    <w:rsid w:val="0018505E"/>
    <w:rsid w:val="00185348"/>
    <w:rsid w:val="001863D8"/>
    <w:rsid w:val="0019100E"/>
    <w:rsid w:val="001937E8"/>
    <w:rsid w:val="00193D5D"/>
    <w:rsid w:val="00196F6F"/>
    <w:rsid w:val="001A4A63"/>
    <w:rsid w:val="001B164C"/>
    <w:rsid w:val="001B320F"/>
    <w:rsid w:val="001B46EB"/>
    <w:rsid w:val="001B6783"/>
    <w:rsid w:val="001D09AA"/>
    <w:rsid w:val="001D2FFF"/>
    <w:rsid w:val="001E1ED9"/>
    <w:rsid w:val="001E2E70"/>
    <w:rsid w:val="001E4398"/>
    <w:rsid w:val="001E55F5"/>
    <w:rsid w:val="001F3888"/>
    <w:rsid w:val="002022C9"/>
    <w:rsid w:val="00204D2E"/>
    <w:rsid w:val="00210FCE"/>
    <w:rsid w:val="0021648C"/>
    <w:rsid w:val="00216630"/>
    <w:rsid w:val="00217E8C"/>
    <w:rsid w:val="00220B16"/>
    <w:rsid w:val="00226344"/>
    <w:rsid w:val="002336F5"/>
    <w:rsid w:val="00237EE9"/>
    <w:rsid w:val="002402CA"/>
    <w:rsid w:val="00244937"/>
    <w:rsid w:val="002559B6"/>
    <w:rsid w:val="002669DB"/>
    <w:rsid w:val="0027016B"/>
    <w:rsid w:val="0027554F"/>
    <w:rsid w:val="00275F82"/>
    <w:rsid w:val="00280158"/>
    <w:rsid w:val="002810D2"/>
    <w:rsid w:val="00293DD3"/>
    <w:rsid w:val="0029557D"/>
    <w:rsid w:val="002967ED"/>
    <w:rsid w:val="002A4D96"/>
    <w:rsid w:val="002B6331"/>
    <w:rsid w:val="002C49FB"/>
    <w:rsid w:val="002C4AB6"/>
    <w:rsid w:val="002C5E4D"/>
    <w:rsid w:val="002E4CAE"/>
    <w:rsid w:val="002E6617"/>
    <w:rsid w:val="002F2436"/>
    <w:rsid w:val="003068FE"/>
    <w:rsid w:val="00307D8D"/>
    <w:rsid w:val="00311DE0"/>
    <w:rsid w:val="0031401A"/>
    <w:rsid w:val="00327B16"/>
    <w:rsid w:val="0033001B"/>
    <w:rsid w:val="003422EE"/>
    <w:rsid w:val="0034484E"/>
    <w:rsid w:val="003521F2"/>
    <w:rsid w:val="00352F94"/>
    <w:rsid w:val="0035586D"/>
    <w:rsid w:val="00361C1D"/>
    <w:rsid w:val="00384246"/>
    <w:rsid w:val="00385A85"/>
    <w:rsid w:val="003862A2"/>
    <w:rsid w:val="00387851"/>
    <w:rsid w:val="00397C2E"/>
    <w:rsid w:val="003A512A"/>
    <w:rsid w:val="003A73EC"/>
    <w:rsid w:val="003B0140"/>
    <w:rsid w:val="003B1261"/>
    <w:rsid w:val="003B1689"/>
    <w:rsid w:val="003B3607"/>
    <w:rsid w:val="003B521B"/>
    <w:rsid w:val="003B6BE5"/>
    <w:rsid w:val="003E1C3F"/>
    <w:rsid w:val="003E2D46"/>
    <w:rsid w:val="003E5C88"/>
    <w:rsid w:val="003F7178"/>
    <w:rsid w:val="0040118C"/>
    <w:rsid w:val="0041037B"/>
    <w:rsid w:val="00412299"/>
    <w:rsid w:val="004140F9"/>
    <w:rsid w:val="00426AD3"/>
    <w:rsid w:val="00435BBF"/>
    <w:rsid w:val="0044043B"/>
    <w:rsid w:val="0044137E"/>
    <w:rsid w:val="00444CF6"/>
    <w:rsid w:val="004528C3"/>
    <w:rsid w:val="0045487A"/>
    <w:rsid w:val="00460CE4"/>
    <w:rsid w:val="00470941"/>
    <w:rsid w:val="00470B34"/>
    <w:rsid w:val="004723CC"/>
    <w:rsid w:val="00475203"/>
    <w:rsid w:val="004822DB"/>
    <w:rsid w:val="00486D0F"/>
    <w:rsid w:val="004962E9"/>
    <w:rsid w:val="004B3A62"/>
    <w:rsid w:val="004B5D22"/>
    <w:rsid w:val="004C2E07"/>
    <w:rsid w:val="004C79CF"/>
    <w:rsid w:val="004D53B0"/>
    <w:rsid w:val="004E2439"/>
    <w:rsid w:val="004E73DE"/>
    <w:rsid w:val="004F13AD"/>
    <w:rsid w:val="00500F7E"/>
    <w:rsid w:val="005069DD"/>
    <w:rsid w:val="0050790B"/>
    <w:rsid w:val="00510606"/>
    <w:rsid w:val="00517BAB"/>
    <w:rsid w:val="00520E4B"/>
    <w:rsid w:val="005217C2"/>
    <w:rsid w:val="00521E31"/>
    <w:rsid w:val="00526A46"/>
    <w:rsid w:val="005275C5"/>
    <w:rsid w:val="005434F2"/>
    <w:rsid w:val="00544155"/>
    <w:rsid w:val="00545CA9"/>
    <w:rsid w:val="00556B77"/>
    <w:rsid w:val="005611CF"/>
    <w:rsid w:val="00562025"/>
    <w:rsid w:val="00562A28"/>
    <w:rsid w:val="0057140D"/>
    <w:rsid w:val="00572ABB"/>
    <w:rsid w:val="00573757"/>
    <w:rsid w:val="00587AC0"/>
    <w:rsid w:val="0059189F"/>
    <w:rsid w:val="0059493D"/>
    <w:rsid w:val="00594A09"/>
    <w:rsid w:val="00595731"/>
    <w:rsid w:val="005A0D81"/>
    <w:rsid w:val="005A1447"/>
    <w:rsid w:val="005A3F6D"/>
    <w:rsid w:val="005A439E"/>
    <w:rsid w:val="005A5564"/>
    <w:rsid w:val="005B0DE3"/>
    <w:rsid w:val="005B1176"/>
    <w:rsid w:val="005C1909"/>
    <w:rsid w:val="005C28D2"/>
    <w:rsid w:val="005C5F55"/>
    <w:rsid w:val="005C69F5"/>
    <w:rsid w:val="005D6498"/>
    <w:rsid w:val="005E510D"/>
    <w:rsid w:val="005E69ED"/>
    <w:rsid w:val="005F1BFB"/>
    <w:rsid w:val="005F20F5"/>
    <w:rsid w:val="005F318D"/>
    <w:rsid w:val="005F3B04"/>
    <w:rsid w:val="006009A9"/>
    <w:rsid w:val="00600EE7"/>
    <w:rsid w:val="00611386"/>
    <w:rsid w:val="006116FC"/>
    <w:rsid w:val="00613D78"/>
    <w:rsid w:val="00615149"/>
    <w:rsid w:val="00625779"/>
    <w:rsid w:val="006304A3"/>
    <w:rsid w:val="00631849"/>
    <w:rsid w:val="006321DF"/>
    <w:rsid w:val="006347BF"/>
    <w:rsid w:val="0063588F"/>
    <w:rsid w:val="0063709B"/>
    <w:rsid w:val="0064312A"/>
    <w:rsid w:val="00644BFE"/>
    <w:rsid w:val="0064515A"/>
    <w:rsid w:val="006506D0"/>
    <w:rsid w:val="00654ABE"/>
    <w:rsid w:val="006667CD"/>
    <w:rsid w:val="00670A6C"/>
    <w:rsid w:val="0067196C"/>
    <w:rsid w:val="006A7083"/>
    <w:rsid w:val="006B6C49"/>
    <w:rsid w:val="006B7442"/>
    <w:rsid w:val="006C39F4"/>
    <w:rsid w:val="006C6A9E"/>
    <w:rsid w:val="006D434D"/>
    <w:rsid w:val="006D72B4"/>
    <w:rsid w:val="006E05D0"/>
    <w:rsid w:val="006E22D7"/>
    <w:rsid w:val="006E57FD"/>
    <w:rsid w:val="006F0B57"/>
    <w:rsid w:val="006F2E86"/>
    <w:rsid w:val="006F685D"/>
    <w:rsid w:val="006F7AA1"/>
    <w:rsid w:val="007020DF"/>
    <w:rsid w:val="00715EC7"/>
    <w:rsid w:val="00717A29"/>
    <w:rsid w:val="00732CA7"/>
    <w:rsid w:val="00736078"/>
    <w:rsid w:val="007415DF"/>
    <w:rsid w:val="00751919"/>
    <w:rsid w:val="00752F23"/>
    <w:rsid w:val="00754820"/>
    <w:rsid w:val="00755326"/>
    <w:rsid w:val="0075766E"/>
    <w:rsid w:val="00761DA8"/>
    <w:rsid w:val="007657BC"/>
    <w:rsid w:val="007717E1"/>
    <w:rsid w:val="0077752D"/>
    <w:rsid w:val="00781C70"/>
    <w:rsid w:val="0078789F"/>
    <w:rsid w:val="007A4495"/>
    <w:rsid w:val="007A6831"/>
    <w:rsid w:val="007A7CBC"/>
    <w:rsid w:val="007B001A"/>
    <w:rsid w:val="007B1E12"/>
    <w:rsid w:val="007B7FDC"/>
    <w:rsid w:val="007C1211"/>
    <w:rsid w:val="007C5619"/>
    <w:rsid w:val="007D0328"/>
    <w:rsid w:val="007D2456"/>
    <w:rsid w:val="007D2646"/>
    <w:rsid w:val="007D5010"/>
    <w:rsid w:val="007F56FA"/>
    <w:rsid w:val="007F7A27"/>
    <w:rsid w:val="008020B2"/>
    <w:rsid w:val="00803057"/>
    <w:rsid w:val="00803758"/>
    <w:rsid w:val="00810EB5"/>
    <w:rsid w:val="008138F6"/>
    <w:rsid w:val="00815804"/>
    <w:rsid w:val="00840FDD"/>
    <w:rsid w:val="008460E2"/>
    <w:rsid w:val="00851EB6"/>
    <w:rsid w:val="00872470"/>
    <w:rsid w:val="00872A50"/>
    <w:rsid w:val="00872F84"/>
    <w:rsid w:val="0087392D"/>
    <w:rsid w:val="00874922"/>
    <w:rsid w:val="0087616F"/>
    <w:rsid w:val="008775BD"/>
    <w:rsid w:val="008828E5"/>
    <w:rsid w:val="00887811"/>
    <w:rsid w:val="00893A1C"/>
    <w:rsid w:val="0089499E"/>
    <w:rsid w:val="008979B3"/>
    <w:rsid w:val="008A0377"/>
    <w:rsid w:val="008A4638"/>
    <w:rsid w:val="008A4A99"/>
    <w:rsid w:val="008B1F33"/>
    <w:rsid w:val="008B2BA2"/>
    <w:rsid w:val="008C6FD2"/>
    <w:rsid w:val="008D4503"/>
    <w:rsid w:val="008D4A06"/>
    <w:rsid w:val="008E00D2"/>
    <w:rsid w:val="008E1A8D"/>
    <w:rsid w:val="008E35F5"/>
    <w:rsid w:val="008E5C30"/>
    <w:rsid w:val="008F0DA0"/>
    <w:rsid w:val="008F70A7"/>
    <w:rsid w:val="009034AE"/>
    <w:rsid w:val="0090501C"/>
    <w:rsid w:val="00905C3D"/>
    <w:rsid w:val="009173A3"/>
    <w:rsid w:val="009210EE"/>
    <w:rsid w:val="00921ACA"/>
    <w:rsid w:val="00921BC1"/>
    <w:rsid w:val="00930AA5"/>
    <w:rsid w:val="00930E88"/>
    <w:rsid w:val="0093246C"/>
    <w:rsid w:val="009337F4"/>
    <w:rsid w:val="00940EBB"/>
    <w:rsid w:val="0094484D"/>
    <w:rsid w:val="00951DFC"/>
    <w:rsid w:val="00952B25"/>
    <w:rsid w:val="009550A3"/>
    <w:rsid w:val="00956B27"/>
    <w:rsid w:val="00962C86"/>
    <w:rsid w:val="009649AB"/>
    <w:rsid w:val="009708AA"/>
    <w:rsid w:val="00973DA7"/>
    <w:rsid w:val="00973FEE"/>
    <w:rsid w:val="009750C0"/>
    <w:rsid w:val="00980A4C"/>
    <w:rsid w:val="0098661A"/>
    <w:rsid w:val="0098698E"/>
    <w:rsid w:val="009910B0"/>
    <w:rsid w:val="00992572"/>
    <w:rsid w:val="0099344A"/>
    <w:rsid w:val="009A0F26"/>
    <w:rsid w:val="009A120F"/>
    <w:rsid w:val="009A1F76"/>
    <w:rsid w:val="009A5BAC"/>
    <w:rsid w:val="009A6FA2"/>
    <w:rsid w:val="009A7DFB"/>
    <w:rsid w:val="009A7EA0"/>
    <w:rsid w:val="009B1143"/>
    <w:rsid w:val="009B5161"/>
    <w:rsid w:val="009B59BE"/>
    <w:rsid w:val="009C0AE3"/>
    <w:rsid w:val="009C5A8C"/>
    <w:rsid w:val="009C5BC4"/>
    <w:rsid w:val="009D0E58"/>
    <w:rsid w:val="009D1AF6"/>
    <w:rsid w:val="009D2BB4"/>
    <w:rsid w:val="009D3373"/>
    <w:rsid w:val="009F07EA"/>
    <w:rsid w:val="009F0F9A"/>
    <w:rsid w:val="009F13DA"/>
    <w:rsid w:val="00A03D8A"/>
    <w:rsid w:val="00A11030"/>
    <w:rsid w:val="00A12056"/>
    <w:rsid w:val="00A21FDB"/>
    <w:rsid w:val="00A22554"/>
    <w:rsid w:val="00A33CB0"/>
    <w:rsid w:val="00A41FFC"/>
    <w:rsid w:val="00A473DD"/>
    <w:rsid w:val="00A53C6D"/>
    <w:rsid w:val="00A6224D"/>
    <w:rsid w:val="00A63F0F"/>
    <w:rsid w:val="00A64BFA"/>
    <w:rsid w:val="00A650B7"/>
    <w:rsid w:val="00A7099C"/>
    <w:rsid w:val="00A742F4"/>
    <w:rsid w:val="00A74C7F"/>
    <w:rsid w:val="00A82619"/>
    <w:rsid w:val="00A85FB2"/>
    <w:rsid w:val="00A92DD8"/>
    <w:rsid w:val="00A93DAF"/>
    <w:rsid w:val="00AA0B86"/>
    <w:rsid w:val="00AA42BA"/>
    <w:rsid w:val="00AB3681"/>
    <w:rsid w:val="00AB4347"/>
    <w:rsid w:val="00AC12AF"/>
    <w:rsid w:val="00AC4589"/>
    <w:rsid w:val="00AC7F6B"/>
    <w:rsid w:val="00AD061D"/>
    <w:rsid w:val="00AD65E5"/>
    <w:rsid w:val="00AE107B"/>
    <w:rsid w:val="00AF2641"/>
    <w:rsid w:val="00AF3477"/>
    <w:rsid w:val="00AF5236"/>
    <w:rsid w:val="00AF7A29"/>
    <w:rsid w:val="00B0067F"/>
    <w:rsid w:val="00B12C1B"/>
    <w:rsid w:val="00B234E6"/>
    <w:rsid w:val="00B25E58"/>
    <w:rsid w:val="00B27A92"/>
    <w:rsid w:val="00B34638"/>
    <w:rsid w:val="00B36467"/>
    <w:rsid w:val="00B402D0"/>
    <w:rsid w:val="00B4106B"/>
    <w:rsid w:val="00B4184F"/>
    <w:rsid w:val="00B43B87"/>
    <w:rsid w:val="00B451E7"/>
    <w:rsid w:val="00B50896"/>
    <w:rsid w:val="00B54F96"/>
    <w:rsid w:val="00B62A24"/>
    <w:rsid w:val="00B636C3"/>
    <w:rsid w:val="00B93BC7"/>
    <w:rsid w:val="00B94467"/>
    <w:rsid w:val="00B965CB"/>
    <w:rsid w:val="00BB4F9A"/>
    <w:rsid w:val="00BB66BF"/>
    <w:rsid w:val="00BB7549"/>
    <w:rsid w:val="00BC0751"/>
    <w:rsid w:val="00BC226E"/>
    <w:rsid w:val="00BE0E65"/>
    <w:rsid w:val="00BE3995"/>
    <w:rsid w:val="00BF31F4"/>
    <w:rsid w:val="00BF5115"/>
    <w:rsid w:val="00C05B9B"/>
    <w:rsid w:val="00C16CDF"/>
    <w:rsid w:val="00C24CA8"/>
    <w:rsid w:val="00C27A82"/>
    <w:rsid w:val="00C32BDF"/>
    <w:rsid w:val="00C32D48"/>
    <w:rsid w:val="00C351B5"/>
    <w:rsid w:val="00C358BB"/>
    <w:rsid w:val="00C43BCF"/>
    <w:rsid w:val="00C44B35"/>
    <w:rsid w:val="00C51A78"/>
    <w:rsid w:val="00C81C4F"/>
    <w:rsid w:val="00C84D68"/>
    <w:rsid w:val="00C85355"/>
    <w:rsid w:val="00C90A54"/>
    <w:rsid w:val="00C93C7E"/>
    <w:rsid w:val="00C941FC"/>
    <w:rsid w:val="00CA50DB"/>
    <w:rsid w:val="00CC244F"/>
    <w:rsid w:val="00CC2BC4"/>
    <w:rsid w:val="00CC37B6"/>
    <w:rsid w:val="00CC49C9"/>
    <w:rsid w:val="00CD3D36"/>
    <w:rsid w:val="00CD3E47"/>
    <w:rsid w:val="00CD5787"/>
    <w:rsid w:val="00CE0608"/>
    <w:rsid w:val="00CE70E1"/>
    <w:rsid w:val="00CF7877"/>
    <w:rsid w:val="00D0062C"/>
    <w:rsid w:val="00D01987"/>
    <w:rsid w:val="00D0690D"/>
    <w:rsid w:val="00D134FD"/>
    <w:rsid w:val="00D147BF"/>
    <w:rsid w:val="00D17D13"/>
    <w:rsid w:val="00D20261"/>
    <w:rsid w:val="00D21F73"/>
    <w:rsid w:val="00D2215A"/>
    <w:rsid w:val="00D30019"/>
    <w:rsid w:val="00D31D9B"/>
    <w:rsid w:val="00D32A14"/>
    <w:rsid w:val="00D33F49"/>
    <w:rsid w:val="00D443FD"/>
    <w:rsid w:val="00D45874"/>
    <w:rsid w:val="00D546E6"/>
    <w:rsid w:val="00D57D6F"/>
    <w:rsid w:val="00D62087"/>
    <w:rsid w:val="00D63C0B"/>
    <w:rsid w:val="00D651AA"/>
    <w:rsid w:val="00D77996"/>
    <w:rsid w:val="00D852A0"/>
    <w:rsid w:val="00D8799D"/>
    <w:rsid w:val="00D90DA9"/>
    <w:rsid w:val="00DB14FE"/>
    <w:rsid w:val="00DB1E19"/>
    <w:rsid w:val="00DB2282"/>
    <w:rsid w:val="00DE122F"/>
    <w:rsid w:val="00DE7041"/>
    <w:rsid w:val="00DF11AB"/>
    <w:rsid w:val="00DF320B"/>
    <w:rsid w:val="00DF462E"/>
    <w:rsid w:val="00DF4EC9"/>
    <w:rsid w:val="00E02C0A"/>
    <w:rsid w:val="00E03C28"/>
    <w:rsid w:val="00E060F5"/>
    <w:rsid w:val="00E071DB"/>
    <w:rsid w:val="00E1200F"/>
    <w:rsid w:val="00E13B5D"/>
    <w:rsid w:val="00E148D0"/>
    <w:rsid w:val="00E23D1D"/>
    <w:rsid w:val="00E335C7"/>
    <w:rsid w:val="00E340A3"/>
    <w:rsid w:val="00E34D94"/>
    <w:rsid w:val="00E37CFF"/>
    <w:rsid w:val="00E4326D"/>
    <w:rsid w:val="00E45DA5"/>
    <w:rsid w:val="00E54AEA"/>
    <w:rsid w:val="00E56B78"/>
    <w:rsid w:val="00E63FB3"/>
    <w:rsid w:val="00E67A3F"/>
    <w:rsid w:val="00E760D3"/>
    <w:rsid w:val="00E7620A"/>
    <w:rsid w:val="00E84360"/>
    <w:rsid w:val="00E8487F"/>
    <w:rsid w:val="00E946F0"/>
    <w:rsid w:val="00EA0B27"/>
    <w:rsid w:val="00EA1846"/>
    <w:rsid w:val="00EB41FC"/>
    <w:rsid w:val="00EB6D57"/>
    <w:rsid w:val="00EC0876"/>
    <w:rsid w:val="00EC2995"/>
    <w:rsid w:val="00EC6C87"/>
    <w:rsid w:val="00ED4AF7"/>
    <w:rsid w:val="00ED5B37"/>
    <w:rsid w:val="00EE0847"/>
    <w:rsid w:val="00EE3376"/>
    <w:rsid w:val="00EF05F4"/>
    <w:rsid w:val="00EF22C6"/>
    <w:rsid w:val="00EF5E40"/>
    <w:rsid w:val="00F00B15"/>
    <w:rsid w:val="00F05709"/>
    <w:rsid w:val="00F0639F"/>
    <w:rsid w:val="00F07894"/>
    <w:rsid w:val="00F1065F"/>
    <w:rsid w:val="00F15907"/>
    <w:rsid w:val="00F22124"/>
    <w:rsid w:val="00F32119"/>
    <w:rsid w:val="00F3240A"/>
    <w:rsid w:val="00F37D85"/>
    <w:rsid w:val="00F40101"/>
    <w:rsid w:val="00F41971"/>
    <w:rsid w:val="00F439A6"/>
    <w:rsid w:val="00F46AA6"/>
    <w:rsid w:val="00F511F7"/>
    <w:rsid w:val="00F51A4E"/>
    <w:rsid w:val="00F543B4"/>
    <w:rsid w:val="00F617A6"/>
    <w:rsid w:val="00F65651"/>
    <w:rsid w:val="00F6778D"/>
    <w:rsid w:val="00F67F8A"/>
    <w:rsid w:val="00F70B26"/>
    <w:rsid w:val="00F73F08"/>
    <w:rsid w:val="00F741ED"/>
    <w:rsid w:val="00F77156"/>
    <w:rsid w:val="00F877FD"/>
    <w:rsid w:val="00F96436"/>
    <w:rsid w:val="00F97124"/>
    <w:rsid w:val="00FA2B44"/>
    <w:rsid w:val="00FA39F9"/>
    <w:rsid w:val="00FA616D"/>
    <w:rsid w:val="00FB2790"/>
    <w:rsid w:val="00FB32DE"/>
    <w:rsid w:val="00FB4AA1"/>
    <w:rsid w:val="00FC707B"/>
    <w:rsid w:val="00FD3A35"/>
    <w:rsid w:val="00FD6701"/>
    <w:rsid w:val="00FE1B32"/>
    <w:rsid w:val="00FE1D7B"/>
    <w:rsid w:val="00FF17F0"/>
    <w:rsid w:val="00FF65D3"/>
    <w:rsid w:val="00FF778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apple-converted-space">
    <w:name w:val="apple-converted-space"/>
    <w:basedOn w:val="DefaultParagraphFont"/>
    <w:rsid w:val="009750C0"/>
  </w:style>
  <w:style w:type="character" w:customStyle="1" w:styleId="hps">
    <w:name w:val="hps"/>
    <w:basedOn w:val="DefaultParagraphFont"/>
    <w:rsid w:val="00B636C3"/>
  </w:style>
  <w:style w:type="character" w:customStyle="1" w:styleId="shorttext">
    <w:name w:val="short_text"/>
    <w:basedOn w:val="DefaultParagraphFont"/>
    <w:rsid w:val="00FD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apple-converted-space">
    <w:name w:val="apple-converted-space"/>
    <w:basedOn w:val="DefaultParagraphFont"/>
    <w:rsid w:val="009750C0"/>
  </w:style>
  <w:style w:type="character" w:customStyle="1" w:styleId="hps">
    <w:name w:val="hps"/>
    <w:basedOn w:val="DefaultParagraphFont"/>
    <w:rsid w:val="00B636C3"/>
  </w:style>
  <w:style w:type="character" w:customStyle="1" w:styleId="shorttext">
    <w:name w:val="short_text"/>
    <w:basedOn w:val="DefaultParagraphFont"/>
    <w:rsid w:val="00FD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4CB5-BCEF-4235-BE25-5FAA3A2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akinshina</cp:lastModifiedBy>
  <cp:revision>4</cp:revision>
  <cp:lastPrinted>2014-04-23T09:03:00Z</cp:lastPrinted>
  <dcterms:created xsi:type="dcterms:W3CDTF">2014-04-22T15:14:00Z</dcterms:created>
  <dcterms:modified xsi:type="dcterms:W3CDTF">2014-04-23T09:24:00Z</dcterms:modified>
</cp:coreProperties>
</file>