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04" w:rsidRPr="00042101" w:rsidRDefault="00E07E0E" w:rsidP="00582205">
      <w:pPr>
        <w:tabs>
          <w:tab w:val="right" w:pos="8931"/>
        </w:tabs>
        <w:spacing w:after="0" w:line="240" w:lineRule="auto"/>
        <w:rPr>
          <w:rFonts w:ascii="Arial" w:hAnsi="Arial" w:cs="Arial"/>
          <w:noProof/>
          <w:sz w:val="31"/>
          <w:szCs w:val="31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31"/>
          <w:szCs w:val="31"/>
          <w:lang w:val="en-US"/>
        </w:rPr>
        <w:t>List of participants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5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8543"/>
      </w:tblGrid>
      <w:tr w:rsidR="004C5704" w:rsidRPr="00042101" w:rsidTr="00716A63">
        <w:trPr>
          <w:trHeight w:val="1080"/>
        </w:trPr>
        <w:tc>
          <w:tcPr>
            <w:tcW w:w="572" w:type="pct"/>
            <w:vAlign w:val="center"/>
          </w:tcPr>
          <w:p w:rsidR="004C5704" w:rsidRPr="00042101" w:rsidRDefault="004C5704" w:rsidP="007144ED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  <w:lang w:val="fr-FR" w:eastAsia="fr-FR"/>
              </w:rPr>
              <w:drawing>
                <wp:inline distT="0" distB="0" distL="0" distR="0">
                  <wp:extent cx="571886" cy="504000"/>
                  <wp:effectExtent l="19050" t="0" r="0" b="0"/>
                  <wp:docPr id="5" name="Picture 3" descr="log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86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pct"/>
            <w:vAlign w:val="center"/>
          </w:tcPr>
          <w:p w:rsidR="004C5704" w:rsidRPr="00042101" w:rsidRDefault="00DB4D84" w:rsidP="007144ED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</w:rPr>
              <w:t>WP.7, Working Party on Agricultural Quality Standards, 2013</w:t>
            </w:r>
          </w:p>
        </w:tc>
      </w:tr>
    </w:tbl>
    <w:p w:rsidR="00F937CD" w:rsidRPr="00042101" w:rsidRDefault="00F937CD" w:rsidP="00E07E0E">
      <w:pPr>
        <w:tabs>
          <w:tab w:val="left" w:pos="4320"/>
        </w:tabs>
        <w:spacing w:before="240" w:after="0"/>
        <w:rPr>
          <w:noProof/>
          <w:sz w:val="15"/>
          <w:szCs w:val="15"/>
          <w:lang w:val="en-US"/>
        </w:rPr>
      </w:pPr>
      <w:r w:rsidRPr="00042101">
        <w:rPr>
          <w:b/>
          <w:noProof/>
          <w:sz w:val="15"/>
          <w:szCs w:val="15"/>
          <w:lang w:val="en-US"/>
        </w:rPr>
        <w:t xml:space="preserve">Start Date: </w:t>
      </w:r>
      <w:r w:rsidR="00DB4D84" w:rsidRPr="00042101">
        <w:rPr>
          <w:noProof/>
          <w:sz w:val="15"/>
          <w:szCs w:val="15"/>
          <w:lang w:val="en-US"/>
        </w:rPr>
        <w:t>Monday, November 04, 2013</w:t>
      </w:r>
      <w:r w:rsidR="00D77F02" w:rsidRPr="00042101">
        <w:rPr>
          <w:b/>
          <w:noProof/>
          <w:sz w:val="15"/>
          <w:szCs w:val="15"/>
          <w:lang w:val="en-US"/>
        </w:rPr>
        <w:tab/>
      </w:r>
      <w:r w:rsidRPr="00042101">
        <w:rPr>
          <w:b/>
          <w:noProof/>
          <w:sz w:val="15"/>
          <w:szCs w:val="15"/>
          <w:lang w:val="en-US"/>
        </w:rPr>
        <w:t xml:space="preserve">End Date: </w:t>
      </w:r>
      <w:r w:rsidR="00DB4D84" w:rsidRPr="00042101">
        <w:rPr>
          <w:noProof/>
          <w:sz w:val="15"/>
          <w:szCs w:val="15"/>
          <w:lang w:val="en-US"/>
        </w:rPr>
        <w:t>Wednesday, November 06, 2013</w:t>
      </w:r>
    </w:p>
    <w:p w:rsidR="005049CE" w:rsidRPr="00042101" w:rsidRDefault="005049CE" w:rsidP="00DB5274">
      <w:pPr>
        <w:pBdr>
          <w:bottom w:val="single" w:sz="4" w:space="1" w:color="auto"/>
        </w:pBdr>
        <w:spacing w:line="480" w:lineRule="auto"/>
        <w:rPr>
          <w:noProof/>
          <w:sz w:val="15"/>
          <w:szCs w:val="15"/>
          <w:lang w:val="en-US"/>
        </w:rPr>
      </w:pPr>
      <w:r w:rsidRPr="00042101">
        <w:rPr>
          <w:b/>
          <w:noProof/>
          <w:sz w:val="15"/>
          <w:szCs w:val="15"/>
          <w:lang w:val="en-US"/>
        </w:rPr>
        <w:t xml:space="preserve">Participants: </w:t>
      </w:r>
      <w:r w:rsidR="00DB4D84" w:rsidRPr="00042101">
        <w:rPr>
          <w:noProof/>
          <w:sz w:val="15"/>
          <w:szCs w:val="15"/>
          <w:lang w:val="en-US"/>
        </w:rPr>
        <w:t>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t>Governmental Delegations - Member States (Other Bodies)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Australia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Ian KING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Chief Executive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AUS-MEAT Ltd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 1</w:t>
            </w:r>
            <w:r>
              <w:br/>
              <w:t>333 Queensport Road North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Queensland  4172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Australia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+ 61 7 3361 9200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+ 61 7 3361 9222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ian.king@ausmeat.com.au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www.ausmeat.com.au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Belarus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Gennady E. VOLNISTY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Centre for Identification Systems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The National Academy of Sciences of Belarus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15/2 Akademicheskaya Street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220072 Minsk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Belarus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+375 17 294 90 81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+375 17 294 90 80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volnisty@ids.by, info@ids.by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www.ids.by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Bulgaria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Evgeniya MITROVA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State Expert Quality Control FFV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Agriculture and Food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55, Hristo Botev Bulv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Bulgaria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+ 359 2 981 87 71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+ 359 2 981 87 71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emitrova@mzh.government.bg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Diana TRIFONOVA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Agriculture and Food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91 Strandja Str, apt. A3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Sofia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Bulgaria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+ 359 298511 363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ditrifonova@mzh.government.bd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Finland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Niina KAUHAJÄRVI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Agriculture and Forestry, Department of Agriculture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P.O. Box 30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FI-00023 Government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Finland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+358 295 16 2322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+358 9 1605 3400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niina.kauhajarvi@mmm.fi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France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Catherine BALLANDRAS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Direction Générale de la Concurrence, de la Consommation et de la Répression des Fraudes (DGCCRF)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DGCCRF</w:t>
            </w:r>
            <w:r>
              <w:br/>
              <w:t>59 Bd. Vincent Auriol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75703 Paris Cedex 13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+ 33 1 44 97 28 54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+ 33 1 44 97 05 27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catherine.ballandras@dgccrf.finances.gouv.fr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Germany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Ulrike BICKELMANN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Inspection Service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Bundesanstalt für Landwirtschaft und Ernährung (BLE)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Deichmanns Aue 29, Referat 413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53173 Bonn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+ 49 228 6845 3357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+49 228 6845 3945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Ulrike.Bickelmann@ble.de, qualitaetskontrolle@ble.de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Italy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Antonio FALLACARA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Funzionario Agrario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Ministero delle Politiche Agricole Alimentari e Forestali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Via XX settembre 20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cap 00187 Rome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Italy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+39 06 4665 4014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+39 06 4665 4132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a.fallacara@mpaaf.gov.it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Pier Giacomo BIANCHI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CRA-SCS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Via Ugo Bassi 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20159 Milan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Italy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+39 02 69012026</w:t>
            </w:r>
            <w:r>
              <w:rPr>
                <w:b/>
              </w:rPr>
              <w:t xml:space="preserve"> Mobile: </w:t>
            </w:r>
            <w:r>
              <w:t>+39 33 91402150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+39 02 69012049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piergiacomo.bianchi@entecra.it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Pellegrino DE IESO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Assistente Agrario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Ministero delle Politiche Agricole Alimentari e Forestali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Via XX settembre 20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cap 00187 Rome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Italy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+39 06 4665 4110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+39 06 4665 4132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p.deieso@mpaaf.gov.it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Malaysia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Ishak ABBAS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Director (Regulatory)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Agricultural Marketing Authority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Lot 1723, Kg. Sg. Udang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41250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Malaysia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012 399 4210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603 6120 2065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ishak@fama.gov.my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Mexico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Jorge RUEDA SOUSA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Counsellor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Representative Office for Europe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SAGARPA Embassy of Mexico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Av. Franklin Roosevelt, 94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1050 Brussels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 2-644 1300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+32 2-644 2835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jorgerueda@sagarpaue.be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Netherlands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Helena BRUGGING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Policy Advisor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Ingelandslag 25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+ 31 70 378 4309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h.m.brugging@minez.nl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Poland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Agnieszka SUDOL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Main Specialist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Main Inspectorate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Agricultural and Food Quality Inspection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Wspolna 30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PL-00-930 Warsaw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+48 22-623 2900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+48 22-623 2999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asudol@ijhars.gov.pl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Sweden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Kristina MATTSSON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Division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Swedish Board of Agriculture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Vallgatan 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SE-551 82 Jönköping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Sweden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+ 46 36 155 051</w:t>
            </w:r>
            <w:r>
              <w:rPr>
                <w:b/>
              </w:rPr>
              <w:t xml:space="preserve"> Mobile: </w:t>
            </w:r>
            <w:r>
              <w:t>+ 46 705 860277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+ 46 36 308 577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kristina.mattsson@jordbruksverket.se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Switzerland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Pierre SCHAUENBERG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Chef de Secteur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Produits végétaux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Office fédéral de l'agriculture (OFAG)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Mattenhofstrasse 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CH-3003  Berne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+41 31 324 84 21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+41 31 322 44 97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pierre.schauenberg@blw.admin.ch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www.blw.admin.ch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Turkey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H. Sibel KAPLAN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 General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Economy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T.C. Ekonomi Bakanligi Inönü Bulvari, 36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06510, Ankara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Turkey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+90-312-212 8767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+90-312-212 6864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kaplans@ekonomi.gov..tr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Ms. Elif ULUG SAKALSIZ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Assistant Foreign Trade 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General Directorate of Product Safety and Inspection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Ministry of Economy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T.C. Ekonomi </w:t>
            </w:r>
            <w:r>
              <w:br/>
              <w:t>Bakanligi Inönü Bulvari No. 36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06510 Emek Ankara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Turkey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+90 312 204 80 81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+90 312 212 87 68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sakalsize@ekonomi.gov.tr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www.ekonomi.gov.tr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United Kingdom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Ian HEWETT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Regional Horticultural Marketing Inspector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West London and South East Region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RPA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Office SCF3, South Core, Produce Hall, Western International Market</w:t>
            </w:r>
            <w:r>
              <w:br/>
              <w:t>Hayes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UB2 5XJ Southall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+ 44 7884 234574</w:t>
            </w:r>
            <w:r>
              <w:rPr>
                <w:b/>
              </w:rPr>
              <w:t xml:space="preserve"> Mobile: </w:t>
            </w:r>
            <w:r>
              <w:t>+ 44 208 589 9624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+ 44 208 589 9624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ian.c.hewett@rpa.gsi.gov.uk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www.rpa.gov.uk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United States of America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Dorian LAFOND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Standards Coordinator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AMS, Fruit and Vegetable Programs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US Department of Agriculture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Stop 0247</w:t>
            </w:r>
            <w:r>
              <w:br/>
              <w:t>1400 Independence Avenue, SW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Washington, DC 20250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+1 202-690 4944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+1 202-690 4944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Dorian.LaFond@ams.usda.gov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2C6590" w:rsidRDefault="002C6590">
      <w:pPr>
        <w:sectPr w:rsidR="002C6590">
          <w:headerReference w:type="default" r:id="rId9"/>
          <w:footerReference w:type="default" r:id="rId10"/>
          <w:footerReference w:type="first" r:id="rId11"/>
          <w:pgSz w:w="11906" w:h="16838"/>
          <w:pgMar w:top="1152" w:right="1152" w:bottom="432" w:left="1152" w:header="450" w:footer="706" w:gutter="0"/>
          <w:pgNumType w:start="1"/>
          <w:cols w:space="720"/>
          <w:titlePg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European Union - European Union (EU)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Commission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Helene PHILIPP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DG Agricultural and Rural Development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European Commission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B-1049 Brussels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+32 2 295 9711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 xml:space="preserve">+32 2 2 953 709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helene.philipp@ec.europa.eu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2C6590" w:rsidRDefault="002C6590">
      <w:pPr>
        <w:sectPr w:rsidR="002C6590">
          <w:headerReference w:type="default" r:id="rId12"/>
          <w:footerReference w:type="default" r:id="rId13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UN Organizations and Specialized Agencies - Specialized Agencies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Food and Agriculture Organization of the United Nations (FAO)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Gracia Teresa BRISCO LÓPEZ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Food Standards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Joint FAO/WHO Food Standards Programme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Food and Agriculture Organization of the United Nations (FAO)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Viale delle Terme di Caracalla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00153 Rome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Italy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+39 06 5705 2700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+39 06 5705 2700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gracia.brisco@fao.org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2C6590" w:rsidRDefault="002C6590">
      <w:pPr>
        <w:sectPr w:rsidR="002C6590">
          <w:headerReference w:type="default" r:id="rId14"/>
          <w:footerReference w:type="default" r:id="rId15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Non Governmental Organization - Official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Nut and Dried Fruit Council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Irene GIRONES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Project Coordinator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Nut and Dried Fruit Council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Carrer de la Fruita Seca, 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43204 Reus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+34 977 331 416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+34 977 315 028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irene.girones@nutfruit.org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www.nutfruit.org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Nut and Dried Fruit Council Foundation - INC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Giuseppe CALCAGNI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Chairman, Scientific Committee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Nut and Dried Fruit Council Foundation - INC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Carrer de la Fruita Seca, 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43204 Reus 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+ 34 977 331 416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+ 34 977 31 50 28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giuseppe.calcagni@besanagroup.com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www.nutfruit.org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2C6590" w:rsidRDefault="002C6590">
      <w:pPr>
        <w:sectPr w:rsidR="002C6590">
          <w:headerReference w:type="default" r:id="rId16"/>
          <w:footerReference w:type="default" r:id="rId17"/>
          <w:pgSz w:w="11906" w:h="16838"/>
          <w:pgMar w:top="1152" w:right="1152" w:bottom="432" w:left="1152" w:header="450" w:footer="706" w:gutter="0"/>
          <w:cols w:space="720"/>
        </w:sectPr>
      </w:pPr>
    </w:p>
    <w:p w:rsidR="00AE43F7" w:rsidRDefault="00AE43F7" w:rsidP="00CE6225">
      <w:pPr>
        <w:tabs>
          <w:tab w:val="right" w:pos="4111"/>
          <w:tab w:val="left" w:pos="4536"/>
        </w:tabs>
        <w:rPr>
          <w:noProof/>
        </w:rPr>
      </w:pPr>
    </w:p>
    <w:sectPr w:rsidR="00AE43F7" w:rsidSect="00696299">
      <w:footerReference w:type="default" r:id="rId18"/>
      <w:pgSz w:w="11906" w:h="16838"/>
      <w:pgMar w:top="1152" w:right="1152" w:bottom="432" w:left="1152" w:header="45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EE" w:rsidRDefault="001C0EEE" w:rsidP="005E0BDA">
      <w:pPr>
        <w:spacing w:after="0" w:line="240" w:lineRule="auto"/>
      </w:pPr>
      <w:r>
        <w:separator/>
      </w:r>
    </w:p>
  </w:endnote>
  <w:endnote w:type="continuationSeparator" w:id="0">
    <w:p w:rsidR="001C0EEE" w:rsidRDefault="001C0EEE" w:rsidP="005E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AF6F02">
      <w:rPr>
        <w:noProof/>
        <w:color w:val="000000" w:themeColor="text1"/>
        <w:sz w:val="16"/>
        <w:szCs w:val="16"/>
      </w:rPr>
      <w:t>2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Wednesday, November 06,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AF6F02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Wednesday, November 06,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AF6F02">
      <w:rPr>
        <w:noProof/>
        <w:color w:val="000000" w:themeColor="text1"/>
        <w:sz w:val="16"/>
        <w:szCs w:val="16"/>
      </w:rPr>
      <w:t>5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Wednesday, November 06, 2013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AF6F02">
      <w:rPr>
        <w:noProof/>
        <w:color w:val="000000" w:themeColor="text1"/>
        <w:sz w:val="16"/>
        <w:szCs w:val="16"/>
      </w:rPr>
      <w:t>6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Wednesday, November 06, 2013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AF6F02">
      <w:rPr>
        <w:noProof/>
        <w:color w:val="000000" w:themeColor="text1"/>
        <w:sz w:val="16"/>
        <w:szCs w:val="16"/>
      </w:rPr>
      <w:t>7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Wednesday, November 06, 2013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696299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Wednesday, November 06,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EE" w:rsidRDefault="001C0EEE" w:rsidP="005E0BDA">
      <w:pPr>
        <w:spacing w:after="0" w:line="240" w:lineRule="auto"/>
      </w:pPr>
      <w:r>
        <w:separator/>
      </w:r>
    </w:p>
  </w:footnote>
  <w:footnote w:type="continuationSeparator" w:id="0">
    <w:p w:rsidR="001C0EEE" w:rsidRDefault="001C0EEE" w:rsidP="005E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WP.7, Working Party on Agricultural Quality Standards, 2013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Governmental Delegations - Member States (Other Bodies)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WP.7, Working Party on Agricultural Quality Standards, 2013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European Union - European Union (EU)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WP.7, Working Party on Agricultural Quality Standards, 2013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UN Organizations and Specialized Agencies - Specialized Agencies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WP.7, Working Party on Agricultural Quality Standards, 2013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Non Governmental Organization - Official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09"/>
    <w:rsid w:val="00026562"/>
    <w:rsid w:val="00042101"/>
    <w:rsid w:val="00046E50"/>
    <w:rsid w:val="000477D2"/>
    <w:rsid w:val="000778F0"/>
    <w:rsid w:val="00085D86"/>
    <w:rsid w:val="00095D44"/>
    <w:rsid w:val="000A3B97"/>
    <w:rsid w:val="000D045C"/>
    <w:rsid w:val="000D3E50"/>
    <w:rsid w:val="000E5B13"/>
    <w:rsid w:val="000F1553"/>
    <w:rsid w:val="000F302E"/>
    <w:rsid w:val="000F696E"/>
    <w:rsid w:val="00114BDB"/>
    <w:rsid w:val="00130C5F"/>
    <w:rsid w:val="00146D45"/>
    <w:rsid w:val="001529D2"/>
    <w:rsid w:val="00164924"/>
    <w:rsid w:val="0017212E"/>
    <w:rsid w:val="001764E3"/>
    <w:rsid w:val="00193112"/>
    <w:rsid w:val="00195595"/>
    <w:rsid w:val="001A431A"/>
    <w:rsid w:val="001C0EEE"/>
    <w:rsid w:val="001C7371"/>
    <w:rsid w:val="001D1D4E"/>
    <w:rsid w:val="00221A32"/>
    <w:rsid w:val="00227CBA"/>
    <w:rsid w:val="002470CC"/>
    <w:rsid w:val="00264019"/>
    <w:rsid w:val="002645A0"/>
    <w:rsid w:val="002662C2"/>
    <w:rsid w:val="00267462"/>
    <w:rsid w:val="00282F20"/>
    <w:rsid w:val="002A480A"/>
    <w:rsid w:val="002B32EA"/>
    <w:rsid w:val="002B70D1"/>
    <w:rsid w:val="002C6590"/>
    <w:rsid w:val="0030212B"/>
    <w:rsid w:val="0030253B"/>
    <w:rsid w:val="0031405A"/>
    <w:rsid w:val="003202A4"/>
    <w:rsid w:val="00322533"/>
    <w:rsid w:val="003261BC"/>
    <w:rsid w:val="0032639E"/>
    <w:rsid w:val="003626B8"/>
    <w:rsid w:val="0037021A"/>
    <w:rsid w:val="00380E3A"/>
    <w:rsid w:val="00382E8A"/>
    <w:rsid w:val="003966E5"/>
    <w:rsid w:val="003A16A4"/>
    <w:rsid w:val="003B0D53"/>
    <w:rsid w:val="003D313D"/>
    <w:rsid w:val="003E6490"/>
    <w:rsid w:val="003F19DB"/>
    <w:rsid w:val="00400088"/>
    <w:rsid w:val="00407BC2"/>
    <w:rsid w:val="004107D3"/>
    <w:rsid w:val="00411091"/>
    <w:rsid w:val="0045375F"/>
    <w:rsid w:val="00462F44"/>
    <w:rsid w:val="004907BC"/>
    <w:rsid w:val="00490C93"/>
    <w:rsid w:val="0049711B"/>
    <w:rsid w:val="004A7FCA"/>
    <w:rsid w:val="004C2F9B"/>
    <w:rsid w:val="004C5704"/>
    <w:rsid w:val="004C6DFF"/>
    <w:rsid w:val="004D25CD"/>
    <w:rsid w:val="004D6F08"/>
    <w:rsid w:val="004F1F34"/>
    <w:rsid w:val="005049CE"/>
    <w:rsid w:val="005163D7"/>
    <w:rsid w:val="0052072B"/>
    <w:rsid w:val="005324F1"/>
    <w:rsid w:val="00533F0B"/>
    <w:rsid w:val="00536F20"/>
    <w:rsid w:val="00543928"/>
    <w:rsid w:val="00543EAE"/>
    <w:rsid w:val="0055492B"/>
    <w:rsid w:val="00554BF0"/>
    <w:rsid w:val="0055501F"/>
    <w:rsid w:val="00566D11"/>
    <w:rsid w:val="00581EB8"/>
    <w:rsid w:val="00582205"/>
    <w:rsid w:val="00583D24"/>
    <w:rsid w:val="00597709"/>
    <w:rsid w:val="005A0F9A"/>
    <w:rsid w:val="005A2C47"/>
    <w:rsid w:val="005C154E"/>
    <w:rsid w:val="005D0B38"/>
    <w:rsid w:val="005D2945"/>
    <w:rsid w:val="005E0BDA"/>
    <w:rsid w:val="005F3189"/>
    <w:rsid w:val="0062243F"/>
    <w:rsid w:val="00623F43"/>
    <w:rsid w:val="00630662"/>
    <w:rsid w:val="00633B01"/>
    <w:rsid w:val="0065371D"/>
    <w:rsid w:val="006847F5"/>
    <w:rsid w:val="00690ADF"/>
    <w:rsid w:val="00696299"/>
    <w:rsid w:val="006D1987"/>
    <w:rsid w:val="006D4F74"/>
    <w:rsid w:val="006D6BE8"/>
    <w:rsid w:val="006E1292"/>
    <w:rsid w:val="006F5B46"/>
    <w:rsid w:val="007144ED"/>
    <w:rsid w:val="0071578F"/>
    <w:rsid w:val="00716A63"/>
    <w:rsid w:val="0071775C"/>
    <w:rsid w:val="00725E1D"/>
    <w:rsid w:val="00730D6D"/>
    <w:rsid w:val="0075309D"/>
    <w:rsid w:val="00762A35"/>
    <w:rsid w:val="00772606"/>
    <w:rsid w:val="00774C45"/>
    <w:rsid w:val="00774FF1"/>
    <w:rsid w:val="00780A1B"/>
    <w:rsid w:val="0080751E"/>
    <w:rsid w:val="00843494"/>
    <w:rsid w:val="00857E23"/>
    <w:rsid w:val="00860297"/>
    <w:rsid w:val="00862B22"/>
    <w:rsid w:val="0086353C"/>
    <w:rsid w:val="00880E99"/>
    <w:rsid w:val="00892985"/>
    <w:rsid w:val="008971C9"/>
    <w:rsid w:val="008979FC"/>
    <w:rsid w:val="008A366A"/>
    <w:rsid w:val="008B19B8"/>
    <w:rsid w:val="008C08FC"/>
    <w:rsid w:val="008C2275"/>
    <w:rsid w:val="008D53D3"/>
    <w:rsid w:val="008E209A"/>
    <w:rsid w:val="008F3D0B"/>
    <w:rsid w:val="008F499C"/>
    <w:rsid w:val="008F4B4F"/>
    <w:rsid w:val="00902137"/>
    <w:rsid w:val="00914449"/>
    <w:rsid w:val="00921D22"/>
    <w:rsid w:val="0093157F"/>
    <w:rsid w:val="00955584"/>
    <w:rsid w:val="00965260"/>
    <w:rsid w:val="009906CF"/>
    <w:rsid w:val="009B37CF"/>
    <w:rsid w:val="009C1003"/>
    <w:rsid w:val="009D6D70"/>
    <w:rsid w:val="009E7E2D"/>
    <w:rsid w:val="009F39EF"/>
    <w:rsid w:val="00A038D4"/>
    <w:rsid w:val="00A15C64"/>
    <w:rsid w:val="00A20344"/>
    <w:rsid w:val="00A40FA4"/>
    <w:rsid w:val="00A73816"/>
    <w:rsid w:val="00A81C8D"/>
    <w:rsid w:val="00A87C88"/>
    <w:rsid w:val="00AA690E"/>
    <w:rsid w:val="00AB51C1"/>
    <w:rsid w:val="00AE43F7"/>
    <w:rsid w:val="00AE5021"/>
    <w:rsid w:val="00AF3BA3"/>
    <w:rsid w:val="00AF6F02"/>
    <w:rsid w:val="00B148BC"/>
    <w:rsid w:val="00B36B04"/>
    <w:rsid w:val="00B55872"/>
    <w:rsid w:val="00B64AB5"/>
    <w:rsid w:val="00B730BA"/>
    <w:rsid w:val="00B76AC3"/>
    <w:rsid w:val="00BB3794"/>
    <w:rsid w:val="00BC1A5D"/>
    <w:rsid w:val="00BE2B40"/>
    <w:rsid w:val="00BF73B7"/>
    <w:rsid w:val="00C003CF"/>
    <w:rsid w:val="00C06087"/>
    <w:rsid w:val="00C1249E"/>
    <w:rsid w:val="00C16D66"/>
    <w:rsid w:val="00C30FED"/>
    <w:rsid w:val="00C36F63"/>
    <w:rsid w:val="00C47AC7"/>
    <w:rsid w:val="00C61AC2"/>
    <w:rsid w:val="00C7551E"/>
    <w:rsid w:val="00C80DB0"/>
    <w:rsid w:val="00C864A8"/>
    <w:rsid w:val="00C87723"/>
    <w:rsid w:val="00CA2912"/>
    <w:rsid w:val="00CB00EC"/>
    <w:rsid w:val="00CD25F1"/>
    <w:rsid w:val="00CD3569"/>
    <w:rsid w:val="00CE40E4"/>
    <w:rsid w:val="00CE6225"/>
    <w:rsid w:val="00CE64B9"/>
    <w:rsid w:val="00CE7AB1"/>
    <w:rsid w:val="00D036F8"/>
    <w:rsid w:val="00D13E23"/>
    <w:rsid w:val="00D55129"/>
    <w:rsid w:val="00D6131B"/>
    <w:rsid w:val="00D64D45"/>
    <w:rsid w:val="00D773A0"/>
    <w:rsid w:val="00D77F02"/>
    <w:rsid w:val="00D8473B"/>
    <w:rsid w:val="00D94FBF"/>
    <w:rsid w:val="00DA138A"/>
    <w:rsid w:val="00DA6B44"/>
    <w:rsid w:val="00DB4D84"/>
    <w:rsid w:val="00DB5274"/>
    <w:rsid w:val="00DC7920"/>
    <w:rsid w:val="00DE42BA"/>
    <w:rsid w:val="00E0605A"/>
    <w:rsid w:val="00E07E0E"/>
    <w:rsid w:val="00E20560"/>
    <w:rsid w:val="00E21BB8"/>
    <w:rsid w:val="00E54DC1"/>
    <w:rsid w:val="00E62BF3"/>
    <w:rsid w:val="00E630D3"/>
    <w:rsid w:val="00EA41FB"/>
    <w:rsid w:val="00EA5883"/>
    <w:rsid w:val="00EC18CB"/>
    <w:rsid w:val="00EC4454"/>
    <w:rsid w:val="00EC5B5C"/>
    <w:rsid w:val="00EE02C7"/>
    <w:rsid w:val="00EF6F8C"/>
    <w:rsid w:val="00F01662"/>
    <w:rsid w:val="00F0515A"/>
    <w:rsid w:val="00F11A61"/>
    <w:rsid w:val="00F1318F"/>
    <w:rsid w:val="00F73A50"/>
    <w:rsid w:val="00F937CD"/>
    <w:rsid w:val="00F93F00"/>
    <w:rsid w:val="00F94DED"/>
    <w:rsid w:val="00FA33BD"/>
    <w:rsid w:val="00FC6CC8"/>
    <w:rsid w:val="00FF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01"/>
    <w:rPr>
      <w:rFonts w:ascii="Tahoma" w:hAnsi="Tahoma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0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9CE"/>
    <w:pPr>
      <w:spacing w:after="0" w:line="240" w:lineRule="auto"/>
    </w:pPr>
    <w:rPr>
      <w:sz w:val="16"/>
      <w:szCs w:val="16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DA"/>
  </w:style>
  <w:style w:type="paragraph" w:styleId="Footer">
    <w:name w:val="footer"/>
    <w:basedOn w:val="Normal"/>
    <w:link w:val="Foot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01"/>
    <w:rPr>
      <w:rFonts w:ascii="Tahoma" w:hAnsi="Tahoma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0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9CE"/>
    <w:pPr>
      <w:spacing w:after="0" w:line="240" w:lineRule="auto"/>
    </w:pPr>
    <w:rPr>
      <w:sz w:val="16"/>
      <w:szCs w:val="16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DA"/>
  </w:style>
  <w:style w:type="paragraph" w:styleId="Footer">
    <w:name w:val="footer"/>
    <w:basedOn w:val="Normal"/>
    <w:link w:val="Foot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ECFF248-6FD5-4BA7-9FAE-CB6E8F10EB7E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mruiz</dc:creator>
  <cp:lastModifiedBy>Alissa Mayor</cp:lastModifiedBy>
  <cp:revision>2</cp:revision>
  <dcterms:created xsi:type="dcterms:W3CDTF">2013-11-06T10:22:00Z</dcterms:created>
  <dcterms:modified xsi:type="dcterms:W3CDTF">2013-11-06T10:22:00Z</dcterms:modified>
</cp:coreProperties>
</file>