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8ABC" w14:textId="2A3DD668" w:rsidR="00940DCA" w:rsidRPr="00095005" w:rsidRDefault="00940DCA" w:rsidP="00940DCA">
      <w:pPr>
        <w:spacing w:before="120"/>
        <w:jc w:val="right"/>
        <w:rPr>
          <w:rFonts w:ascii="Times New Roman" w:hAnsi="Times New Roman"/>
          <w:lang w:val="en-GB"/>
        </w:rPr>
      </w:pPr>
      <w:r w:rsidRPr="00095005">
        <w:rPr>
          <w:rFonts w:ascii="Times New Roman" w:hAnsi="Times New Roman"/>
          <w:lang w:val="en-GB"/>
        </w:rPr>
        <w:t>ECE/CTCS/WP.7/GE.1</w:t>
      </w:r>
      <w:r>
        <w:rPr>
          <w:rFonts w:ascii="Times New Roman" w:hAnsi="Times New Roman"/>
          <w:lang w:val="en-GB"/>
        </w:rPr>
        <w:t>1</w:t>
      </w:r>
      <w:r w:rsidRPr="00095005">
        <w:rPr>
          <w:rFonts w:ascii="Times New Roman" w:hAnsi="Times New Roman"/>
          <w:lang w:val="en-GB"/>
        </w:rPr>
        <w:t>/20</w:t>
      </w:r>
      <w:r w:rsidR="00495D66">
        <w:rPr>
          <w:rFonts w:ascii="Times New Roman" w:hAnsi="Times New Roman"/>
          <w:lang w:val="en-GB"/>
        </w:rPr>
        <w:t>20</w:t>
      </w:r>
      <w:r w:rsidRPr="00095005">
        <w:rPr>
          <w:rFonts w:ascii="Times New Roman" w:hAnsi="Times New Roman"/>
          <w:lang w:val="en-GB"/>
        </w:rPr>
        <w:t>/INF.</w:t>
      </w:r>
      <w:r>
        <w:rPr>
          <w:rFonts w:ascii="Times New Roman" w:hAnsi="Times New Roman"/>
          <w:lang w:val="en-GB"/>
        </w:rPr>
        <w:t>1</w:t>
      </w:r>
    </w:p>
    <w:p w14:paraId="3F5340B6" w14:textId="07D5C160" w:rsidR="00194AEC" w:rsidRDefault="00940DCA" w:rsidP="00940DCA">
      <w:pPr>
        <w:jc w:val="right"/>
        <w:rPr>
          <w:rFonts w:ascii="Times New Roman" w:hAnsi="Times New Roman"/>
          <w:sz w:val="20"/>
        </w:rPr>
      </w:pPr>
      <w:r>
        <w:rPr>
          <w:rFonts w:ascii="Times New Roman" w:hAnsi="Times New Roman"/>
          <w:sz w:val="20"/>
        </w:rPr>
        <w:t xml:space="preserve">28 </w:t>
      </w:r>
      <w:r w:rsidR="00495D66">
        <w:rPr>
          <w:rFonts w:ascii="Times New Roman" w:hAnsi="Times New Roman"/>
          <w:sz w:val="20"/>
        </w:rPr>
        <w:t xml:space="preserve">September </w:t>
      </w:r>
      <w:r>
        <w:rPr>
          <w:rFonts w:ascii="Times New Roman" w:hAnsi="Times New Roman"/>
          <w:sz w:val="20"/>
        </w:rPr>
        <w:t>20</w:t>
      </w:r>
      <w:r w:rsidR="00495D66">
        <w:rPr>
          <w:rFonts w:ascii="Times New Roman" w:hAnsi="Times New Roman"/>
          <w:sz w:val="20"/>
        </w:rPr>
        <w:t>20</w:t>
      </w:r>
    </w:p>
    <w:p w14:paraId="77E66DF7" w14:textId="77777777" w:rsidR="00940DCA" w:rsidRDefault="00940DCA" w:rsidP="00940DCA">
      <w:pPr>
        <w:jc w:val="right"/>
        <w:rPr>
          <w:rFonts w:ascii="Times New Roman" w:hAnsi="Times New Roman"/>
          <w:sz w:val="20"/>
        </w:rPr>
      </w:pPr>
    </w:p>
    <w:p w14:paraId="5E15937E" w14:textId="77777777" w:rsidR="00940DCA" w:rsidRDefault="00940DCA" w:rsidP="00940DCA">
      <w:pPr>
        <w:jc w:val="right"/>
        <w:rPr>
          <w:rFonts w:ascii="Times New Roman" w:hAnsi="Times New Roman"/>
          <w:sz w:val="20"/>
        </w:rPr>
      </w:pPr>
    </w:p>
    <w:p w14:paraId="7CC81EDD" w14:textId="77777777" w:rsidR="00940DCA" w:rsidRPr="00940DCA" w:rsidRDefault="00940DCA" w:rsidP="00940DCA">
      <w:pPr>
        <w:suppressAutoHyphens/>
        <w:spacing w:before="120" w:line="240" w:lineRule="atLeast"/>
        <w:rPr>
          <w:rFonts w:ascii="Times New Roman" w:hAnsi="Times New Roman"/>
          <w:b/>
          <w:sz w:val="28"/>
          <w:szCs w:val="28"/>
          <w:lang w:val="en-GB" w:eastAsia="en-US"/>
        </w:rPr>
      </w:pPr>
      <w:r w:rsidRPr="00940DCA">
        <w:rPr>
          <w:rFonts w:ascii="Times New Roman" w:hAnsi="Times New Roman"/>
          <w:b/>
          <w:sz w:val="28"/>
          <w:szCs w:val="28"/>
          <w:lang w:val="en-GB" w:eastAsia="en-US"/>
        </w:rPr>
        <w:t>Economic Commission for Europe</w:t>
      </w:r>
    </w:p>
    <w:p w14:paraId="2454F92D" w14:textId="77777777" w:rsidR="00940DCA" w:rsidRPr="00940DCA" w:rsidRDefault="00940DCA" w:rsidP="00940DCA">
      <w:pPr>
        <w:suppressAutoHyphens/>
        <w:spacing w:before="120" w:line="240" w:lineRule="atLeast"/>
        <w:rPr>
          <w:rFonts w:ascii="Times New Roman" w:hAnsi="Times New Roman"/>
          <w:sz w:val="28"/>
          <w:szCs w:val="28"/>
          <w:lang w:val="en-GB" w:eastAsia="en-US"/>
        </w:rPr>
      </w:pPr>
      <w:r w:rsidRPr="00940DCA">
        <w:rPr>
          <w:rFonts w:ascii="Times New Roman" w:hAnsi="Times New Roman"/>
          <w:sz w:val="28"/>
          <w:szCs w:val="28"/>
          <w:lang w:val="en-GB" w:eastAsia="en-US"/>
        </w:rPr>
        <w:t>Steering Committee on Trade Capacity and Standards</w:t>
      </w:r>
    </w:p>
    <w:p w14:paraId="6AE7F49C" w14:textId="77777777" w:rsidR="00940DCA" w:rsidRPr="00940DCA" w:rsidRDefault="00940DCA" w:rsidP="00940DCA">
      <w:pPr>
        <w:suppressAutoHyphens/>
        <w:spacing w:before="120" w:line="240" w:lineRule="atLeast"/>
        <w:rPr>
          <w:rFonts w:ascii="Times New Roman" w:hAnsi="Times New Roman"/>
          <w:b/>
          <w:sz w:val="24"/>
          <w:szCs w:val="24"/>
          <w:lang w:val="en-GB" w:eastAsia="en-US"/>
        </w:rPr>
      </w:pPr>
      <w:r w:rsidRPr="00940DCA">
        <w:rPr>
          <w:rFonts w:ascii="Times New Roman" w:hAnsi="Times New Roman"/>
          <w:b/>
          <w:sz w:val="24"/>
          <w:szCs w:val="24"/>
          <w:lang w:val="en-GB" w:eastAsia="en-US"/>
        </w:rPr>
        <w:t>Working Party on Agricultural Quality Standards</w:t>
      </w:r>
    </w:p>
    <w:p w14:paraId="5F9FE687" w14:textId="77777777" w:rsidR="00940DCA" w:rsidRPr="00940DCA" w:rsidRDefault="00940DCA" w:rsidP="00940DCA">
      <w:pPr>
        <w:suppressAutoHyphens/>
        <w:spacing w:before="120" w:line="240" w:lineRule="atLeast"/>
        <w:rPr>
          <w:rFonts w:ascii="Times New Roman" w:hAnsi="Times New Roman"/>
          <w:b/>
          <w:sz w:val="20"/>
          <w:lang w:val="en-GB" w:eastAsia="en-US"/>
        </w:rPr>
      </w:pPr>
      <w:r w:rsidRPr="00940DCA">
        <w:rPr>
          <w:rFonts w:ascii="Times New Roman" w:hAnsi="Times New Roman"/>
          <w:b/>
          <w:sz w:val="20"/>
          <w:lang w:val="en-GB" w:eastAsia="en-US"/>
        </w:rPr>
        <w:t xml:space="preserve">Specialized Section on Standardization of Meat </w:t>
      </w:r>
    </w:p>
    <w:p w14:paraId="145BAB94" w14:textId="4A610074" w:rsidR="00940DCA" w:rsidRPr="00940DCA" w:rsidRDefault="00940DCA" w:rsidP="00940DCA">
      <w:pPr>
        <w:suppressAutoHyphens/>
        <w:spacing w:line="240" w:lineRule="atLeast"/>
        <w:rPr>
          <w:rFonts w:ascii="Times New Roman" w:hAnsi="Times New Roman"/>
          <w:b/>
          <w:sz w:val="20"/>
          <w:lang w:val="en-GB" w:eastAsia="en-US"/>
        </w:rPr>
      </w:pPr>
      <w:r w:rsidRPr="00940DCA">
        <w:rPr>
          <w:rFonts w:ascii="Times New Roman" w:hAnsi="Times New Roman"/>
          <w:b/>
          <w:sz w:val="20"/>
          <w:lang w:val="en-GB" w:eastAsia="en-US"/>
        </w:rPr>
        <w:t>Twenty-</w:t>
      </w:r>
      <w:r w:rsidR="00495D66">
        <w:rPr>
          <w:rFonts w:ascii="Times New Roman" w:hAnsi="Times New Roman"/>
          <w:b/>
          <w:sz w:val="20"/>
          <w:lang w:val="en-GB" w:eastAsia="en-US"/>
        </w:rPr>
        <w:t xml:space="preserve">eight </w:t>
      </w:r>
      <w:r w:rsidRPr="00940DCA">
        <w:rPr>
          <w:rFonts w:ascii="Times New Roman" w:hAnsi="Times New Roman"/>
          <w:b/>
          <w:sz w:val="20"/>
          <w:lang w:val="en-GB" w:eastAsia="en-US"/>
        </w:rPr>
        <w:t>session</w:t>
      </w:r>
    </w:p>
    <w:p w14:paraId="4B8CF1C8" w14:textId="0320EFD0" w:rsidR="00495D66" w:rsidRPr="00495D66" w:rsidRDefault="00495D66" w:rsidP="00495D66">
      <w:pPr>
        <w:suppressAutoHyphens/>
        <w:spacing w:line="240" w:lineRule="atLeast"/>
        <w:rPr>
          <w:rFonts w:ascii="Times New Roman" w:hAnsi="Times New Roman"/>
          <w:sz w:val="20"/>
          <w:lang w:val="en-GB" w:eastAsia="en-US"/>
        </w:rPr>
      </w:pPr>
      <w:r w:rsidRPr="00495D66">
        <w:rPr>
          <w:rFonts w:ascii="Times New Roman" w:hAnsi="Times New Roman"/>
          <w:sz w:val="20"/>
          <w:lang w:val="en-GB" w:eastAsia="en-US"/>
        </w:rPr>
        <w:t>Geneva, 12—13 October 2020</w:t>
      </w:r>
      <w:r>
        <w:rPr>
          <w:rFonts w:ascii="Times New Roman" w:hAnsi="Times New Roman"/>
          <w:sz w:val="20"/>
          <w:lang w:val="en-GB" w:eastAsia="en-US"/>
        </w:rPr>
        <w:t xml:space="preserve"> (online)</w:t>
      </w:r>
    </w:p>
    <w:p w14:paraId="7924548D" w14:textId="77777777" w:rsidR="00495D66" w:rsidRPr="00495D66" w:rsidRDefault="00495D66" w:rsidP="00495D66">
      <w:pPr>
        <w:suppressAutoHyphens/>
        <w:spacing w:line="240" w:lineRule="atLeast"/>
        <w:rPr>
          <w:rFonts w:ascii="Times New Roman" w:hAnsi="Times New Roman"/>
          <w:sz w:val="20"/>
          <w:lang w:val="en-GB" w:eastAsia="en-US"/>
        </w:rPr>
      </w:pPr>
      <w:r w:rsidRPr="00495D66">
        <w:rPr>
          <w:rFonts w:ascii="Times New Roman" w:hAnsi="Times New Roman"/>
          <w:sz w:val="20"/>
          <w:lang w:val="en-GB" w:eastAsia="en-US"/>
        </w:rPr>
        <w:t>Item 4 of the provisional agenda</w:t>
      </w:r>
    </w:p>
    <w:p w14:paraId="1BD1FAC6" w14:textId="0F98718B" w:rsidR="00940DCA" w:rsidRPr="00495D66" w:rsidRDefault="00495D66" w:rsidP="00495D66">
      <w:pPr>
        <w:suppressAutoHyphens/>
        <w:spacing w:line="240" w:lineRule="atLeast"/>
        <w:rPr>
          <w:rFonts w:ascii="Times New Roman" w:hAnsi="Times New Roman"/>
          <w:b/>
          <w:bCs/>
          <w:sz w:val="20"/>
          <w:lang w:val="en-GB" w:eastAsia="en-US"/>
        </w:rPr>
      </w:pPr>
      <w:r w:rsidRPr="00495D66">
        <w:rPr>
          <w:rFonts w:ascii="Times New Roman" w:hAnsi="Times New Roman"/>
          <w:b/>
          <w:bCs/>
          <w:sz w:val="20"/>
          <w:lang w:val="en-GB" w:eastAsia="en-US"/>
        </w:rPr>
        <w:t xml:space="preserve">Revision of the Standard for Porcine meat, carcases and cuts </w:t>
      </w:r>
      <w:r w:rsidR="00940DCA" w:rsidRPr="00495D66">
        <w:rPr>
          <w:rFonts w:ascii="Times New Roman" w:hAnsi="Times New Roman"/>
          <w:b/>
          <w:bCs/>
          <w:sz w:val="20"/>
          <w:lang w:val="en-GB" w:eastAsia="en-US"/>
        </w:rPr>
        <w:t>Geneva</w:t>
      </w:r>
    </w:p>
    <w:p w14:paraId="1BCECE03" w14:textId="77777777" w:rsidR="00940DCA" w:rsidRPr="004141BA" w:rsidRDefault="004141BA" w:rsidP="004141BA">
      <w:pPr>
        <w:pStyle w:val="HChG"/>
      </w:pPr>
      <w:r>
        <w:tab/>
      </w:r>
      <w:r>
        <w:tab/>
      </w:r>
      <w:r w:rsidR="00940DCA" w:rsidRPr="004141BA">
        <w:t>Revision of standards</w:t>
      </w:r>
    </w:p>
    <w:p w14:paraId="67C20960" w14:textId="13F03A52" w:rsidR="00940DCA" w:rsidRDefault="00886B0A" w:rsidP="00767517">
      <w:pPr>
        <w:pStyle w:val="SingleTxtG"/>
        <w:ind w:firstLine="306"/>
      </w:pPr>
      <w:r w:rsidRPr="00886B0A">
        <w:t xml:space="preserve">The following comments </w:t>
      </w:r>
      <w:r>
        <w:t xml:space="preserve">are submitted by the delegation </w:t>
      </w:r>
      <w:r w:rsidR="00495D66">
        <w:t xml:space="preserve">from Serbia </w:t>
      </w:r>
    </w:p>
    <w:p w14:paraId="006D3D1C" w14:textId="3A4FEAC6" w:rsidR="00495D66" w:rsidRPr="00495D66" w:rsidRDefault="004141BA" w:rsidP="00495D66">
      <w:pPr>
        <w:pStyle w:val="H23G"/>
      </w:pPr>
      <w:r>
        <w:tab/>
      </w:r>
      <w:r w:rsidR="00495D66">
        <w:tab/>
      </w:r>
      <w:r w:rsidR="00495D66" w:rsidRPr="00495D66">
        <w:t>1. Marbled pork and revision of pork standards</w:t>
      </w:r>
    </w:p>
    <w:p w14:paraId="1D7767BD" w14:textId="10D22DB9" w:rsidR="00495D66" w:rsidRDefault="00495D66" w:rsidP="00495D66">
      <w:pPr>
        <w:pStyle w:val="SingleTxtG"/>
      </w:pPr>
      <w:r>
        <w:t>Colour</w:t>
      </w:r>
      <w:r>
        <w:t xml:space="preserve"> and marbling standards exist, but permission </w:t>
      </w:r>
      <w:r>
        <w:t xml:space="preserve">is needed </w:t>
      </w:r>
      <w:r>
        <w:t>to use them.</w:t>
      </w:r>
    </w:p>
    <w:p w14:paraId="2B04E8F3" w14:textId="77777777" w:rsidR="00495D66" w:rsidRDefault="00495D66" w:rsidP="00495D66">
      <w:pPr>
        <w:jc w:val="both"/>
      </w:pPr>
    </w:p>
    <w:tbl>
      <w:tblPr>
        <w:tblStyle w:val="TableGrid"/>
        <w:tblW w:w="0" w:type="auto"/>
        <w:tblLook w:val="04A0" w:firstRow="1" w:lastRow="0" w:firstColumn="1" w:lastColumn="0" w:noHBand="0" w:noVBand="1"/>
      </w:tblPr>
      <w:tblGrid>
        <w:gridCol w:w="9350"/>
      </w:tblGrid>
      <w:tr w:rsidR="00495D66" w14:paraId="4898FEEF" w14:textId="77777777" w:rsidTr="004510B2">
        <w:tc>
          <w:tcPr>
            <w:tcW w:w="10790" w:type="dxa"/>
          </w:tcPr>
          <w:p w14:paraId="76698179" w14:textId="77777777" w:rsidR="00495D66" w:rsidRDefault="00495D66" w:rsidP="004510B2">
            <w:pPr>
              <w:jc w:val="center"/>
              <w:rPr>
                <w:noProof/>
              </w:rPr>
            </w:pPr>
            <w:r>
              <w:rPr>
                <w:noProof/>
              </w:rPr>
              <w:t>Color (with 5 degrees)</w:t>
            </w:r>
          </w:p>
        </w:tc>
      </w:tr>
      <w:tr w:rsidR="00495D66" w14:paraId="2C19EB65" w14:textId="77777777" w:rsidTr="004510B2">
        <w:tc>
          <w:tcPr>
            <w:tcW w:w="10790" w:type="dxa"/>
          </w:tcPr>
          <w:p w14:paraId="3078F9F5" w14:textId="77777777" w:rsidR="00495D66" w:rsidRDefault="00495D66" w:rsidP="004510B2">
            <w:pPr>
              <w:jc w:val="center"/>
            </w:pPr>
            <w:r>
              <w:rPr>
                <w:noProof/>
              </w:rPr>
              <w:drawing>
                <wp:inline distT="0" distB="0" distL="0" distR="0" wp14:anchorId="76F2AEF3" wp14:editId="572E9E75">
                  <wp:extent cx="6133465" cy="10382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3465" cy="1038225"/>
                          </a:xfrm>
                          <a:prstGeom prst="rect">
                            <a:avLst/>
                          </a:prstGeom>
                          <a:noFill/>
                        </pic:spPr>
                      </pic:pic>
                    </a:graphicData>
                  </a:graphic>
                </wp:inline>
              </w:drawing>
            </w:r>
          </w:p>
        </w:tc>
      </w:tr>
      <w:tr w:rsidR="00495D66" w14:paraId="31A39811" w14:textId="77777777" w:rsidTr="004510B2">
        <w:tc>
          <w:tcPr>
            <w:tcW w:w="10790" w:type="dxa"/>
          </w:tcPr>
          <w:p w14:paraId="79684ECA" w14:textId="77777777" w:rsidR="00495D66" w:rsidRDefault="00495D66" w:rsidP="004510B2">
            <w:pPr>
              <w:jc w:val="center"/>
            </w:pPr>
            <w:proofErr w:type="spellStart"/>
            <w:r>
              <w:t>Marbling</w:t>
            </w:r>
            <w:proofErr w:type="spellEnd"/>
            <w:r w:rsidRPr="003A5271">
              <w:t xml:space="preserve"> (</w:t>
            </w:r>
            <w:proofErr w:type="spellStart"/>
            <w:r w:rsidRPr="003A5271">
              <w:t>with</w:t>
            </w:r>
            <w:proofErr w:type="spellEnd"/>
            <w:r w:rsidRPr="003A5271">
              <w:t xml:space="preserve"> 5 </w:t>
            </w:r>
            <w:proofErr w:type="spellStart"/>
            <w:r w:rsidRPr="003A5271">
              <w:t>degrees</w:t>
            </w:r>
            <w:proofErr w:type="spellEnd"/>
            <w:r w:rsidRPr="003A5271">
              <w:t>)</w:t>
            </w:r>
          </w:p>
        </w:tc>
      </w:tr>
      <w:tr w:rsidR="00495D66" w14:paraId="5D2402C9" w14:textId="77777777" w:rsidTr="004510B2">
        <w:tc>
          <w:tcPr>
            <w:tcW w:w="10790" w:type="dxa"/>
          </w:tcPr>
          <w:p w14:paraId="6C0D813D" w14:textId="77777777" w:rsidR="00495D66" w:rsidRDefault="00495D66" w:rsidP="004510B2">
            <w:pPr>
              <w:jc w:val="center"/>
            </w:pPr>
            <w:r>
              <w:rPr>
                <w:noProof/>
              </w:rPr>
              <w:drawing>
                <wp:inline distT="0" distB="0" distL="0" distR="0" wp14:anchorId="3281C3D9" wp14:editId="37433167">
                  <wp:extent cx="6133465" cy="10096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465" cy="1009650"/>
                          </a:xfrm>
                          <a:prstGeom prst="rect">
                            <a:avLst/>
                          </a:prstGeom>
                          <a:noFill/>
                        </pic:spPr>
                      </pic:pic>
                    </a:graphicData>
                  </a:graphic>
                </wp:inline>
              </w:drawing>
            </w:r>
          </w:p>
        </w:tc>
      </w:tr>
      <w:tr w:rsidR="00495D66" w14:paraId="10BDE38F" w14:textId="77777777" w:rsidTr="004510B2">
        <w:tc>
          <w:tcPr>
            <w:tcW w:w="10790" w:type="dxa"/>
          </w:tcPr>
          <w:p w14:paraId="498BBC26" w14:textId="77777777" w:rsidR="00495D66" w:rsidRDefault="00495D66" w:rsidP="004510B2">
            <w:pPr>
              <w:jc w:val="both"/>
            </w:pPr>
          </w:p>
        </w:tc>
      </w:tr>
      <w:tr w:rsidR="00495D66" w14:paraId="3DEE730A" w14:textId="77777777" w:rsidTr="004510B2">
        <w:tc>
          <w:tcPr>
            <w:tcW w:w="10790" w:type="dxa"/>
          </w:tcPr>
          <w:p w14:paraId="5FCFB20C" w14:textId="6EEE1BC8" w:rsidR="00495D66" w:rsidRDefault="00495D66" w:rsidP="004510B2">
            <w:pPr>
              <w:jc w:val="center"/>
            </w:pPr>
            <w:proofErr w:type="spellStart"/>
            <w:r>
              <w:t>O</w:t>
            </w:r>
            <w:r>
              <w:t>r</w:t>
            </w:r>
            <w:proofErr w:type="spellEnd"/>
          </w:p>
        </w:tc>
      </w:tr>
      <w:tr w:rsidR="00495D66" w14:paraId="0A1A8314" w14:textId="77777777" w:rsidTr="004510B2">
        <w:tc>
          <w:tcPr>
            <w:tcW w:w="10790" w:type="dxa"/>
          </w:tcPr>
          <w:p w14:paraId="7FC02A0F" w14:textId="77777777" w:rsidR="00495D66" w:rsidRDefault="00495D66" w:rsidP="004510B2">
            <w:pPr>
              <w:jc w:val="center"/>
            </w:pPr>
            <w:r w:rsidRPr="003A5271">
              <w:t>Color (</w:t>
            </w:r>
            <w:proofErr w:type="spellStart"/>
            <w:r w:rsidRPr="003A5271">
              <w:t>with</w:t>
            </w:r>
            <w:proofErr w:type="spellEnd"/>
            <w:r w:rsidRPr="003A5271">
              <w:t xml:space="preserve"> </w:t>
            </w:r>
            <w:r>
              <w:t>6</w:t>
            </w:r>
            <w:r w:rsidRPr="003A5271">
              <w:t xml:space="preserve"> </w:t>
            </w:r>
            <w:proofErr w:type="spellStart"/>
            <w:r w:rsidRPr="003A5271">
              <w:t>degrees</w:t>
            </w:r>
            <w:proofErr w:type="spellEnd"/>
            <w:r w:rsidRPr="003A5271">
              <w:t>)</w:t>
            </w:r>
          </w:p>
        </w:tc>
      </w:tr>
      <w:tr w:rsidR="00495D66" w14:paraId="04353FAA" w14:textId="77777777" w:rsidTr="004510B2">
        <w:tc>
          <w:tcPr>
            <w:tcW w:w="10790" w:type="dxa"/>
          </w:tcPr>
          <w:p w14:paraId="36235309" w14:textId="77777777" w:rsidR="00495D66" w:rsidRDefault="00495D66" w:rsidP="004510B2">
            <w:pPr>
              <w:jc w:val="center"/>
            </w:pPr>
            <w:r>
              <w:rPr>
                <w:noProof/>
              </w:rPr>
              <w:lastRenderedPageBreak/>
              <w:drawing>
                <wp:inline distT="0" distB="0" distL="0" distR="0" wp14:anchorId="27CB0088" wp14:editId="31E01927">
                  <wp:extent cx="3994030" cy="1821948"/>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183" cy="1825667"/>
                          </a:xfrm>
                          <a:prstGeom prst="rect">
                            <a:avLst/>
                          </a:prstGeom>
                          <a:noFill/>
                        </pic:spPr>
                      </pic:pic>
                    </a:graphicData>
                  </a:graphic>
                </wp:inline>
              </w:drawing>
            </w:r>
          </w:p>
        </w:tc>
      </w:tr>
      <w:tr w:rsidR="00495D66" w14:paraId="3F0AF574" w14:textId="77777777" w:rsidTr="004510B2">
        <w:tc>
          <w:tcPr>
            <w:tcW w:w="10790" w:type="dxa"/>
          </w:tcPr>
          <w:p w14:paraId="09D80380" w14:textId="77777777" w:rsidR="00495D66" w:rsidRDefault="00495D66" w:rsidP="004510B2">
            <w:pPr>
              <w:jc w:val="center"/>
            </w:pPr>
            <w:proofErr w:type="spellStart"/>
            <w:r>
              <w:t>Marbling</w:t>
            </w:r>
            <w:proofErr w:type="spellEnd"/>
            <w:r w:rsidRPr="003A5271">
              <w:t xml:space="preserve"> (</w:t>
            </w:r>
            <w:proofErr w:type="spellStart"/>
            <w:r w:rsidRPr="003A5271">
              <w:t>with</w:t>
            </w:r>
            <w:proofErr w:type="spellEnd"/>
            <w:r w:rsidRPr="003A5271">
              <w:t xml:space="preserve"> </w:t>
            </w:r>
            <w:r>
              <w:t>1-6, 10</w:t>
            </w:r>
            <w:r w:rsidRPr="003A5271">
              <w:t xml:space="preserve"> </w:t>
            </w:r>
            <w:proofErr w:type="spellStart"/>
            <w:r w:rsidRPr="003A5271">
              <w:t>degrees</w:t>
            </w:r>
            <w:proofErr w:type="spellEnd"/>
            <w:r w:rsidRPr="003A5271">
              <w:t>)</w:t>
            </w:r>
          </w:p>
        </w:tc>
      </w:tr>
      <w:tr w:rsidR="00495D66" w14:paraId="54DB2A4D" w14:textId="77777777" w:rsidTr="004510B2">
        <w:tc>
          <w:tcPr>
            <w:tcW w:w="10790" w:type="dxa"/>
          </w:tcPr>
          <w:p w14:paraId="22774693" w14:textId="77777777" w:rsidR="00495D66" w:rsidRDefault="00495D66" w:rsidP="004510B2">
            <w:pPr>
              <w:jc w:val="center"/>
            </w:pPr>
            <w:r>
              <w:rPr>
                <w:noProof/>
              </w:rPr>
              <w:drawing>
                <wp:inline distT="0" distB="0" distL="0" distR="0" wp14:anchorId="7D31CC66" wp14:editId="7A7B6015">
                  <wp:extent cx="3838755" cy="2137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945" cy="2142930"/>
                          </a:xfrm>
                          <a:prstGeom prst="rect">
                            <a:avLst/>
                          </a:prstGeom>
                          <a:noFill/>
                        </pic:spPr>
                      </pic:pic>
                    </a:graphicData>
                  </a:graphic>
                </wp:inline>
              </w:drawing>
            </w:r>
          </w:p>
        </w:tc>
      </w:tr>
    </w:tbl>
    <w:p w14:paraId="5E7A32D5" w14:textId="01CF2182" w:rsidR="00495D66" w:rsidRDefault="00495D66" w:rsidP="00495D66">
      <w:pPr>
        <w:pStyle w:val="SingleTxtG"/>
      </w:pPr>
    </w:p>
    <w:p w14:paraId="529F5874" w14:textId="77777777" w:rsidR="00495D66" w:rsidRPr="00495D66" w:rsidRDefault="00495D66" w:rsidP="00495D66">
      <w:pPr>
        <w:pStyle w:val="SingleTxtG"/>
        <w:rPr>
          <w:b/>
          <w:bCs/>
        </w:rPr>
      </w:pPr>
      <w:r w:rsidRPr="00495D66">
        <w:rPr>
          <w:b/>
          <w:bCs/>
        </w:rPr>
        <w:t>2. Quality of porcine and bovine meat fat</w:t>
      </w:r>
    </w:p>
    <w:p w14:paraId="1E62A614" w14:textId="77777777" w:rsidR="00495D66" w:rsidRDefault="00495D66" w:rsidP="00495D66">
      <w:pPr>
        <w:pStyle w:val="SingleTxtG"/>
      </w:pPr>
      <w:r>
        <w:t>UNECE standards are standards for carcasses and cuts, but not for meat quality or for lean-to-fat ratio in cuts (muscles).</w:t>
      </w:r>
    </w:p>
    <w:p w14:paraId="02451E38" w14:textId="32B1258B" w:rsidR="00495D66" w:rsidRDefault="00495D66" w:rsidP="00495D66">
      <w:pPr>
        <w:pStyle w:val="SingleTxtG"/>
      </w:pPr>
      <w:r>
        <w:t xml:space="preserve">The lean-to-fat ratio in skeletal muscles (not for carcasses and cuts) is defined in </w:t>
      </w:r>
      <w:r w:rsidR="002E3418">
        <w:t xml:space="preserve">e.g. </w:t>
      </w:r>
      <w:r>
        <w:t>‘COMMISSION DIRECTIVE 2001/101/EC of 26 November 2001 amending Directive 2000/13/EC of the European Parliament and of the Council on the approximation of the laws of the Member States relating to the labelling, presentation and advertising of foodstuffs. Official Journal of the European Communities L 310/19.’</w:t>
      </w:r>
      <w:r w:rsidR="002E3418">
        <w:t xml:space="preserve"> (see below)</w:t>
      </w:r>
    </w:p>
    <w:p w14:paraId="568E19AE" w14:textId="28FAFD4D" w:rsidR="00495D66" w:rsidRDefault="00495D66" w:rsidP="00495D66">
      <w:pPr>
        <w:pStyle w:val="SingleTxtG"/>
      </w:pPr>
      <w:r w:rsidRPr="007511D6">
        <w:rPr>
          <w:noProof/>
        </w:rPr>
        <w:lastRenderedPageBreak/>
        <w:drawing>
          <wp:anchor distT="0" distB="0" distL="114300" distR="114300" simplePos="0" relativeHeight="251658240" behindDoc="1" locked="0" layoutInCell="1" allowOverlap="1" wp14:anchorId="2B949D61" wp14:editId="3E210E4D">
            <wp:simplePos x="0" y="0"/>
            <wp:positionH relativeFrom="column">
              <wp:posOffset>-38100</wp:posOffset>
            </wp:positionH>
            <wp:positionV relativeFrom="paragraph">
              <wp:posOffset>31750</wp:posOffset>
            </wp:positionV>
            <wp:extent cx="5943600" cy="4363593"/>
            <wp:effectExtent l="0" t="0" r="0" b="0"/>
            <wp:wrapTight wrapText="bothSides">
              <wp:wrapPolygon edited="0">
                <wp:start x="0" y="0"/>
                <wp:lineTo x="0" y="21503"/>
                <wp:lineTo x="21531" y="2150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363593"/>
                    </a:xfrm>
                    <a:prstGeom prst="rect">
                      <a:avLst/>
                    </a:prstGeom>
                  </pic:spPr>
                </pic:pic>
              </a:graphicData>
            </a:graphic>
          </wp:anchor>
        </w:drawing>
      </w:r>
    </w:p>
    <w:p w14:paraId="50E7143F" w14:textId="215DD2D4" w:rsidR="00495D66" w:rsidRPr="00495D66" w:rsidRDefault="00495D66" w:rsidP="00495D66">
      <w:pPr>
        <w:pStyle w:val="SingleTxtG"/>
        <w:rPr>
          <w:b/>
          <w:bCs/>
        </w:rPr>
      </w:pPr>
      <w:r w:rsidRPr="00495D66">
        <w:rPr>
          <w:b/>
          <w:bCs/>
        </w:rPr>
        <w:t>3. Meat and bone meal quality</w:t>
      </w:r>
      <w:r>
        <w:rPr>
          <w:b/>
          <w:bCs/>
        </w:rPr>
        <w:t xml:space="preserve"> and</w:t>
      </w:r>
    </w:p>
    <w:p w14:paraId="4C0084AF" w14:textId="77777777" w:rsidR="00495D66" w:rsidRPr="00495D66" w:rsidRDefault="00495D66" w:rsidP="00495D66">
      <w:pPr>
        <w:pStyle w:val="SingleTxtG"/>
        <w:rPr>
          <w:b/>
          <w:bCs/>
        </w:rPr>
      </w:pPr>
      <w:r w:rsidRPr="00495D66">
        <w:rPr>
          <w:b/>
          <w:bCs/>
        </w:rPr>
        <w:t>4. Animal protein from bones and other slaughter products</w:t>
      </w:r>
    </w:p>
    <w:p w14:paraId="1244EF1B" w14:textId="328409F9" w:rsidR="00495D66" w:rsidRDefault="002E3418" w:rsidP="00495D66">
      <w:pPr>
        <w:pStyle w:val="SingleTxtG"/>
      </w:pPr>
      <w:r>
        <w:t xml:space="preserve">The UNECE Specialized Section for Standardization of Meat develops </w:t>
      </w:r>
      <w:r w:rsidR="00495D66" w:rsidRPr="002E3418">
        <w:rPr>
          <w:b/>
          <w:bCs/>
        </w:rPr>
        <w:t xml:space="preserve">UNECE standards </w:t>
      </w:r>
      <w:r w:rsidRPr="002E3418">
        <w:rPr>
          <w:b/>
          <w:bCs/>
        </w:rPr>
        <w:t xml:space="preserve">for </w:t>
      </w:r>
      <w:r w:rsidR="00495D66" w:rsidRPr="002E3418">
        <w:rPr>
          <w:b/>
          <w:bCs/>
        </w:rPr>
        <w:t>meat products (for human consumption).</w:t>
      </w:r>
      <w:r w:rsidR="00495D66">
        <w:t xml:space="preserve"> The two </w:t>
      </w:r>
      <w:r>
        <w:t xml:space="preserve">proposed new </w:t>
      </w:r>
      <w:r w:rsidR="00495D66">
        <w:t>standards (‘Meat and bone meal quality’ and ‘Animal protein from bones and other slaughter products’) require fodder experts (</w:t>
      </w:r>
      <w:r>
        <w:t xml:space="preserve">and </w:t>
      </w:r>
      <w:r w:rsidR="00495D66">
        <w:t xml:space="preserve">e.g. </w:t>
      </w:r>
      <w:r>
        <w:t xml:space="preserve">a </w:t>
      </w:r>
      <w:r w:rsidR="00495D66">
        <w:t xml:space="preserve">new UNECE group), because </w:t>
      </w:r>
      <w:r>
        <w:t xml:space="preserve">neither are </w:t>
      </w:r>
      <w:r w:rsidR="00495D66">
        <w:t>intended for human consumption.</w:t>
      </w:r>
    </w:p>
    <w:p w14:paraId="16DE0E71" w14:textId="77777777" w:rsidR="00495D66" w:rsidRDefault="00495D66" w:rsidP="00495D66">
      <w:pPr>
        <w:pStyle w:val="SingleTxtG"/>
      </w:pPr>
      <w:bookmarkStart w:id="0" w:name="_GoBack"/>
      <w:bookmarkEnd w:id="0"/>
    </w:p>
    <w:p w14:paraId="371B4B22" w14:textId="77777777" w:rsidR="00F162D9" w:rsidRDefault="00F162D9" w:rsidP="00D60090">
      <w:pPr>
        <w:pStyle w:val="SingleTxtG"/>
        <w:ind w:firstLine="306"/>
      </w:pPr>
    </w:p>
    <w:p w14:paraId="2D1E35B0" w14:textId="77777777" w:rsidR="00F162D9" w:rsidRPr="00F162D9" w:rsidRDefault="00F162D9" w:rsidP="00F162D9">
      <w:pPr>
        <w:pStyle w:val="SingleTxtG"/>
        <w:ind w:firstLine="306"/>
        <w:jc w:val="center"/>
        <w:rPr>
          <w:lang w:val="en-US"/>
        </w:rPr>
      </w:pPr>
      <w:r>
        <w:rPr>
          <w:lang w:val="en-US"/>
        </w:rPr>
        <w:t>____________</w:t>
      </w:r>
    </w:p>
    <w:sectPr w:rsidR="00F162D9" w:rsidRPr="00F162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93A6" w14:textId="77777777" w:rsidR="00886B0A" w:rsidRDefault="00886B0A" w:rsidP="00886B0A">
      <w:r>
        <w:separator/>
      </w:r>
    </w:p>
  </w:endnote>
  <w:endnote w:type="continuationSeparator" w:id="0">
    <w:p w14:paraId="6E65C28C" w14:textId="77777777" w:rsidR="00886B0A" w:rsidRDefault="00886B0A" w:rsidP="0088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6EB6" w14:textId="77777777" w:rsidR="00886B0A" w:rsidRDefault="00886B0A" w:rsidP="00886B0A">
      <w:r>
        <w:separator/>
      </w:r>
    </w:p>
  </w:footnote>
  <w:footnote w:type="continuationSeparator" w:id="0">
    <w:p w14:paraId="6B7845CC" w14:textId="77777777" w:rsidR="00886B0A" w:rsidRDefault="00886B0A" w:rsidP="00886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CA"/>
    <w:rsid w:val="0003388B"/>
    <w:rsid w:val="001368DE"/>
    <w:rsid w:val="00194AEC"/>
    <w:rsid w:val="001E1910"/>
    <w:rsid w:val="001F6D95"/>
    <w:rsid w:val="00273B67"/>
    <w:rsid w:val="002E3418"/>
    <w:rsid w:val="0041215A"/>
    <w:rsid w:val="004141BA"/>
    <w:rsid w:val="0042772C"/>
    <w:rsid w:val="004930B7"/>
    <w:rsid w:val="00495D66"/>
    <w:rsid w:val="00496D34"/>
    <w:rsid w:val="00552D5A"/>
    <w:rsid w:val="0056348D"/>
    <w:rsid w:val="005835E9"/>
    <w:rsid w:val="00591F3B"/>
    <w:rsid w:val="00600740"/>
    <w:rsid w:val="006774FD"/>
    <w:rsid w:val="006A6C77"/>
    <w:rsid w:val="00713105"/>
    <w:rsid w:val="00767517"/>
    <w:rsid w:val="007D7581"/>
    <w:rsid w:val="00873F07"/>
    <w:rsid w:val="00886B0A"/>
    <w:rsid w:val="008F2673"/>
    <w:rsid w:val="0091636B"/>
    <w:rsid w:val="00940DCA"/>
    <w:rsid w:val="009A0F8A"/>
    <w:rsid w:val="00A42665"/>
    <w:rsid w:val="00A51C6F"/>
    <w:rsid w:val="00AA2D35"/>
    <w:rsid w:val="00AF1EA8"/>
    <w:rsid w:val="00B317C5"/>
    <w:rsid w:val="00C13908"/>
    <w:rsid w:val="00C81F88"/>
    <w:rsid w:val="00D1184C"/>
    <w:rsid w:val="00D60090"/>
    <w:rsid w:val="00E11A28"/>
    <w:rsid w:val="00ED369F"/>
    <w:rsid w:val="00F162D9"/>
    <w:rsid w:val="00F53516"/>
    <w:rsid w:val="00FB5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362BE"/>
  <w15:chartTrackingRefBased/>
  <w15:docId w15:val="{91C02C97-6125-4A12-8F8D-71B223DD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CA"/>
    <w:pPr>
      <w:spacing w:after="0" w:line="240" w:lineRule="auto"/>
    </w:pPr>
    <w:rPr>
      <w:rFonts w:ascii="Arial" w:eastAsia="Times New Roman"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B0A"/>
    <w:pPr>
      <w:tabs>
        <w:tab w:val="center" w:pos="4680"/>
        <w:tab w:val="right" w:pos="9360"/>
      </w:tabs>
    </w:pPr>
  </w:style>
  <w:style w:type="character" w:customStyle="1" w:styleId="HeaderChar">
    <w:name w:val="Header Char"/>
    <w:basedOn w:val="DefaultParagraphFont"/>
    <w:link w:val="Header"/>
    <w:uiPriority w:val="99"/>
    <w:rsid w:val="00886B0A"/>
    <w:rPr>
      <w:rFonts w:ascii="Arial" w:eastAsia="Times New Roman" w:hAnsi="Arial" w:cs="Times New Roman"/>
      <w:szCs w:val="20"/>
      <w:lang w:val="de-DE" w:eastAsia="de-DE"/>
    </w:rPr>
  </w:style>
  <w:style w:type="paragraph" w:styleId="Footer">
    <w:name w:val="footer"/>
    <w:basedOn w:val="Normal"/>
    <w:link w:val="FooterChar"/>
    <w:uiPriority w:val="99"/>
    <w:unhideWhenUsed/>
    <w:rsid w:val="00886B0A"/>
    <w:pPr>
      <w:tabs>
        <w:tab w:val="center" w:pos="4680"/>
        <w:tab w:val="right" w:pos="9360"/>
      </w:tabs>
    </w:pPr>
  </w:style>
  <w:style w:type="character" w:customStyle="1" w:styleId="FooterChar">
    <w:name w:val="Footer Char"/>
    <w:basedOn w:val="DefaultParagraphFont"/>
    <w:link w:val="Footer"/>
    <w:uiPriority w:val="99"/>
    <w:rsid w:val="00886B0A"/>
    <w:rPr>
      <w:rFonts w:ascii="Arial" w:eastAsia="Times New Roman" w:hAnsi="Arial" w:cs="Times New Roman"/>
      <w:szCs w:val="20"/>
      <w:lang w:val="de-DE" w:eastAsia="de-DE"/>
    </w:rPr>
  </w:style>
  <w:style w:type="paragraph" w:customStyle="1" w:styleId="SingleTxtG">
    <w:name w:val="_ Single Txt_G"/>
    <w:basedOn w:val="Normal"/>
    <w:link w:val="SingleTxtGChar"/>
    <w:rsid w:val="004141BA"/>
    <w:pPr>
      <w:suppressAutoHyphens/>
      <w:spacing w:after="120" w:line="240" w:lineRule="atLeast"/>
      <w:ind w:left="1134" w:right="1134"/>
      <w:jc w:val="both"/>
    </w:pPr>
    <w:rPr>
      <w:rFonts w:ascii="Times New Roman" w:hAnsi="Times New Roman"/>
      <w:sz w:val="20"/>
      <w:lang w:val="en-GB" w:eastAsia="en-US"/>
    </w:rPr>
  </w:style>
  <w:style w:type="character" w:customStyle="1" w:styleId="SingleTxtGChar">
    <w:name w:val="_ Single Txt_G Char"/>
    <w:link w:val="SingleTxtG"/>
    <w:rsid w:val="004141BA"/>
    <w:rPr>
      <w:rFonts w:ascii="Times New Roman" w:eastAsia="Times New Roman" w:hAnsi="Times New Roman" w:cs="Times New Roman"/>
      <w:sz w:val="20"/>
      <w:szCs w:val="20"/>
      <w:lang w:val="en-GB" w:eastAsia="en-US"/>
    </w:rPr>
  </w:style>
  <w:style w:type="paragraph" w:customStyle="1" w:styleId="HChG">
    <w:name w:val="_ H _Ch_G"/>
    <w:basedOn w:val="Normal"/>
    <w:next w:val="Normal"/>
    <w:rsid w:val="004141BA"/>
    <w:pPr>
      <w:keepNext/>
      <w:keepLines/>
      <w:tabs>
        <w:tab w:val="right" w:pos="851"/>
      </w:tabs>
      <w:suppressAutoHyphens/>
      <w:spacing w:before="360" w:after="240" w:line="300" w:lineRule="exact"/>
      <w:ind w:left="1134" w:right="1134" w:hanging="1134"/>
    </w:pPr>
    <w:rPr>
      <w:rFonts w:ascii="Times New Roman" w:hAnsi="Times New Roman"/>
      <w:b/>
      <w:sz w:val="28"/>
      <w:lang w:val="en-GB" w:eastAsia="en-US"/>
    </w:rPr>
  </w:style>
  <w:style w:type="paragraph" w:customStyle="1" w:styleId="H23G">
    <w:name w:val="_ H_2/3_G"/>
    <w:basedOn w:val="Normal"/>
    <w:next w:val="Normal"/>
    <w:rsid w:val="004141BA"/>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styleId="BalloonText">
    <w:name w:val="Balloon Text"/>
    <w:basedOn w:val="Normal"/>
    <w:link w:val="BalloonTextChar"/>
    <w:uiPriority w:val="99"/>
    <w:semiHidden/>
    <w:unhideWhenUsed/>
    <w:rsid w:val="00B31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C5"/>
    <w:rPr>
      <w:rFonts w:ascii="Segoe UI" w:eastAsia="Times New Roman" w:hAnsi="Segoe UI" w:cs="Segoe UI"/>
      <w:sz w:val="18"/>
      <w:szCs w:val="18"/>
      <w:lang w:val="de-DE" w:eastAsia="de-DE"/>
    </w:rPr>
  </w:style>
  <w:style w:type="table" w:styleId="TableGrid">
    <w:name w:val="Table Grid"/>
    <w:basedOn w:val="TableNormal"/>
    <w:uiPriority w:val="39"/>
    <w:rsid w:val="00495D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Hatem</dc:creator>
  <cp:keywords/>
  <dc:description/>
  <cp:lastModifiedBy>Liliana Annovazzi-Jakab</cp:lastModifiedBy>
  <cp:revision>2</cp:revision>
  <cp:lastPrinted>2018-06-29T12:42:00Z</cp:lastPrinted>
  <dcterms:created xsi:type="dcterms:W3CDTF">2020-09-28T13:09:00Z</dcterms:created>
  <dcterms:modified xsi:type="dcterms:W3CDTF">2020-09-28T13:09:00Z</dcterms:modified>
</cp:coreProperties>
</file>