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AE8E" w14:textId="1D70235B" w:rsidR="0016598E" w:rsidRPr="003704A8" w:rsidRDefault="0016598E" w:rsidP="0016598E">
      <w:pPr>
        <w:spacing w:line="240" w:lineRule="auto"/>
        <w:jc w:val="right"/>
        <w:rPr>
          <w:lang w:val="en-GB"/>
        </w:rPr>
      </w:pPr>
      <w:r w:rsidRPr="003704A8">
        <w:rPr>
          <w:lang w:val="en-GB"/>
        </w:rPr>
        <w:t>ECE/CTCS/WP.7/GE.</w:t>
      </w:r>
      <w:r w:rsidR="00673013">
        <w:rPr>
          <w:lang w:val="en-GB"/>
        </w:rPr>
        <w:t>2</w:t>
      </w:r>
      <w:r w:rsidRPr="003704A8">
        <w:rPr>
          <w:lang w:val="en-GB"/>
        </w:rPr>
        <w:t>/20</w:t>
      </w:r>
      <w:r w:rsidR="003704A8" w:rsidRPr="003704A8">
        <w:rPr>
          <w:lang w:val="en-GB"/>
        </w:rPr>
        <w:t>20</w:t>
      </w:r>
      <w:r w:rsidRPr="003704A8">
        <w:rPr>
          <w:lang w:val="en-GB"/>
        </w:rPr>
        <w:t>/INF.</w:t>
      </w:r>
      <w:r w:rsidR="003704A8">
        <w:rPr>
          <w:lang w:val="en-GB"/>
        </w:rPr>
        <w:t>1</w:t>
      </w:r>
    </w:p>
    <w:p w14:paraId="429E8462" w14:textId="1D046237" w:rsidR="0016598E" w:rsidRPr="003704A8" w:rsidRDefault="0016598E" w:rsidP="0016598E">
      <w:pPr>
        <w:spacing w:line="240" w:lineRule="auto"/>
        <w:jc w:val="right"/>
        <w:rPr>
          <w:lang w:val="en-GB"/>
        </w:rPr>
      </w:pPr>
      <w:r w:rsidRPr="003704A8">
        <w:rPr>
          <w:lang w:val="en-GB"/>
        </w:rPr>
        <w:t>2</w:t>
      </w:r>
      <w:r w:rsidR="00673013">
        <w:rPr>
          <w:lang w:val="en-GB"/>
        </w:rPr>
        <w:t>7</w:t>
      </w:r>
      <w:r w:rsidRPr="003704A8">
        <w:rPr>
          <w:lang w:val="en-GB"/>
        </w:rPr>
        <w:t xml:space="preserve"> </w:t>
      </w:r>
      <w:r w:rsidR="00673013">
        <w:rPr>
          <w:lang w:val="en-GB"/>
        </w:rPr>
        <w:t>May</w:t>
      </w:r>
      <w:r w:rsidRPr="003704A8">
        <w:rPr>
          <w:lang w:val="en-GB"/>
        </w:rPr>
        <w:t xml:space="preserve"> 20</w:t>
      </w:r>
      <w:r w:rsidR="003704A8">
        <w:rPr>
          <w:lang w:val="en-GB"/>
        </w:rPr>
        <w:t>20</w:t>
      </w:r>
    </w:p>
    <w:p w14:paraId="564974BF" w14:textId="77777777" w:rsidR="0016598E" w:rsidRPr="003704A8" w:rsidRDefault="0016598E" w:rsidP="0016598E">
      <w:pPr>
        <w:spacing w:line="240" w:lineRule="auto"/>
        <w:jc w:val="right"/>
        <w:rPr>
          <w:lang w:val="en-GB"/>
        </w:rPr>
      </w:pPr>
      <w:r w:rsidRPr="003704A8">
        <w:rPr>
          <w:lang w:val="en-GB"/>
        </w:rPr>
        <w:t>English</w:t>
      </w:r>
    </w:p>
    <w:p w14:paraId="5B10B8B9" w14:textId="77777777" w:rsidR="0016598E" w:rsidRPr="003704A8" w:rsidRDefault="0016598E" w:rsidP="0016598E">
      <w:pPr>
        <w:spacing w:line="240" w:lineRule="auto"/>
        <w:rPr>
          <w:lang w:val="en-GB"/>
        </w:rPr>
      </w:pPr>
    </w:p>
    <w:p w14:paraId="2B8B7C48" w14:textId="77777777" w:rsidR="0016598E" w:rsidRPr="003704A8" w:rsidRDefault="0016598E" w:rsidP="0016598E">
      <w:pPr>
        <w:spacing w:line="240" w:lineRule="auto"/>
        <w:rPr>
          <w:lang w:val="en-GB"/>
        </w:rPr>
      </w:pPr>
    </w:p>
    <w:p w14:paraId="3B19A4B5" w14:textId="77777777" w:rsidR="00673013" w:rsidRPr="00673013" w:rsidRDefault="00673013" w:rsidP="00673013">
      <w:pPr>
        <w:spacing w:before="120"/>
        <w:rPr>
          <w:b/>
          <w:sz w:val="28"/>
          <w:szCs w:val="28"/>
          <w:lang w:val="en-GB"/>
        </w:rPr>
      </w:pPr>
      <w:r w:rsidRPr="00673013">
        <w:rPr>
          <w:b/>
          <w:sz w:val="28"/>
          <w:szCs w:val="28"/>
          <w:lang w:val="en-GB"/>
        </w:rPr>
        <w:t>Economic Commission for Europe</w:t>
      </w:r>
    </w:p>
    <w:p w14:paraId="61D0874C" w14:textId="77777777" w:rsidR="00673013" w:rsidRPr="00673013" w:rsidRDefault="00673013" w:rsidP="00673013">
      <w:pPr>
        <w:spacing w:before="120"/>
        <w:rPr>
          <w:sz w:val="28"/>
          <w:szCs w:val="28"/>
          <w:lang w:val="en-GB"/>
        </w:rPr>
      </w:pPr>
      <w:r w:rsidRPr="00673013">
        <w:rPr>
          <w:sz w:val="28"/>
          <w:szCs w:val="28"/>
          <w:lang w:val="en-GB"/>
        </w:rPr>
        <w:t>Steering Committee on Trade Capacity and Standards</w:t>
      </w:r>
    </w:p>
    <w:p w14:paraId="17E35CC2" w14:textId="77777777" w:rsidR="00673013" w:rsidRPr="00673013" w:rsidRDefault="00673013" w:rsidP="00673013">
      <w:pPr>
        <w:spacing w:before="120"/>
        <w:rPr>
          <w:b/>
          <w:sz w:val="24"/>
          <w:szCs w:val="24"/>
          <w:lang w:val="en-GB"/>
        </w:rPr>
      </w:pPr>
      <w:r w:rsidRPr="00673013">
        <w:rPr>
          <w:b/>
          <w:sz w:val="24"/>
          <w:szCs w:val="24"/>
          <w:lang w:val="en-GB"/>
        </w:rPr>
        <w:t>Working Party on Agricultural Quality Standards</w:t>
      </w:r>
    </w:p>
    <w:p w14:paraId="086A3268" w14:textId="77777777" w:rsidR="00673013" w:rsidRPr="00673013" w:rsidRDefault="00673013" w:rsidP="00673013">
      <w:pPr>
        <w:spacing w:before="120"/>
        <w:rPr>
          <w:b/>
          <w:bCs/>
          <w:sz w:val="24"/>
          <w:szCs w:val="24"/>
          <w:lang w:val="en-GB"/>
        </w:rPr>
      </w:pPr>
      <w:r w:rsidRPr="00673013">
        <w:rPr>
          <w:b/>
          <w:bCs/>
          <w:lang w:val="en-GB"/>
        </w:rPr>
        <w:t>Specialized Section on Standardization of Fresh Fruit and Vegetables</w:t>
      </w:r>
    </w:p>
    <w:p w14:paraId="6D1C6E89" w14:textId="77777777" w:rsidR="00673013" w:rsidRPr="00673013" w:rsidRDefault="00673013" w:rsidP="00673013">
      <w:pPr>
        <w:spacing w:before="120"/>
        <w:rPr>
          <w:b/>
          <w:bCs/>
          <w:lang w:val="en-GB"/>
        </w:rPr>
      </w:pPr>
      <w:r w:rsidRPr="00673013">
        <w:rPr>
          <w:b/>
          <w:bCs/>
          <w:lang w:val="en-GB"/>
        </w:rPr>
        <w:t>Sixty-seventh session</w:t>
      </w:r>
    </w:p>
    <w:p w14:paraId="76C964CB" w14:textId="77777777" w:rsidR="00673013" w:rsidRPr="00673013" w:rsidRDefault="00673013" w:rsidP="00673013">
      <w:pPr>
        <w:rPr>
          <w:lang w:val="en-GB"/>
        </w:rPr>
      </w:pPr>
      <w:r w:rsidRPr="00673013">
        <w:rPr>
          <w:lang w:val="en-GB"/>
        </w:rPr>
        <w:t>Geneva, 15-17 June 2020</w:t>
      </w:r>
    </w:p>
    <w:p w14:paraId="272CB6A9" w14:textId="77777777" w:rsidR="00673013" w:rsidRPr="00673013" w:rsidRDefault="00673013" w:rsidP="00673013">
      <w:pPr>
        <w:rPr>
          <w:lang w:val="en-GB"/>
        </w:rPr>
      </w:pPr>
      <w:r w:rsidRPr="00673013">
        <w:rPr>
          <w:lang w:val="en-GB"/>
        </w:rPr>
        <w:t>Item 3 of the provisional agenda</w:t>
      </w:r>
    </w:p>
    <w:p w14:paraId="79682F0F" w14:textId="77777777" w:rsidR="00673013" w:rsidRPr="00673013" w:rsidRDefault="00673013" w:rsidP="00673013">
      <w:pPr>
        <w:rPr>
          <w:b/>
          <w:bCs/>
          <w:lang w:val="en-GB"/>
        </w:rPr>
      </w:pPr>
      <w:r w:rsidRPr="00673013">
        <w:rPr>
          <w:b/>
          <w:bCs/>
          <w:lang w:val="en-GB"/>
        </w:rPr>
        <w:t xml:space="preserve">Specialized Section on Standardization </w:t>
      </w:r>
    </w:p>
    <w:p w14:paraId="2CE23F19" w14:textId="77777777" w:rsidR="00673013" w:rsidRPr="00673013" w:rsidRDefault="00673013" w:rsidP="00673013">
      <w:pPr>
        <w:rPr>
          <w:b/>
          <w:bCs/>
          <w:lang w:val="en-GB"/>
        </w:rPr>
      </w:pPr>
      <w:r w:rsidRPr="00673013">
        <w:rPr>
          <w:b/>
          <w:bCs/>
          <w:lang w:val="en-GB"/>
        </w:rPr>
        <w:t>of Dry and Dried Produce</w:t>
      </w:r>
    </w:p>
    <w:p w14:paraId="2580862D" w14:textId="77777777" w:rsidR="008E178E" w:rsidRDefault="00673013" w:rsidP="00673013">
      <w:pPr>
        <w:pStyle w:val="HChG"/>
        <w:rPr>
          <w:lang w:val="en-GB"/>
        </w:rPr>
      </w:pPr>
      <w:r w:rsidRPr="00673013">
        <w:rPr>
          <w:lang w:val="en-GB"/>
        </w:rPr>
        <w:tab/>
      </w:r>
      <w:r w:rsidRPr="00673013">
        <w:rPr>
          <w:lang w:val="en-GB"/>
        </w:rPr>
        <w:tab/>
      </w:r>
    </w:p>
    <w:p w14:paraId="74ED60DD" w14:textId="27184271" w:rsidR="008E178E" w:rsidRDefault="008E178E" w:rsidP="00673013">
      <w:pPr>
        <w:pStyle w:val="HChG"/>
        <w:rPr>
          <w:lang w:val="en-GB"/>
        </w:rPr>
      </w:pPr>
      <w:r>
        <w:rPr>
          <w:lang w:val="en-GB"/>
        </w:rPr>
        <w:tab/>
      </w:r>
      <w:r>
        <w:rPr>
          <w:lang w:val="en-GB"/>
        </w:rPr>
        <w:tab/>
      </w:r>
      <w:r w:rsidRPr="00673013">
        <w:rPr>
          <w:lang w:val="en-GB"/>
        </w:rPr>
        <w:t>Prunes</w:t>
      </w:r>
    </w:p>
    <w:p w14:paraId="111AC834" w14:textId="2EBCDC29" w:rsidR="00673013" w:rsidRPr="00673013" w:rsidRDefault="008E178E" w:rsidP="008E178E">
      <w:pPr>
        <w:pStyle w:val="HChG"/>
        <w:rPr>
          <w:lang w:val="en-GB"/>
        </w:rPr>
      </w:pPr>
      <w:r>
        <w:rPr>
          <w:lang w:val="en-GB"/>
        </w:rPr>
        <w:tab/>
      </w:r>
      <w:r>
        <w:rPr>
          <w:lang w:val="en-GB"/>
        </w:rPr>
        <w:tab/>
        <w:t>Comments by the delegation from the United States</w:t>
      </w:r>
      <w:r w:rsidR="00673013" w:rsidRPr="00673013">
        <w:rPr>
          <w:lang w:val="en-GB"/>
        </w:rPr>
        <w:tab/>
      </w:r>
      <w:r w:rsidR="00673013" w:rsidRPr="00673013">
        <w:rPr>
          <w:lang w:val="en-GB"/>
        </w:rPr>
        <w:br w:type="page"/>
      </w:r>
    </w:p>
    <w:p w14:paraId="4B7F3401" w14:textId="77777777" w:rsidR="00673013" w:rsidRPr="00673013" w:rsidRDefault="00673013" w:rsidP="00673013">
      <w:pPr>
        <w:pStyle w:val="HChG"/>
        <w:rPr>
          <w:lang w:val="en-GB"/>
        </w:rPr>
      </w:pPr>
      <w:r w:rsidRPr="00673013">
        <w:rPr>
          <w:lang w:val="en-GB"/>
        </w:rPr>
        <w:lastRenderedPageBreak/>
        <w:tab/>
      </w:r>
      <w:r w:rsidRPr="00673013">
        <w:rPr>
          <w:lang w:val="en-GB"/>
        </w:rPr>
        <w:tab/>
        <w:t xml:space="preserve">Prunes </w:t>
      </w:r>
      <w:r w:rsidRPr="00153C78">
        <w:rPr>
          <w:rStyle w:val="FootnoteReference"/>
        </w:rPr>
        <w:footnoteReference w:id="2"/>
      </w:r>
    </w:p>
    <w:p w14:paraId="69FADE48" w14:textId="77777777" w:rsidR="00673013" w:rsidRPr="00673013" w:rsidRDefault="00673013" w:rsidP="00673013">
      <w:pPr>
        <w:pStyle w:val="HChG"/>
        <w:rPr>
          <w:lang w:val="en-GB"/>
        </w:rPr>
      </w:pPr>
      <w:r w:rsidRPr="00673013">
        <w:rPr>
          <w:lang w:val="en-GB"/>
        </w:rPr>
        <w:tab/>
        <w:t>I.</w:t>
      </w:r>
      <w:r w:rsidRPr="00673013">
        <w:rPr>
          <w:lang w:val="en-GB"/>
        </w:rPr>
        <w:tab/>
        <w:t>Definition of produce</w:t>
      </w:r>
    </w:p>
    <w:p w14:paraId="582E5AC7" w14:textId="77777777" w:rsidR="00673013" w:rsidRPr="00673013" w:rsidRDefault="00673013" w:rsidP="00673013">
      <w:pPr>
        <w:pStyle w:val="SingleTxtG"/>
        <w:rPr>
          <w:lang w:val="en-GB"/>
        </w:rPr>
      </w:pPr>
      <w:r w:rsidRPr="00673013">
        <w:rPr>
          <w:lang w:val="en-GB"/>
        </w:rPr>
        <w:t xml:space="preserve">This standard applies to dried ripe plums (prunes) of varieties (cultivars) grown from </w:t>
      </w:r>
      <w:r w:rsidRPr="00673013">
        <w:rPr>
          <w:i/>
          <w:lang w:val="en-GB"/>
        </w:rPr>
        <w:t xml:space="preserve">Prunus </w:t>
      </w:r>
      <w:proofErr w:type="spellStart"/>
      <w:r w:rsidRPr="00673013">
        <w:rPr>
          <w:i/>
          <w:lang w:val="en-GB"/>
        </w:rPr>
        <w:t>domestica</w:t>
      </w:r>
      <w:proofErr w:type="spellEnd"/>
      <w:r w:rsidRPr="00673013">
        <w:rPr>
          <w:i/>
          <w:lang w:val="en-GB"/>
        </w:rPr>
        <w:t xml:space="preserve"> </w:t>
      </w:r>
      <w:r w:rsidRPr="00673013">
        <w:rPr>
          <w:iCs/>
          <w:lang w:val="en-GB"/>
        </w:rPr>
        <w:t>L.</w:t>
      </w:r>
      <w:r w:rsidRPr="00673013">
        <w:rPr>
          <w:lang w:val="en-GB"/>
        </w:rPr>
        <w:t xml:space="preserve"> intended for direct consumption or for food when intended to be mixed with other products for direct consumption without further processing. This standard does not apply to prunes that are processed by salting, sugaring, flavouring or roasting or for industrial processing.</w:t>
      </w:r>
    </w:p>
    <w:p w14:paraId="055D7058" w14:textId="77777777" w:rsidR="00673013" w:rsidRPr="00FA3368" w:rsidRDefault="00673013" w:rsidP="00673013">
      <w:pPr>
        <w:pStyle w:val="SingleTxtG"/>
        <w:rPr>
          <w:rFonts w:eastAsia="SimSun"/>
          <w:lang w:val="en-US" w:eastAsia="zh-CN"/>
        </w:rPr>
      </w:pPr>
      <w:r w:rsidRPr="00FA3368">
        <w:rPr>
          <w:rFonts w:eastAsia="SimSun"/>
          <w:lang w:val="en-US" w:eastAsia="zh-CN"/>
        </w:rPr>
        <w:t>Prunes may be presented in one of the following styles:</w:t>
      </w:r>
    </w:p>
    <w:p w14:paraId="6CAB9098" w14:textId="77777777" w:rsidR="00673013" w:rsidRPr="00673013" w:rsidRDefault="00673013" w:rsidP="00673013">
      <w:pPr>
        <w:pStyle w:val="Bullet1G"/>
        <w:rPr>
          <w:rFonts w:eastAsia="SimSun"/>
          <w:lang w:val="en-GB"/>
        </w:rPr>
      </w:pPr>
      <w:r w:rsidRPr="00673013">
        <w:rPr>
          <w:rFonts w:eastAsia="SimSun"/>
          <w:lang w:val="en-GB"/>
        </w:rPr>
        <w:tab/>
        <w:t xml:space="preserve">Whole, </w:t>
      </w:r>
      <w:proofErr w:type="spellStart"/>
      <w:r w:rsidRPr="00673013">
        <w:rPr>
          <w:rFonts w:eastAsia="SimSun"/>
          <w:lang w:val="en-GB"/>
        </w:rPr>
        <w:t>unpitted</w:t>
      </w:r>
      <w:proofErr w:type="spellEnd"/>
      <w:r w:rsidRPr="00673013">
        <w:rPr>
          <w:rFonts w:eastAsia="SimSun"/>
          <w:lang w:val="en-GB"/>
        </w:rPr>
        <w:t xml:space="preserve"> from which pits have not been removed</w:t>
      </w:r>
    </w:p>
    <w:p w14:paraId="0CD71301" w14:textId="77777777" w:rsidR="00673013" w:rsidRPr="00673013" w:rsidRDefault="00673013" w:rsidP="00673013">
      <w:pPr>
        <w:pStyle w:val="Bullet1G"/>
        <w:rPr>
          <w:lang w:val="en-GB"/>
        </w:rPr>
      </w:pPr>
      <w:r w:rsidRPr="00673013">
        <w:rPr>
          <w:lang w:val="en-GB"/>
        </w:rPr>
        <w:tab/>
        <w:t xml:space="preserve">Whole, pitted; from which pits have been removed </w:t>
      </w:r>
    </w:p>
    <w:p w14:paraId="3200C38A" w14:textId="77777777" w:rsidR="00673013" w:rsidRPr="00673013" w:rsidRDefault="00673013" w:rsidP="00673013">
      <w:pPr>
        <w:pStyle w:val="HChG"/>
        <w:rPr>
          <w:lang w:val="en-GB"/>
        </w:rPr>
      </w:pPr>
      <w:r w:rsidRPr="00673013">
        <w:rPr>
          <w:lang w:val="en-GB"/>
        </w:rPr>
        <w:tab/>
        <w:t>II.</w:t>
      </w:r>
      <w:r w:rsidRPr="00673013">
        <w:rPr>
          <w:lang w:val="en-GB"/>
        </w:rPr>
        <w:tab/>
        <w:t>Provisions concerning quality</w:t>
      </w:r>
    </w:p>
    <w:p w14:paraId="625A451F" w14:textId="77777777" w:rsidR="00673013" w:rsidRPr="00673013" w:rsidRDefault="00673013" w:rsidP="00673013">
      <w:pPr>
        <w:pStyle w:val="SingleTxtG"/>
        <w:rPr>
          <w:lang w:val="en-GB"/>
        </w:rPr>
      </w:pPr>
      <w:r w:rsidRPr="00673013">
        <w:rPr>
          <w:lang w:val="en-GB"/>
        </w:rPr>
        <w:tab/>
        <w:t>The purpose of the standard is to define the quality requirements for prunes at the export-control stage, after preparation and packaging.</w:t>
      </w:r>
    </w:p>
    <w:p w14:paraId="3C1A94BF" w14:textId="77777777" w:rsidR="00673013" w:rsidRPr="00673013" w:rsidRDefault="00673013" w:rsidP="00673013">
      <w:pPr>
        <w:pStyle w:val="SingleTxtG"/>
        <w:rPr>
          <w:lang w:val="en-GB"/>
        </w:rPr>
      </w:pPr>
      <w:r w:rsidRPr="00673013">
        <w:rPr>
          <w:lang w:val="en-GB"/>
        </w:rPr>
        <w:tab/>
        <w:t>However, after export, the holder shall be responsible for observing the requirements of the standard. The holder/seller of products not in conformity with this standard may not display such products or offer them for sale or deliver or market them in any other manner.</w:t>
      </w:r>
    </w:p>
    <w:p w14:paraId="62C93F19" w14:textId="77777777" w:rsidR="00673013" w:rsidRPr="00673013" w:rsidRDefault="00673013" w:rsidP="00673013">
      <w:pPr>
        <w:pStyle w:val="H1G"/>
        <w:rPr>
          <w:lang w:val="en-GB"/>
        </w:rPr>
      </w:pPr>
      <w:r w:rsidRPr="00673013">
        <w:rPr>
          <w:lang w:val="en-GB"/>
        </w:rPr>
        <w:tab/>
        <w:t>A.</w:t>
      </w:r>
      <w:r w:rsidRPr="00673013">
        <w:rPr>
          <w:lang w:val="en-GB"/>
        </w:rPr>
        <w:tab/>
        <w:t>Minimum requirements</w:t>
      </w:r>
      <w:r w:rsidRPr="00F8387C">
        <w:rPr>
          <w:rStyle w:val="FootnoteReference"/>
          <w:b w:val="0"/>
        </w:rPr>
        <w:footnoteReference w:id="3"/>
      </w:r>
      <w:r w:rsidRPr="00673013">
        <w:rPr>
          <w:b w:val="0"/>
          <w:lang w:val="en-GB"/>
        </w:rPr>
        <w:t xml:space="preserve"> </w:t>
      </w:r>
    </w:p>
    <w:p w14:paraId="5D868882" w14:textId="77777777" w:rsidR="00673013" w:rsidRPr="00673013" w:rsidRDefault="00673013" w:rsidP="00673013">
      <w:pPr>
        <w:pStyle w:val="SingleTxtG"/>
        <w:rPr>
          <w:lang w:val="en-GB"/>
        </w:rPr>
      </w:pPr>
      <w:r w:rsidRPr="00673013">
        <w:rPr>
          <w:lang w:val="en-GB"/>
        </w:rPr>
        <w:tab/>
        <w:t>In all classes, subject to the special provisions for each class and the tolerances allowed, the prunes must be:</w:t>
      </w:r>
    </w:p>
    <w:p w14:paraId="0D2FC8AF" w14:textId="77777777" w:rsidR="00673013" w:rsidRDefault="00673013" w:rsidP="00673013">
      <w:pPr>
        <w:pStyle w:val="Bullet1G"/>
      </w:pPr>
      <w:proofErr w:type="spellStart"/>
      <w:r>
        <w:t>W</w:t>
      </w:r>
      <w:r w:rsidRPr="00153C78">
        <w:t>ithout</w:t>
      </w:r>
      <w:proofErr w:type="spellEnd"/>
      <w:r w:rsidRPr="00153C78">
        <w:t xml:space="preserve"> </w:t>
      </w:r>
      <w:proofErr w:type="spellStart"/>
      <w:proofErr w:type="gramStart"/>
      <w:r w:rsidRPr="00153C78">
        <w:t>peduncle</w:t>
      </w:r>
      <w:proofErr w:type="spellEnd"/>
      <w:r w:rsidRPr="00153C78">
        <w:t>;</w:t>
      </w:r>
      <w:proofErr w:type="gramEnd"/>
      <w:r w:rsidRPr="00153C78">
        <w:t xml:space="preserve"> </w:t>
      </w:r>
    </w:p>
    <w:p w14:paraId="7D3292CC" w14:textId="77777777" w:rsidR="00673013" w:rsidRPr="00673013" w:rsidRDefault="00673013" w:rsidP="00673013">
      <w:pPr>
        <w:pStyle w:val="Bullet1G"/>
        <w:rPr>
          <w:lang w:val="en-GB"/>
        </w:rPr>
      </w:pPr>
      <w:r w:rsidRPr="00673013">
        <w:rPr>
          <w:lang w:val="en-GB"/>
        </w:rPr>
        <w:t>fleshy, the flesh being elastic and pliable</w:t>
      </w:r>
    </w:p>
    <w:p w14:paraId="1836A947" w14:textId="77777777" w:rsidR="00673013" w:rsidRPr="00673013" w:rsidRDefault="00673013" w:rsidP="00673013">
      <w:pPr>
        <w:pStyle w:val="Bullet1G"/>
        <w:rPr>
          <w:lang w:val="en-GB"/>
        </w:rPr>
      </w:pPr>
      <w:r w:rsidRPr="00673013">
        <w:rPr>
          <w:lang w:val="en-GB"/>
        </w:rPr>
        <w:t xml:space="preserve">sound, produce being affected by rotting or deterioration such as to make it unfit for human consumption is excluded </w:t>
      </w:r>
    </w:p>
    <w:p w14:paraId="0408C45D" w14:textId="77777777" w:rsidR="00673013" w:rsidRPr="00673013" w:rsidRDefault="00673013" w:rsidP="00673013">
      <w:pPr>
        <w:pStyle w:val="Bullet1G"/>
        <w:rPr>
          <w:lang w:val="en-GB"/>
        </w:rPr>
      </w:pPr>
      <w:r w:rsidRPr="00673013">
        <w:rPr>
          <w:lang w:val="en-GB"/>
        </w:rPr>
        <w:t>clean, practically free from any visible foreign matter</w:t>
      </w:r>
      <w:r w:rsidRPr="00153C78">
        <w:rPr>
          <w:rStyle w:val="FootnoteReference"/>
          <w:sz w:val="20"/>
          <w:vertAlign w:val="baseline"/>
        </w:rPr>
        <w:footnoteReference w:id="4"/>
      </w:r>
      <w:r w:rsidRPr="00673013">
        <w:rPr>
          <w:lang w:val="en-GB"/>
        </w:rPr>
        <w:t xml:space="preserve"> </w:t>
      </w:r>
    </w:p>
    <w:p w14:paraId="5F61E6C5" w14:textId="77777777" w:rsidR="00673013" w:rsidRPr="00673013" w:rsidRDefault="00673013" w:rsidP="00673013">
      <w:pPr>
        <w:pStyle w:val="Bullet1G"/>
        <w:rPr>
          <w:lang w:val="en-GB"/>
        </w:rPr>
      </w:pPr>
      <w:r w:rsidRPr="00673013">
        <w:rPr>
          <w:lang w:val="en-GB"/>
        </w:rPr>
        <w:t>free from living pests, whatever their stage of development</w:t>
      </w:r>
    </w:p>
    <w:p w14:paraId="49DEFC3E" w14:textId="77777777" w:rsidR="00673013" w:rsidRPr="00673013" w:rsidRDefault="00673013" w:rsidP="00673013">
      <w:pPr>
        <w:pStyle w:val="Bullet1G"/>
        <w:rPr>
          <w:lang w:val="en-GB"/>
        </w:rPr>
      </w:pPr>
      <w:r w:rsidRPr="00673013">
        <w:rPr>
          <w:lang w:val="en-GB"/>
        </w:rPr>
        <w:t>free from damage caused by pests, including the presence of dead insects and/or mites, their debris or excreta</w:t>
      </w:r>
    </w:p>
    <w:p w14:paraId="0A7FA6DA" w14:textId="77777777" w:rsidR="00673013" w:rsidRPr="00673013" w:rsidRDefault="00673013" w:rsidP="00673013">
      <w:pPr>
        <w:pStyle w:val="Bullet1G"/>
        <w:rPr>
          <w:lang w:val="en-GB"/>
        </w:rPr>
      </w:pPr>
      <w:r w:rsidRPr="00673013">
        <w:rPr>
          <w:lang w:val="en-GB"/>
        </w:rPr>
        <w:lastRenderedPageBreak/>
        <w:t>free from damage to skin and/or flesh affecting in aggregate more than 20 mm in diameter such as:</w:t>
      </w:r>
    </w:p>
    <w:p w14:paraId="5E30A1E1" w14:textId="77777777" w:rsidR="00673013" w:rsidRPr="00673013" w:rsidRDefault="00673013" w:rsidP="00673013">
      <w:pPr>
        <w:pStyle w:val="Bullet2G"/>
        <w:rPr>
          <w:lang w:val="en-GB"/>
        </w:rPr>
      </w:pPr>
      <w:r w:rsidRPr="00673013">
        <w:rPr>
          <w:lang w:val="en-GB"/>
        </w:rPr>
        <w:t>callous growth-cracks, occurring at the ends of prunes, scars, splits or breaks</w:t>
      </w:r>
    </w:p>
    <w:p w14:paraId="0ABF26C8" w14:textId="77777777" w:rsidR="00673013" w:rsidRPr="00673013" w:rsidRDefault="00673013" w:rsidP="00673013">
      <w:pPr>
        <w:pStyle w:val="Bullet2G"/>
        <w:rPr>
          <w:lang w:val="en-GB"/>
        </w:rPr>
      </w:pPr>
      <w:r w:rsidRPr="00673013">
        <w:rPr>
          <w:lang w:val="en-GB"/>
        </w:rPr>
        <w:t xml:space="preserve">Splits or breaks exposing a substantial part of the flesh and seriously affecting the appearance of the fruit </w:t>
      </w:r>
    </w:p>
    <w:p w14:paraId="623F8BAA" w14:textId="77777777" w:rsidR="00673013" w:rsidRPr="00673013" w:rsidRDefault="00673013" w:rsidP="00673013">
      <w:pPr>
        <w:pStyle w:val="Bullet2G"/>
        <w:rPr>
          <w:lang w:val="en-GB"/>
        </w:rPr>
      </w:pPr>
      <w:r w:rsidRPr="00673013">
        <w:rPr>
          <w:lang w:val="en-GB"/>
        </w:rPr>
        <w:t xml:space="preserve">Cracks, splits or breaks down to the stone in </w:t>
      </w:r>
      <w:proofErr w:type="spellStart"/>
      <w:r w:rsidRPr="00673013">
        <w:rPr>
          <w:lang w:val="en-GB"/>
        </w:rPr>
        <w:t>unpitted</w:t>
      </w:r>
      <w:proofErr w:type="spellEnd"/>
      <w:r w:rsidRPr="00673013">
        <w:rPr>
          <w:lang w:val="en-GB"/>
        </w:rPr>
        <w:t xml:space="preserve"> prunes</w:t>
      </w:r>
    </w:p>
    <w:p w14:paraId="3ADDDDC3" w14:textId="77777777" w:rsidR="00673013" w:rsidRPr="00673013" w:rsidRDefault="00673013" w:rsidP="00673013">
      <w:pPr>
        <w:pStyle w:val="Bullet1G"/>
        <w:rPr>
          <w:lang w:val="en-GB"/>
        </w:rPr>
      </w:pPr>
      <w:r w:rsidRPr="00673013">
        <w:rPr>
          <w:lang w:val="en-GB"/>
        </w:rPr>
        <w:t>free from mould filaments visible to the naked eye</w:t>
      </w:r>
    </w:p>
    <w:p w14:paraId="6C9155FB" w14:textId="77777777" w:rsidR="00673013" w:rsidRPr="00153C78" w:rsidRDefault="00673013" w:rsidP="00673013">
      <w:pPr>
        <w:pStyle w:val="Bullet1G"/>
      </w:pPr>
      <w:proofErr w:type="gramStart"/>
      <w:r w:rsidRPr="00153C78">
        <w:t>free</w:t>
      </w:r>
      <w:proofErr w:type="gramEnd"/>
      <w:r w:rsidRPr="00153C78">
        <w:t xml:space="preserve"> of fermentation</w:t>
      </w:r>
    </w:p>
    <w:p w14:paraId="1E9C7DB7" w14:textId="77777777" w:rsidR="00673013" w:rsidRPr="00153C78" w:rsidRDefault="00673013" w:rsidP="00673013">
      <w:pPr>
        <w:pStyle w:val="Bullet1G"/>
      </w:pPr>
      <w:proofErr w:type="gramStart"/>
      <w:r w:rsidRPr="00153C78">
        <w:t>free</w:t>
      </w:r>
      <w:proofErr w:type="gramEnd"/>
      <w:r w:rsidRPr="00153C78">
        <w:t xml:space="preserve"> of </w:t>
      </w:r>
      <w:proofErr w:type="spellStart"/>
      <w:r w:rsidRPr="00153C78">
        <w:t>abnormal</w:t>
      </w:r>
      <w:proofErr w:type="spellEnd"/>
      <w:r w:rsidRPr="00153C78">
        <w:t xml:space="preserve"> </w:t>
      </w:r>
      <w:proofErr w:type="spellStart"/>
      <w:r w:rsidRPr="00153C78">
        <w:t>external</w:t>
      </w:r>
      <w:proofErr w:type="spellEnd"/>
      <w:r w:rsidRPr="00153C78">
        <w:t xml:space="preserve"> </w:t>
      </w:r>
      <w:proofErr w:type="spellStart"/>
      <w:r w:rsidRPr="00153C78">
        <w:t>moisture</w:t>
      </w:r>
      <w:proofErr w:type="spellEnd"/>
    </w:p>
    <w:p w14:paraId="748F8EF3" w14:textId="77777777" w:rsidR="00673013" w:rsidRPr="00673013" w:rsidRDefault="00673013" w:rsidP="00673013">
      <w:pPr>
        <w:pStyle w:val="Bullet1G"/>
        <w:rPr>
          <w:lang w:val="en-GB"/>
        </w:rPr>
      </w:pPr>
      <w:r w:rsidRPr="00673013">
        <w:rPr>
          <w:lang w:val="en-GB"/>
        </w:rPr>
        <w:t>free of foreign smell and/or taste</w:t>
      </w:r>
    </w:p>
    <w:p w14:paraId="426BE654" w14:textId="77777777" w:rsidR="00673013" w:rsidRPr="00673013" w:rsidRDefault="00673013" w:rsidP="00673013">
      <w:pPr>
        <w:pStyle w:val="Bullet1G"/>
        <w:numPr>
          <w:ilvl w:val="0"/>
          <w:numId w:val="0"/>
        </w:numPr>
        <w:ind w:left="1531"/>
        <w:rPr>
          <w:lang w:val="en-GB"/>
        </w:rPr>
      </w:pPr>
      <w:r w:rsidRPr="00673013">
        <w:rPr>
          <w:lang w:val="en-GB"/>
        </w:rPr>
        <w:tab/>
        <w:t>The condition of the prunes must be such as to enable them:</w:t>
      </w:r>
    </w:p>
    <w:p w14:paraId="40700DA4" w14:textId="77777777" w:rsidR="00673013" w:rsidRPr="00673013" w:rsidRDefault="00673013" w:rsidP="00673013">
      <w:pPr>
        <w:pStyle w:val="Bullet1G"/>
        <w:numPr>
          <w:ilvl w:val="0"/>
          <w:numId w:val="11"/>
        </w:numPr>
        <w:rPr>
          <w:lang w:val="en-GB"/>
        </w:rPr>
      </w:pPr>
      <w:r w:rsidRPr="00673013">
        <w:rPr>
          <w:lang w:val="en-GB"/>
        </w:rPr>
        <w:t xml:space="preserve">to withstand transportation and handling, </w:t>
      </w:r>
    </w:p>
    <w:p w14:paraId="25C8205A" w14:textId="77777777" w:rsidR="00673013" w:rsidRPr="00673013" w:rsidRDefault="00673013" w:rsidP="00673013">
      <w:pPr>
        <w:pStyle w:val="Bullet1G"/>
        <w:numPr>
          <w:ilvl w:val="0"/>
          <w:numId w:val="11"/>
        </w:numPr>
        <w:rPr>
          <w:lang w:val="en-GB"/>
        </w:rPr>
      </w:pPr>
      <w:r w:rsidRPr="00673013">
        <w:rPr>
          <w:lang w:val="en-GB"/>
        </w:rPr>
        <w:t>to arrive in satisfactory condition at the place of destination</w:t>
      </w:r>
    </w:p>
    <w:p w14:paraId="098DD306" w14:textId="77777777" w:rsidR="00673013" w:rsidRPr="00673013" w:rsidRDefault="00673013" w:rsidP="00673013">
      <w:pPr>
        <w:pStyle w:val="H1G"/>
        <w:rPr>
          <w:b w:val="0"/>
          <w:lang w:val="en-GB"/>
        </w:rPr>
      </w:pPr>
      <w:r w:rsidRPr="00673013">
        <w:rPr>
          <w:lang w:val="en-GB"/>
        </w:rPr>
        <w:tab/>
        <w:t>B.</w:t>
      </w:r>
      <w:r w:rsidRPr="00673013">
        <w:rPr>
          <w:lang w:val="en-GB"/>
        </w:rPr>
        <w:tab/>
        <w:t>Moisture content</w:t>
      </w:r>
      <w:r w:rsidRPr="00F8387C">
        <w:rPr>
          <w:rStyle w:val="FootnoteReference"/>
          <w:b w:val="0"/>
        </w:rPr>
        <w:footnoteReference w:id="5"/>
      </w:r>
      <w:r w:rsidRPr="00673013">
        <w:rPr>
          <w:b w:val="0"/>
          <w:lang w:val="en-GB"/>
        </w:rPr>
        <w:t xml:space="preserve"> </w:t>
      </w:r>
    </w:p>
    <w:p w14:paraId="20E534BE" w14:textId="77777777" w:rsidR="00673013" w:rsidRPr="00673013" w:rsidRDefault="00673013" w:rsidP="00673013">
      <w:pPr>
        <w:pStyle w:val="SingleTxtG"/>
        <w:rPr>
          <w:lang w:val="en-GB"/>
        </w:rPr>
      </w:pPr>
      <w:r w:rsidRPr="00673013">
        <w:rPr>
          <w:lang w:val="en-GB"/>
        </w:rPr>
        <w:tab/>
        <w:t xml:space="preserve">Prunes shall have a moisture content not exceeding </w:t>
      </w:r>
      <w:r w:rsidRPr="00673013">
        <w:rPr>
          <w:b/>
          <w:bCs/>
          <w:color w:val="FF0000"/>
          <w:lang w:val="en-GB"/>
        </w:rPr>
        <w:t xml:space="preserve">35.0 </w:t>
      </w:r>
      <w:r w:rsidRPr="00673013">
        <w:rPr>
          <w:lang w:val="en-GB"/>
        </w:rPr>
        <w:t>per cent.</w:t>
      </w:r>
    </w:p>
    <w:p w14:paraId="14253345" w14:textId="77777777" w:rsidR="00673013" w:rsidRPr="002165EE" w:rsidRDefault="00673013" w:rsidP="00673013">
      <w:pPr>
        <w:pStyle w:val="SingleTxtG"/>
        <w:rPr>
          <w:b/>
          <w:bCs/>
          <w:color w:val="FF0000"/>
          <w:lang w:val="en-US"/>
        </w:rPr>
      </w:pPr>
      <w:r w:rsidRPr="00673013">
        <w:rPr>
          <w:b/>
          <w:bCs/>
          <w:color w:val="FF0000"/>
          <w:lang w:val="en-GB"/>
        </w:rPr>
        <w:t>US Delegation comment</w:t>
      </w:r>
      <w:r w:rsidRPr="002165EE">
        <w:rPr>
          <w:b/>
          <w:bCs/>
          <w:color w:val="FF0000"/>
          <w:lang w:val="en-US"/>
        </w:rPr>
        <w:t>: US recommends replacing 35.0 with 25.0 per cent</w:t>
      </w:r>
    </w:p>
    <w:p w14:paraId="722C9429" w14:textId="77777777" w:rsidR="00673013" w:rsidRPr="00673013" w:rsidRDefault="00673013" w:rsidP="00673013">
      <w:pPr>
        <w:pStyle w:val="SingleTxtG"/>
        <w:rPr>
          <w:lang w:val="en-GB"/>
        </w:rPr>
      </w:pPr>
      <w:r w:rsidRPr="00673013">
        <w:rPr>
          <w:lang w:val="en-GB"/>
        </w:rPr>
        <w:tab/>
        <w:t xml:space="preserve">However, prunes with a moisture content exceeding </w:t>
      </w:r>
      <w:r w:rsidRPr="00673013">
        <w:rPr>
          <w:b/>
          <w:bCs/>
          <w:color w:val="FF0000"/>
          <w:lang w:val="en-GB"/>
        </w:rPr>
        <w:t>35.0</w:t>
      </w:r>
      <w:r w:rsidRPr="00673013">
        <w:rPr>
          <w:color w:val="FF0000"/>
          <w:lang w:val="en-GB"/>
        </w:rPr>
        <w:t xml:space="preserve"> </w:t>
      </w:r>
      <w:r w:rsidRPr="00673013">
        <w:rPr>
          <w:lang w:val="en-GB"/>
        </w:rPr>
        <w:t xml:space="preserve">per cent should be labelled as high moisture or equivalent denomination. </w:t>
      </w:r>
    </w:p>
    <w:p w14:paraId="333CEEA5" w14:textId="77777777" w:rsidR="00673013" w:rsidRPr="00746667" w:rsidRDefault="00673013" w:rsidP="00673013">
      <w:pPr>
        <w:pStyle w:val="SingleTxtG"/>
        <w:rPr>
          <w:b/>
          <w:bCs/>
          <w:color w:val="FF0000"/>
          <w:lang w:val="en-US"/>
        </w:rPr>
      </w:pPr>
      <w:r w:rsidRPr="00673013">
        <w:rPr>
          <w:b/>
          <w:bCs/>
          <w:color w:val="FF0000"/>
          <w:lang w:val="en-GB"/>
        </w:rPr>
        <w:t>US Delegation comment</w:t>
      </w:r>
      <w:r w:rsidRPr="00746667">
        <w:rPr>
          <w:b/>
          <w:bCs/>
          <w:color w:val="FF0000"/>
          <w:lang w:val="en-US"/>
        </w:rPr>
        <w:t>: US recommends replacing 35.0 with 25.0 per cent</w:t>
      </w:r>
    </w:p>
    <w:p w14:paraId="439BEC42" w14:textId="77777777" w:rsidR="00673013" w:rsidRPr="00673013" w:rsidRDefault="00673013" w:rsidP="00673013">
      <w:pPr>
        <w:pStyle w:val="SingleTxtG"/>
        <w:rPr>
          <w:lang w:val="en-GB"/>
        </w:rPr>
      </w:pPr>
      <w:r w:rsidRPr="00673013">
        <w:rPr>
          <w:lang w:val="en-GB"/>
        </w:rPr>
        <w:t>Prunes may be treated with preservatives or by other means, (e.g. pasteurization).</w:t>
      </w:r>
    </w:p>
    <w:p w14:paraId="4FC38248" w14:textId="77777777" w:rsidR="00673013" w:rsidRPr="00673013" w:rsidRDefault="00673013" w:rsidP="00673013">
      <w:pPr>
        <w:pStyle w:val="H1G"/>
        <w:rPr>
          <w:lang w:val="en-GB"/>
        </w:rPr>
      </w:pPr>
      <w:r w:rsidRPr="00673013">
        <w:rPr>
          <w:lang w:val="en-GB"/>
        </w:rPr>
        <w:tab/>
        <w:t>C.</w:t>
      </w:r>
      <w:r w:rsidRPr="00673013">
        <w:rPr>
          <w:lang w:val="en-GB"/>
        </w:rPr>
        <w:tab/>
        <w:t>Classification</w:t>
      </w:r>
    </w:p>
    <w:p w14:paraId="1A69E9FD" w14:textId="77777777" w:rsidR="00673013" w:rsidRPr="00673013" w:rsidRDefault="00673013" w:rsidP="00673013">
      <w:pPr>
        <w:pStyle w:val="SingleTxtG"/>
        <w:rPr>
          <w:lang w:val="en-GB"/>
        </w:rPr>
      </w:pPr>
      <w:r w:rsidRPr="00673013">
        <w:rPr>
          <w:lang w:val="en-GB"/>
        </w:rPr>
        <w:tab/>
        <w:t xml:space="preserve">In accordance with the defects allowed in section “IV. Provisions concerning tolerances”, prunes are classified into the following classes: </w:t>
      </w:r>
    </w:p>
    <w:p w14:paraId="6C423C9D" w14:textId="77777777" w:rsidR="00673013" w:rsidRPr="00673013" w:rsidRDefault="00673013" w:rsidP="00673013">
      <w:pPr>
        <w:pStyle w:val="SingleTxtG"/>
        <w:rPr>
          <w:lang w:val="en-GB"/>
        </w:rPr>
      </w:pPr>
      <w:r w:rsidRPr="00673013">
        <w:rPr>
          <w:lang w:val="en-GB"/>
        </w:rPr>
        <w:t>Class I and Class II.</w:t>
      </w:r>
    </w:p>
    <w:p w14:paraId="441C4B98" w14:textId="77777777" w:rsidR="00673013" w:rsidRPr="00673013" w:rsidRDefault="00673013" w:rsidP="00673013">
      <w:pPr>
        <w:pStyle w:val="SingleTxtG"/>
        <w:rPr>
          <w:lang w:val="en-GB"/>
        </w:rPr>
      </w:pPr>
      <w:r w:rsidRPr="00673013">
        <w:rPr>
          <w:bCs/>
          <w:lang w:val="en-GB"/>
        </w:rPr>
        <w:t>The</w:t>
      </w:r>
      <w:r w:rsidRPr="00673013">
        <w:rPr>
          <w:lang w:val="en-GB"/>
        </w:rPr>
        <w:t xml:space="preserve"> defects allowed must not affect the general appearance of the produce as</w:t>
      </w:r>
      <w:r w:rsidRPr="00673013">
        <w:rPr>
          <w:spacing w:val="41"/>
          <w:lang w:val="en-GB"/>
        </w:rPr>
        <w:t xml:space="preserve"> </w:t>
      </w:r>
      <w:r w:rsidRPr="00673013">
        <w:rPr>
          <w:spacing w:val="1"/>
          <w:lang w:val="en-GB"/>
        </w:rPr>
        <w:t>r</w:t>
      </w:r>
      <w:r w:rsidRPr="00673013">
        <w:rPr>
          <w:lang w:val="en-GB"/>
        </w:rPr>
        <w:t>e</w:t>
      </w:r>
      <w:r w:rsidRPr="00673013">
        <w:rPr>
          <w:spacing w:val="-1"/>
          <w:lang w:val="en-GB"/>
        </w:rPr>
        <w:t>g</w:t>
      </w:r>
      <w:r w:rsidRPr="00673013">
        <w:rPr>
          <w:lang w:val="en-GB"/>
        </w:rPr>
        <w:t>a</w:t>
      </w:r>
      <w:r w:rsidRPr="00673013">
        <w:rPr>
          <w:spacing w:val="1"/>
          <w:lang w:val="en-GB"/>
        </w:rPr>
        <w:t>rd</w:t>
      </w:r>
      <w:r w:rsidRPr="00673013">
        <w:rPr>
          <w:lang w:val="en-GB"/>
        </w:rPr>
        <w:t>s quality, keeping quality and presentation in the package.</w:t>
      </w:r>
    </w:p>
    <w:p w14:paraId="0C8CEA1A" w14:textId="77777777" w:rsidR="00673013" w:rsidRPr="00673013" w:rsidRDefault="00673013" w:rsidP="00673013">
      <w:pPr>
        <w:pStyle w:val="HChG"/>
        <w:rPr>
          <w:lang w:val="en-GB"/>
        </w:rPr>
      </w:pPr>
      <w:r w:rsidRPr="00673013">
        <w:rPr>
          <w:lang w:val="en-GB"/>
        </w:rPr>
        <w:tab/>
        <w:t>III.</w:t>
      </w:r>
      <w:r w:rsidRPr="00673013">
        <w:rPr>
          <w:lang w:val="en-GB"/>
        </w:rPr>
        <w:tab/>
        <w:t>Provisions concerning sizing</w:t>
      </w:r>
    </w:p>
    <w:p w14:paraId="14FD9FCB" w14:textId="77777777" w:rsidR="00673013" w:rsidRPr="00673013" w:rsidRDefault="00673013" w:rsidP="00673013">
      <w:pPr>
        <w:pStyle w:val="SingleTxtG"/>
        <w:rPr>
          <w:lang w:val="en-GB"/>
        </w:rPr>
      </w:pPr>
      <w:r w:rsidRPr="00673013">
        <w:rPr>
          <w:lang w:val="en-GB"/>
        </w:rPr>
        <w:t>Sizing of prunes is done by the number of prunes in 500 g (or in 1 lb (453 g)),</w:t>
      </w:r>
    </w:p>
    <w:p w14:paraId="60E7F900" w14:textId="77777777" w:rsidR="00673013" w:rsidRPr="00673013" w:rsidRDefault="00673013" w:rsidP="00673013">
      <w:pPr>
        <w:pStyle w:val="SingleTxtG"/>
        <w:rPr>
          <w:lang w:val="en-GB"/>
        </w:rPr>
      </w:pPr>
      <w:r w:rsidRPr="00673013">
        <w:rPr>
          <w:lang w:val="en-GB"/>
        </w:rPr>
        <w:lastRenderedPageBreak/>
        <w:t xml:space="preserve">Pitted prunes must be sized </w:t>
      </w:r>
      <w:r w:rsidRPr="00673013">
        <w:rPr>
          <w:b/>
          <w:bCs/>
          <w:color w:val="FF0000"/>
          <w:lang w:val="en-GB"/>
        </w:rPr>
        <w:t>before</w:t>
      </w:r>
      <w:r w:rsidRPr="00673013">
        <w:rPr>
          <w:color w:val="FF0000"/>
          <w:lang w:val="en-GB"/>
        </w:rPr>
        <w:t xml:space="preserve"> </w:t>
      </w:r>
      <w:r w:rsidRPr="00673013">
        <w:rPr>
          <w:lang w:val="en-GB"/>
        </w:rPr>
        <w:t>pitting. To ensure uniformity in size, one of the following must be applied.</w:t>
      </w:r>
    </w:p>
    <w:p w14:paraId="3E484F10" w14:textId="77777777" w:rsidR="00673013" w:rsidRPr="00673013" w:rsidRDefault="00673013" w:rsidP="00673013">
      <w:pPr>
        <w:pStyle w:val="SingleTxtG"/>
        <w:rPr>
          <w:b/>
          <w:bCs/>
          <w:color w:val="FF0000"/>
          <w:lang w:val="en-GB"/>
        </w:rPr>
      </w:pPr>
      <w:r w:rsidRPr="00673013">
        <w:rPr>
          <w:b/>
          <w:bCs/>
          <w:color w:val="FF0000"/>
          <w:lang w:val="en-GB"/>
        </w:rPr>
        <w:t>US Delegation comment: US recommends replacing “before” with “after”</w:t>
      </w:r>
    </w:p>
    <w:p w14:paraId="770DFF63" w14:textId="77777777" w:rsidR="00673013" w:rsidRPr="00673013" w:rsidRDefault="00673013" w:rsidP="00673013">
      <w:pPr>
        <w:pStyle w:val="H23G"/>
        <w:rPr>
          <w:lang w:val="en-GB"/>
        </w:rPr>
      </w:pPr>
      <w:r w:rsidRPr="00673013">
        <w:rPr>
          <w:lang w:val="en-GB"/>
        </w:rPr>
        <w:tab/>
        <w:t>a.</w:t>
      </w:r>
      <w:r w:rsidRPr="00673013">
        <w:rPr>
          <w:lang w:val="en-GB"/>
        </w:rPr>
        <w:tab/>
        <w:t xml:space="preserve">[Size </w:t>
      </w:r>
      <w:r w:rsidRPr="00673013">
        <w:rPr>
          <w:color w:val="FF0000"/>
          <w:lang w:val="en-GB"/>
        </w:rPr>
        <w:t>nomenclature</w:t>
      </w:r>
      <w:r w:rsidRPr="00673013">
        <w:rPr>
          <w:lang w:val="en-GB"/>
        </w:rPr>
        <w:t xml:space="preserve">] </w:t>
      </w:r>
    </w:p>
    <w:p w14:paraId="6F0B6C5A" w14:textId="77777777" w:rsidR="00673013" w:rsidRPr="00673013" w:rsidRDefault="00673013" w:rsidP="00673013">
      <w:pPr>
        <w:rPr>
          <w:lang w:val="en-GB"/>
        </w:rPr>
      </w:pPr>
    </w:p>
    <w:p w14:paraId="2448AE69" w14:textId="77777777" w:rsidR="00673013" w:rsidRPr="008E178E" w:rsidRDefault="00673013" w:rsidP="00673013">
      <w:pPr>
        <w:rPr>
          <w:b/>
          <w:bCs/>
          <w:lang w:val="en-GB"/>
        </w:rPr>
      </w:pPr>
      <w:r w:rsidRPr="008E178E">
        <w:rPr>
          <w:b/>
          <w:bCs/>
          <w:u w:val="single"/>
          <w:lang w:val="en-GB"/>
        </w:rPr>
        <w:t>France Delegation comment</w:t>
      </w:r>
      <w:r w:rsidRPr="008E178E">
        <w:rPr>
          <w:b/>
          <w:bCs/>
          <w:lang w:val="en-GB"/>
        </w:rPr>
        <w:t xml:space="preserve">: If only one of the sizing designations from 2003 standard may be maintained, FR wants to keep the sizing named “European designation”. We think the number of prunes per pound </w:t>
      </w:r>
      <w:proofErr w:type="gramStart"/>
      <w:r w:rsidRPr="008E178E">
        <w:rPr>
          <w:b/>
          <w:bCs/>
          <w:lang w:val="en-GB"/>
        </w:rPr>
        <w:t>have to</w:t>
      </w:r>
      <w:proofErr w:type="gramEnd"/>
      <w:r w:rsidRPr="008E178E">
        <w:rPr>
          <w:b/>
          <w:bCs/>
          <w:lang w:val="en-GB"/>
        </w:rPr>
        <w:t xml:space="preserve"> be consistent with the number of prunes per 500g.</w:t>
      </w:r>
    </w:p>
    <w:p w14:paraId="1357B369" w14:textId="77777777" w:rsidR="00673013" w:rsidRPr="008E178E" w:rsidRDefault="00673013" w:rsidP="00673013">
      <w:pPr>
        <w:rPr>
          <w:b/>
          <w:bCs/>
          <w:lang w:val="en-GB"/>
        </w:rPr>
      </w:pPr>
    </w:p>
    <w:p w14:paraId="268A7EA4" w14:textId="77777777" w:rsidR="00673013" w:rsidRPr="008E178E" w:rsidRDefault="00673013" w:rsidP="00673013">
      <w:pPr>
        <w:rPr>
          <w:b/>
          <w:bCs/>
          <w:lang w:val="en-GB"/>
        </w:rPr>
      </w:pPr>
      <w:r w:rsidRPr="008E178E">
        <w:rPr>
          <w:b/>
          <w:bCs/>
          <w:lang w:val="en-GB"/>
        </w:rPr>
        <w:t xml:space="preserve">If there is no agreement found, FR suggests </w:t>
      </w:r>
      <w:proofErr w:type="gramStart"/>
      <w:r w:rsidRPr="008E178E">
        <w:rPr>
          <w:b/>
          <w:bCs/>
          <w:lang w:val="en-GB"/>
        </w:rPr>
        <w:t>to keep</w:t>
      </w:r>
      <w:proofErr w:type="gramEnd"/>
      <w:r w:rsidRPr="008E178E">
        <w:rPr>
          <w:b/>
          <w:bCs/>
          <w:lang w:val="en-GB"/>
        </w:rPr>
        <w:t xml:space="preserve"> both designations: </w:t>
      </w:r>
    </w:p>
    <w:p w14:paraId="2A291599" w14:textId="77777777" w:rsidR="00673013" w:rsidRPr="008E178E" w:rsidRDefault="00673013" w:rsidP="00673013">
      <w:pPr>
        <w:rPr>
          <w:b/>
          <w:bCs/>
          <w:lang w:val="en-GB"/>
        </w:rPr>
      </w:pPr>
      <w:r w:rsidRPr="008E178E">
        <w:rPr>
          <w:b/>
          <w:bCs/>
          <w:lang w:val="en-GB"/>
        </w:rPr>
        <w:t>European designation and American designation as in 2003 standard.</w:t>
      </w:r>
    </w:p>
    <w:p w14:paraId="052E5505" w14:textId="77777777" w:rsidR="00673013" w:rsidRPr="00673013" w:rsidRDefault="00673013" w:rsidP="00673013">
      <w:pPr>
        <w:rPr>
          <w:b/>
          <w:bCs/>
          <w:color w:val="FF0000"/>
          <w:lang w:val="en-GB"/>
        </w:rPr>
      </w:pPr>
    </w:p>
    <w:p w14:paraId="5D804A66" w14:textId="77777777" w:rsidR="00673013" w:rsidRPr="00673013" w:rsidRDefault="00673013" w:rsidP="00673013">
      <w:pPr>
        <w:rPr>
          <w:color w:val="FF0000"/>
          <w:lang w:val="en-GB"/>
        </w:rPr>
      </w:pPr>
      <w:r w:rsidRPr="00673013">
        <w:rPr>
          <w:b/>
          <w:bCs/>
          <w:color w:val="FF0000"/>
          <w:u w:val="single"/>
          <w:lang w:val="en-GB"/>
        </w:rPr>
        <w:t>US Delegation comment</w:t>
      </w:r>
      <w:r w:rsidRPr="00673013">
        <w:rPr>
          <w:b/>
          <w:bCs/>
          <w:color w:val="FF0000"/>
          <w:lang w:val="en-GB"/>
        </w:rPr>
        <w:t>: US recommends “Designation per 500 g” and “Designation per pound”</w:t>
      </w:r>
    </w:p>
    <w:p w14:paraId="1DB323FE" w14:textId="77777777" w:rsidR="00673013" w:rsidRPr="003C3714" w:rsidRDefault="00673013" w:rsidP="00673013">
      <w:pPr>
        <w:pStyle w:val="H4G"/>
        <w:rPr>
          <w:b/>
        </w:rPr>
      </w:pPr>
      <w:r w:rsidRPr="00673013">
        <w:rPr>
          <w:lang w:val="en-GB"/>
        </w:rPr>
        <w:tab/>
      </w:r>
      <w:r w:rsidRPr="00673013">
        <w:rPr>
          <w:lang w:val="en-GB"/>
        </w:rPr>
        <w:tab/>
      </w:r>
      <w:proofErr w:type="spellStart"/>
      <w:r w:rsidRPr="003C3714">
        <w:t>Designation</w:t>
      </w:r>
      <w:proofErr w:type="spellEnd"/>
      <w:r w:rsidRPr="003C3714">
        <w:t xml:space="preserve"> per 500 g </w:t>
      </w:r>
      <w:bookmarkStart w:id="0" w:name="_GoBack"/>
      <w:bookmarkEnd w:id="0"/>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2921"/>
        <w:gridCol w:w="2836"/>
      </w:tblGrid>
      <w:tr w:rsidR="00673013" w:rsidRPr="008E178E" w14:paraId="2C5092CA" w14:textId="77777777" w:rsidTr="00746667">
        <w:trPr>
          <w:tblHeader/>
        </w:trPr>
        <w:tc>
          <w:tcPr>
            <w:tcW w:w="1613" w:type="dxa"/>
            <w:tcBorders>
              <w:top w:val="single" w:sz="4" w:space="0" w:color="auto"/>
              <w:bottom w:val="single" w:sz="4" w:space="0" w:color="auto"/>
            </w:tcBorders>
            <w:shd w:val="clear" w:color="auto" w:fill="auto"/>
            <w:vAlign w:val="bottom"/>
          </w:tcPr>
          <w:p w14:paraId="7C788131" w14:textId="77777777" w:rsidR="00673013" w:rsidRPr="00142339" w:rsidRDefault="00673013" w:rsidP="00746667">
            <w:pPr>
              <w:suppressAutoHyphens w:val="0"/>
              <w:spacing w:before="80" w:after="80" w:line="200" w:lineRule="exact"/>
              <w:ind w:right="113"/>
              <w:rPr>
                <w:i/>
                <w:sz w:val="16"/>
                <w:szCs w:val="16"/>
              </w:rPr>
            </w:pPr>
            <w:proofErr w:type="spellStart"/>
            <w:r w:rsidRPr="00142339">
              <w:rPr>
                <w:i/>
                <w:sz w:val="16"/>
                <w:szCs w:val="16"/>
              </w:rPr>
              <w:t>Designation</w:t>
            </w:r>
            <w:proofErr w:type="spellEnd"/>
          </w:p>
        </w:tc>
        <w:tc>
          <w:tcPr>
            <w:tcW w:w="2921" w:type="dxa"/>
            <w:tcBorders>
              <w:top w:val="single" w:sz="4" w:space="0" w:color="auto"/>
              <w:bottom w:val="single" w:sz="4" w:space="0" w:color="auto"/>
            </w:tcBorders>
            <w:shd w:val="clear" w:color="auto" w:fill="auto"/>
            <w:vAlign w:val="bottom"/>
          </w:tcPr>
          <w:p w14:paraId="36011E4D" w14:textId="77777777" w:rsidR="00673013" w:rsidRPr="00673013" w:rsidRDefault="00673013" w:rsidP="00746667">
            <w:pPr>
              <w:suppressAutoHyphens w:val="0"/>
              <w:spacing w:before="80" w:after="80" w:line="200" w:lineRule="exact"/>
              <w:ind w:right="113"/>
              <w:rPr>
                <w:i/>
                <w:sz w:val="16"/>
                <w:szCs w:val="16"/>
                <w:lang w:val="en-GB"/>
              </w:rPr>
            </w:pPr>
            <w:r w:rsidRPr="00673013">
              <w:rPr>
                <w:i/>
                <w:sz w:val="16"/>
                <w:szCs w:val="16"/>
                <w:lang w:val="en-GB"/>
              </w:rPr>
              <w:t>Number of prunes per 500 g</w:t>
            </w:r>
          </w:p>
        </w:tc>
        <w:tc>
          <w:tcPr>
            <w:tcW w:w="2836" w:type="dxa"/>
            <w:tcBorders>
              <w:top w:val="single" w:sz="4" w:space="0" w:color="auto"/>
              <w:bottom w:val="single" w:sz="4" w:space="0" w:color="auto"/>
            </w:tcBorders>
            <w:shd w:val="clear" w:color="auto" w:fill="auto"/>
            <w:vAlign w:val="bottom"/>
          </w:tcPr>
          <w:p w14:paraId="63F44038" w14:textId="77777777" w:rsidR="00673013" w:rsidRPr="00673013" w:rsidRDefault="00673013" w:rsidP="00746667">
            <w:pPr>
              <w:suppressAutoHyphens w:val="0"/>
              <w:spacing w:before="80" w:after="80" w:line="200" w:lineRule="exact"/>
              <w:ind w:right="113"/>
              <w:rPr>
                <w:i/>
                <w:lang w:val="en-GB"/>
              </w:rPr>
            </w:pPr>
          </w:p>
        </w:tc>
      </w:tr>
      <w:tr w:rsidR="00673013" w:rsidRPr="00B4005A" w14:paraId="14F7968C" w14:textId="77777777" w:rsidTr="00746667">
        <w:tc>
          <w:tcPr>
            <w:tcW w:w="1613" w:type="dxa"/>
            <w:tcBorders>
              <w:top w:val="single" w:sz="4" w:space="0" w:color="auto"/>
              <w:bottom w:val="nil"/>
            </w:tcBorders>
            <w:shd w:val="clear" w:color="auto" w:fill="auto"/>
          </w:tcPr>
          <w:p w14:paraId="2A1C1F2F" w14:textId="77777777" w:rsidR="00673013" w:rsidRPr="007269CD" w:rsidRDefault="00673013" w:rsidP="00746667">
            <w:pPr>
              <w:suppressAutoHyphens w:val="0"/>
              <w:spacing w:before="40" w:after="120" w:line="220" w:lineRule="exact"/>
              <w:ind w:right="113"/>
            </w:pPr>
            <w:r w:rsidRPr="007269CD">
              <w:t xml:space="preserve">Super </w:t>
            </w:r>
            <w:proofErr w:type="spellStart"/>
            <w:r w:rsidRPr="007269CD">
              <w:t>giant</w:t>
            </w:r>
            <w:proofErr w:type="spellEnd"/>
          </w:p>
        </w:tc>
        <w:tc>
          <w:tcPr>
            <w:tcW w:w="2921" w:type="dxa"/>
            <w:tcBorders>
              <w:top w:val="single" w:sz="4" w:space="0" w:color="auto"/>
              <w:bottom w:val="nil"/>
            </w:tcBorders>
            <w:shd w:val="clear" w:color="auto" w:fill="auto"/>
          </w:tcPr>
          <w:p w14:paraId="13E512B6" w14:textId="77777777" w:rsidR="00673013" w:rsidRPr="007269CD" w:rsidRDefault="00673013" w:rsidP="00746667">
            <w:pPr>
              <w:suppressAutoHyphens w:val="0"/>
              <w:spacing w:before="40" w:after="120" w:line="220" w:lineRule="exact"/>
              <w:ind w:right="113"/>
            </w:pPr>
            <w:proofErr w:type="gramStart"/>
            <w:r w:rsidRPr="007269CD">
              <w:t>not</w:t>
            </w:r>
            <w:proofErr w:type="gramEnd"/>
            <w:r w:rsidRPr="007269CD">
              <w:t xml:space="preserve"> more </w:t>
            </w:r>
            <w:proofErr w:type="spellStart"/>
            <w:r w:rsidRPr="007269CD">
              <w:t>than</w:t>
            </w:r>
            <w:proofErr w:type="spellEnd"/>
            <w:r w:rsidRPr="007269CD">
              <w:t xml:space="preserve"> 33 prunes</w:t>
            </w:r>
          </w:p>
        </w:tc>
        <w:tc>
          <w:tcPr>
            <w:tcW w:w="2836" w:type="dxa"/>
            <w:tcBorders>
              <w:top w:val="single" w:sz="4" w:space="0" w:color="auto"/>
              <w:bottom w:val="nil"/>
            </w:tcBorders>
            <w:shd w:val="clear" w:color="auto" w:fill="auto"/>
          </w:tcPr>
          <w:p w14:paraId="560B9247" w14:textId="77777777" w:rsidR="00673013" w:rsidRPr="00B4005A" w:rsidRDefault="00673013" w:rsidP="00746667">
            <w:pPr>
              <w:suppressAutoHyphens w:val="0"/>
              <w:spacing w:before="40" w:after="120" w:line="220" w:lineRule="exact"/>
              <w:ind w:right="113"/>
            </w:pPr>
          </w:p>
        </w:tc>
      </w:tr>
      <w:tr w:rsidR="00673013" w:rsidRPr="00B4005A" w14:paraId="7243A262" w14:textId="77777777" w:rsidTr="00746667">
        <w:tc>
          <w:tcPr>
            <w:tcW w:w="1613" w:type="dxa"/>
            <w:tcBorders>
              <w:top w:val="nil"/>
              <w:bottom w:val="nil"/>
            </w:tcBorders>
            <w:shd w:val="clear" w:color="auto" w:fill="auto"/>
          </w:tcPr>
          <w:p w14:paraId="795729C9" w14:textId="77777777" w:rsidR="00673013" w:rsidRPr="007269CD" w:rsidRDefault="00673013" w:rsidP="00746667">
            <w:pPr>
              <w:suppressAutoHyphens w:val="0"/>
              <w:spacing w:before="40" w:after="120" w:line="220" w:lineRule="exact"/>
              <w:ind w:right="113"/>
            </w:pPr>
            <w:r w:rsidRPr="007269CD">
              <w:t>Giant</w:t>
            </w:r>
          </w:p>
        </w:tc>
        <w:tc>
          <w:tcPr>
            <w:tcW w:w="2921" w:type="dxa"/>
            <w:tcBorders>
              <w:top w:val="nil"/>
              <w:bottom w:val="nil"/>
            </w:tcBorders>
            <w:shd w:val="clear" w:color="auto" w:fill="auto"/>
          </w:tcPr>
          <w:p w14:paraId="1FEAF550" w14:textId="77777777" w:rsidR="00673013" w:rsidRPr="007269CD" w:rsidRDefault="00673013" w:rsidP="00746667">
            <w:pPr>
              <w:suppressAutoHyphens w:val="0"/>
              <w:spacing w:before="40" w:after="120" w:line="220" w:lineRule="exact"/>
              <w:ind w:right="113"/>
            </w:pPr>
            <w:proofErr w:type="spellStart"/>
            <w:proofErr w:type="gramStart"/>
            <w:r w:rsidRPr="007269CD">
              <w:t>from</w:t>
            </w:r>
            <w:proofErr w:type="spellEnd"/>
            <w:proofErr w:type="gramEnd"/>
            <w:r w:rsidRPr="007269CD">
              <w:t xml:space="preserve"> 34 to 44 prunes</w:t>
            </w:r>
          </w:p>
        </w:tc>
        <w:tc>
          <w:tcPr>
            <w:tcW w:w="2836" w:type="dxa"/>
            <w:tcBorders>
              <w:top w:val="nil"/>
              <w:bottom w:val="nil"/>
            </w:tcBorders>
            <w:shd w:val="clear" w:color="auto" w:fill="auto"/>
          </w:tcPr>
          <w:p w14:paraId="13D1CA1E" w14:textId="77777777" w:rsidR="00673013" w:rsidRPr="00B4005A" w:rsidRDefault="00673013" w:rsidP="00746667">
            <w:pPr>
              <w:suppressAutoHyphens w:val="0"/>
              <w:spacing w:before="40" w:after="120" w:line="220" w:lineRule="exact"/>
              <w:ind w:right="113"/>
            </w:pPr>
          </w:p>
        </w:tc>
      </w:tr>
      <w:tr w:rsidR="00673013" w:rsidRPr="00B4005A" w14:paraId="1BF6CCF8" w14:textId="77777777" w:rsidTr="00746667">
        <w:tc>
          <w:tcPr>
            <w:tcW w:w="1613" w:type="dxa"/>
            <w:tcBorders>
              <w:top w:val="nil"/>
              <w:bottom w:val="nil"/>
            </w:tcBorders>
            <w:shd w:val="clear" w:color="auto" w:fill="auto"/>
          </w:tcPr>
          <w:p w14:paraId="27B9805D" w14:textId="77777777" w:rsidR="00673013" w:rsidRPr="00B4005A" w:rsidRDefault="00673013" w:rsidP="00746667">
            <w:pPr>
              <w:suppressAutoHyphens w:val="0"/>
              <w:spacing w:before="40" w:after="120" w:line="220" w:lineRule="exact"/>
              <w:ind w:right="113"/>
            </w:pPr>
            <w:r w:rsidRPr="00B4005A">
              <w:t>Very large</w:t>
            </w:r>
          </w:p>
        </w:tc>
        <w:tc>
          <w:tcPr>
            <w:tcW w:w="2921" w:type="dxa"/>
            <w:tcBorders>
              <w:top w:val="nil"/>
              <w:bottom w:val="nil"/>
            </w:tcBorders>
            <w:shd w:val="clear" w:color="auto" w:fill="auto"/>
          </w:tcPr>
          <w:p w14:paraId="127E45E2" w14:textId="77777777" w:rsidR="00673013" w:rsidRPr="00B4005A" w:rsidRDefault="00673013" w:rsidP="00746667">
            <w:pPr>
              <w:suppressAutoHyphens w:val="0"/>
              <w:spacing w:before="40" w:after="120" w:line="220" w:lineRule="exact"/>
              <w:ind w:right="113"/>
            </w:pPr>
            <w:proofErr w:type="spellStart"/>
            <w:proofErr w:type="gramStart"/>
            <w:r w:rsidRPr="00B4005A">
              <w:t>from</w:t>
            </w:r>
            <w:proofErr w:type="spellEnd"/>
            <w:proofErr w:type="gramEnd"/>
            <w:r w:rsidRPr="00B4005A">
              <w:t xml:space="preserve"> 44 to 55 prunes</w:t>
            </w:r>
          </w:p>
        </w:tc>
        <w:tc>
          <w:tcPr>
            <w:tcW w:w="2836" w:type="dxa"/>
            <w:tcBorders>
              <w:top w:val="nil"/>
              <w:bottom w:val="nil"/>
            </w:tcBorders>
            <w:shd w:val="clear" w:color="auto" w:fill="auto"/>
          </w:tcPr>
          <w:p w14:paraId="114B9744" w14:textId="77777777" w:rsidR="00673013" w:rsidRPr="00B4005A" w:rsidRDefault="00673013" w:rsidP="00746667">
            <w:pPr>
              <w:suppressAutoHyphens w:val="0"/>
              <w:spacing w:before="40" w:after="120" w:line="220" w:lineRule="exact"/>
              <w:ind w:right="113"/>
            </w:pPr>
          </w:p>
        </w:tc>
      </w:tr>
      <w:tr w:rsidR="00673013" w:rsidRPr="00B4005A" w14:paraId="4C0CB126" w14:textId="77777777" w:rsidTr="00746667">
        <w:tc>
          <w:tcPr>
            <w:tcW w:w="1613" w:type="dxa"/>
            <w:tcBorders>
              <w:top w:val="nil"/>
            </w:tcBorders>
            <w:shd w:val="clear" w:color="auto" w:fill="auto"/>
          </w:tcPr>
          <w:p w14:paraId="66220196" w14:textId="77777777" w:rsidR="00673013" w:rsidRPr="00B4005A" w:rsidRDefault="00673013" w:rsidP="00746667">
            <w:pPr>
              <w:suppressAutoHyphens w:val="0"/>
              <w:spacing w:before="40" w:after="120" w:line="220" w:lineRule="exact"/>
              <w:ind w:right="113"/>
            </w:pPr>
            <w:r w:rsidRPr="00B4005A">
              <w:t>Large</w:t>
            </w:r>
          </w:p>
        </w:tc>
        <w:tc>
          <w:tcPr>
            <w:tcW w:w="2921" w:type="dxa"/>
            <w:tcBorders>
              <w:top w:val="nil"/>
            </w:tcBorders>
            <w:shd w:val="clear" w:color="auto" w:fill="auto"/>
          </w:tcPr>
          <w:p w14:paraId="41A3B9E0" w14:textId="77777777" w:rsidR="00673013" w:rsidRPr="00B4005A" w:rsidRDefault="00673013" w:rsidP="00746667">
            <w:pPr>
              <w:suppressAutoHyphens w:val="0"/>
              <w:spacing w:before="40" w:after="120" w:line="220" w:lineRule="exact"/>
              <w:ind w:right="113"/>
            </w:pPr>
            <w:proofErr w:type="spellStart"/>
            <w:proofErr w:type="gramStart"/>
            <w:r w:rsidRPr="00B4005A">
              <w:t>from</w:t>
            </w:r>
            <w:proofErr w:type="spellEnd"/>
            <w:proofErr w:type="gramEnd"/>
            <w:r w:rsidRPr="00B4005A">
              <w:t xml:space="preserve"> 55 to 66 prunes</w:t>
            </w:r>
          </w:p>
        </w:tc>
        <w:tc>
          <w:tcPr>
            <w:tcW w:w="2836" w:type="dxa"/>
            <w:tcBorders>
              <w:top w:val="nil"/>
            </w:tcBorders>
            <w:shd w:val="clear" w:color="auto" w:fill="auto"/>
          </w:tcPr>
          <w:p w14:paraId="411E8CCF" w14:textId="77777777" w:rsidR="00673013" w:rsidRPr="00B4005A" w:rsidRDefault="00673013" w:rsidP="00746667">
            <w:pPr>
              <w:suppressAutoHyphens w:val="0"/>
              <w:spacing w:before="40" w:after="120" w:line="220" w:lineRule="exact"/>
              <w:ind w:right="113"/>
            </w:pPr>
          </w:p>
        </w:tc>
      </w:tr>
      <w:tr w:rsidR="00673013" w:rsidRPr="00B4005A" w14:paraId="414AFB28" w14:textId="77777777" w:rsidTr="00746667">
        <w:tc>
          <w:tcPr>
            <w:tcW w:w="1613" w:type="dxa"/>
            <w:shd w:val="clear" w:color="auto" w:fill="auto"/>
          </w:tcPr>
          <w:p w14:paraId="1DF4D161" w14:textId="77777777" w:rsidR="00673013" w:rsidRPr="00B4005A" w:rsidRDefault="00673013" w:rsidP="00746667">
            <w:pPr>
              <w:suppressAutoHyphens w:val="0"/>
              <w:spacing w:before="40" w:after="120" w:line="220" w:lineRule="exact"/>
              <w:ind w:right="113"/>
            </w:pPr>
            <w:r w:rsidRPr="00B4005A">
              <w:t>Medium</w:t>
            </w:r>
          </w:p>
        </w:tc>
        <w:tc>
          <w:tcPr>
            <w:tcW w:w="2921" w:type="dxa"/>
            <w:shd w:val="clear" w:color="auto" w:fill="auto"/>
          </w:tcPr>
          <w:p w14:paraId="54113028" w14:textId="77777777" w:rsidR="00673013" w:rsidRPr="00B4005A" w:rsidRDefault="00673013" w:rsidP="00746667">
            <w:pPr>
              <w:suppressAutoHyphens w:val="0"/>
              <w:spacing w:before="40" w:after="120" w:line="220" w:lineRule="exact"/>
              <w:ind w:right="113"/>
            </w:pPr>
            <w:proofErr w:type="spellStart"/>
            <w:proofErr w:type="gramStart"/>
            <w:r w:rsidRPr="00B4005A">
              <w:t>from</w:t>
            </w:r>
            <w:proofErr w:type="spellEnd"/>
            <w:proofErr w:type="gramEnd"/>
            <w:r w:rsidRPr="00B4005A">
              <w:t xml:space="preserve"> 66 to 77 prunes</w:t>
            </w:r>
          </w:p>
        </w:tc>
        <w:tc>
          <w:tcPr>
            <w:tcW w:w="2836" w:type="dxa"/>
            <w:shd w:val="clear" w:color="auto" w:fill="auto"/>
          </w:tcPr>
          <w:p w14:paraId="32715808" w14:textId="77777777" w:rsidR="00673013" w:rsidRPr="00B4005A" w:rsidRDefault="00673013" w:rsidP="00746667">
            <w:pPr>
              <w:suppressAutoHyphens w:val="0"/>
              <w:spacing w:before="40" w:after="120" w:line="220" w:lineRule="exact"/>
              <w:ind w:right="113"/>
            </w:pPr>
          </w:p>
        </w:tc>
      </w:tr>
      <w:tr w:rsidR="00673013" w:rsidRPr="00B4005A" w14:paraId="2C733846" w14:textId="77777777" w:rsidTr="00746667">
        <w:tc>
          <w:tcPr>
            <w:tcW w:w="1613" w:type="dxa"/>
            <w:shd w:val="clear" w:color="auto" w:fill="auto"/>
          </w:tcPr>
          <w:p w14:paraId="7491F59C" w14:textId="77777777" w:rsidR="00673013" w:rsidRPr="00B4005A" w:rsidRDefault="00673013" w:rsidP="00746667">
            <w:pPr>
              <w:suppressAutoHyphens w:val="0"/>
              <w:spacing w:before="40" w:after="120" w:line="220" w:lineRule="exact"/>
              <w:ind w:right="113"/>
            </w:pPr>
            <w:r w:rsidRPr="00B4005A">
              <w:t>Small</w:t>
            </w:r>
          </w:p>
        </w:tc>
        <w:tc>
          <w:tcPr>
            <w:tcW w:w="2921" w:type="dxa"/>
            <w:shd w:val="clear" w:color="auto" w:fill="auto"/>
          </w:tcPr>
          <w:p w14:paraId="1E8857D6" w14:textId="77777777" w:rsidR="00673013" w:rsidRPr="00B4005A" w:rsidRDefault="00673013" w:rsidP="00746667">
            <w:pPr>
              <w:suppressAutoHyphens w:val="0"/>
              <w:spacing w:before="40" w:after="120" w:line="220" w:lineRule="exact"/>
              <w:ind w:right="113"/>
            </w:pPr>
            <w:proofErr w:type="spellStart"/>
            <w:proofErr w:type="gramStart"/>
            <w:r w:rsidRPr="00B4005A">
              <w:t>from</w:t>
            </w:r>
            <w:proofErr w:type="spellEnd"/>
            <w:proofErr w:type="gramEnd"/>
            <w:r w:rsidRPr="00B4005A">
              <w:t xml:space="preserve"> 77 to 99 prunes</w:t>
            </w:r>
          </w:p>
        </w:tc>
        <w:tc>
          <w:tcPr>
            <w:tcW w:w="2836" w:type="dxa"/>
            <w:shd w:val="clear" w:color="auto" w:fill="auto"/>
          </w:tcPr>
          <w:p w14:paraId="6F9E7173" w14:textId="77777777" w:rsidR="00673013" w:rsidRPr="00B4005A" w:rsidRDefault="00673013" w:rsidP="00746667">
            <w:pPr>
              <w:suppressAutoHyphens w:val="0"/>
              <w:spacing w:before="40" w:after="120" w:line="220" w:lineRule="exact"/>
              <w:ind w:right="113"/>
            </w:pPr>
          </w:p>
        </w:tc>
      </w:tr>
      <w:tr w:rsidR="00673013" w:rsidRPr="00B4005A" w14:paraId="2B944555" w14:textId="77777777" w:rsidTr="00746667">
        <w:tc>
          <w:tcPr>
            <w:tcW w:w="1613" w:type="dxa"/>
            <w:shd w:val="clear" w:color="auto" w:fill="auto"/>
          </w:tcPr>
          <w:p w14:paraId="5B4293B2" w14:textId="77777777" w:rsidR="00673013" w:rsidRPr="00B4005A" w:rsidRDefault="00673013" w:rsidP="00746667">
            <w:pPr>
              <w:suppressAutoHyphens w:val="0"/>
              <w:spacing w:before="40" w:after="120" w:line="220" w:lineRule="exact"/>
              <w:ind w:right="113"/>
            </w:pPr>
            <w:r w:rsidRPr="00B4005A">
              <w:t xml:space="preserve">Very </w:t>
            </w:r>
            <w:proofErr w:type="spellStart"/>
            <w:r w:rsidRPr="00B4005A">
              <w:t>small</w:t>
            </w:r>
            <w:proofErr w:type="spellEnd"/>
          </w:p>
        </w:tc>
        <w:tc>
          <w:tcPr>
            <w:tcW w:w="2921" w:type="dxa"/>
            <w:shd w:val="clear" w:color="auto" w:fill="auto"/>
          </w:tcPr>
          <w:p w14:paraId="2428EB55" w14:textId="77777777" w:rsidR="00673013" w:rsidRPr="00B4005A" w:rsidRDefault="00673013" w:rsidP="00746667">
            <w:pPr>
              <w:suppressAutoHyphens w:val="0"/>
              <w:spacing w:before="40" w:after="120" w:line="220" w:lineRule="exact"/>
              <w:ind w:right="113"/>
            </w:pPr>
            <w:proofErr w:type="gramStart"/>
            <w:r w:rsidRPr="00B4005A">
              <w:t>more</w:t>
            </w:r>
            <w:proofErr w:type="gramEnd"/>
            <w:r w:rsidRPr="00B4005A">
              <w:t xml:space="preserve"> </w:t>
            </w:r>
            <w:proofErr w:type="spellStart"/>
            <w:r w:rsidRPr="00B4005A">
              <w:t>than</w:t>
            </w:r>
            <w:proofErr w:type="spellEnd"/>
            <w:r w:rsidRPr="00B4005A">
              <w:t xml:space="preserve"> 99 prunes</w:t>
            </w:r>
          </w:p>
        </w:tc>
        <w:tc>
          <w:tcPr>
            <w:tcW w:w="2836" w:type="dxa"/>
            <w:shd w:val="clear" w:color="auto" w:fill="auto"/>
          </w:tcPr>
          <w:p w14:paraId="50D8E349" w14:textId="77777777" w:rsidR="00673013" w:rsidRPr="00B4005A" w:rsidRDefault="00673013" w:rsidP="00746667">
            <w:pPr>
              <w:suppressAutoHyphens w:val="0"/>
              <w:spacing w:before="40" w:after="120" w:line="220" w:lineRule="exact"/>
              <w:ind w:right="113"/>
            </w:pPr>
          </w:p>
        </w:tc>
      </w:tr>
    </w:tbl>
    <w:p w14:paraId="7234913D" w14:textId="77777777" w:rsidR="00673013" w:rsidRPr="003C3714" w:rsidRDefault="00673013" w:rsidP="00673013">
      <w:pPr>
        <w:pStyle w:val="H4G"/>
        <w:rPr>
          <w:b/>
        </w:rPr>
      </w:pPr>
      <w:r>
        <w:tab/>
      </w:r>
      <w:r>
        <w:tab/>
      </w:r>
      <w:proofErr w:type="spellStart"/>
      <w:r w:rsidRPr="003C3714">
        <w:t>Designation</w:t>
      </w:r>
      <w:proofErr w:type="spellEnd"/>
      <w:r w:rsidRPr="003C3714">
        <w:t xml:space="preserve"> per pound </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4"/>
        <w:gridCol w:w="2839"/>
        <w:gridCol w:w="2797"/>
      </w:tblGrid>
      <w:tr w:rsidR="00673013" w:rsidRPr="008E178E" w14:paraId="37DCB500" w14:textId="77777777" w:rsidTr="00746667">
        <w:trPr>
          <w:tblHeader/>
        </w:trPr>
        <w:tc>
          <w:tcPr>
            <w:tcW w:w="1734" w:type="dxa"/>
            <w:tcBorders>
              <w:top w:val="single" w:sz="4" w:space="0" w:color="auto"/>
              <w:bottom w:val="single" w:sz="12" w:space="0" w:color="auto"/>
            </w:tcBorders>
            <w:shd w:val="clear" w:color="auto" w:fill="auto"/>
            <w:vAlign w:val="bottom"/>
          </w:tcPr>
          <w:p w14:paraId="65B4B650" w14:textId="77777777" w:rsidR="00673013" w:rsidRPr="00142339" w:rsidRDefault="00673013" w:rsidP="00746667">
            <w:pPr>
              <w:suppressAutoHyphens w:val="0"/>
              <w:spacing w:before="80" w:after="80" w:line="200" w:lineRule="exact"/>
              <w:ind w:right="113"/>
              <w:rPr>
                <w:i/>
                <w:sz w:val="16"/>
                <w:szCs w:val="16"/>
              </w:rPr>
            </w:pPr>
            <w:proofErr w:type="spellStart"/>
            <w:r w:rsidRPr="00142339">
              <w:rPr>
                <w:i/>
                <w:sz w:val="16"/>
                <w:szCs w:val="16"/>
              </w:rPr>
              <w:t>Designation</w:t>
            </w:r>
            <w:proofErr w:type="spellEnd"/>
          </w:p>
        </w:tc>
        <w:tc>
          <w:tcPr>
            <w:tcW w:w="2839" w:type="dxa"/>
            <w:tcBorders>
              <w:top w:val="single" w:sz="4" w:space="0" w:color="auto"/>
              <w:bottom w:val="single" w:sz="12" w:space="0" w:color="auto"/>
            </w:tcBorders>
            <w:shd w:val="clear" w:color="auto" w:fill="auto"/>
            <w:vAlign w:val="bottom"/>
          </w:tcPr>
          <w:p w14:paraId="60C2FD4B" w14:textId="77777777" w:rsidR="00673013" w:rsidRPr="00142339" w:rsidRDefault="00673013" w:rsidP="00746667">
            <w:pPr>
              <w:suppressAutoHyphens w:val="0"/>
              <w:spacing w:before="80" w:after="80" w:line="200" w:lineRule="exact"/>
              <w:ind w:right="113"/>
              <w:rPr>
                <w:i/>
                <w:sz w:val="16"/>
                <w:szCs w:val="16"/>
              </w:rPr>
            </w:pPr>
          </w:p>
        </w:tc>
        <w:tc>
          <w:tcPr>
            <w:tcW w:w="2797" w:type="dxa"/>
            <w:tcBorders>
              <w:top w:val="single" w:sz="4" w:space="0" w:color="auto"/>
              <w:bottom w:val="single" w:sz="12" w:space="0" w:color="auto"/>
            </w:tcBorders>
            <w:shd w:val="clear" w:color="auto" w:fill="auto"/>
            <w:vAlign w:val="bottom"/>
          </w:tcPr>
          <w:p w14:paraId="337C051B" w14:textId="77777777" w:rsidR="00673013" w:rsidRPr="00673013" w:rsidRDefault="00673013" w:rsidP="00746667">
            <w:pPr>
              <w:suppressAutoHyphens w:val="0"/>
              <w:spacing w:before="80" w:after="80" w:line="200" w:lineRule="exact"/>
              <w:ind w:right="113"/>
              <w:rPr>
                <w:i/>
                <w:sz w:val="16"/>
                <w:szCs w:val="16"/>
                <w:lang w:val="en-GB"/>
              </w:rPr>
            </w:pPr>
            <w:r w:rsidRPr="00673013">
              <w:rPr>
                <w:i/>
                <w:sz w:val="16"/>
                <w:szCs w:val="16"/>
                <w:lang w:val="en-GB"/>
              </w:rPr>
              <w:t>Number of prunes per pound (453 g)</w:t>
            </w:r>
          </w:p>
        </w:tc>
      </w:tr>
      <w:tr w:rsidR="00673013" w:rsidRPr="008E178E" w14:paraId="2EEFB41B" w14:textId="77777777" w:rsidTr="00746667">
        <w:tc>
          <w:tcPr>
            <w:tcW w:w="1734" w:type="dxa"/>
            <w:shd w:val="clear" w:color="auto" w:fill="auto"/>
          </w:tcPr>
          <w:p w14:paraId="291892D3" w14:textId="77777777" w:rsidR="00673013" w:rsidRPr="00BD3986" w:rsidRDefault="00673013" w:rsidP="00746667">
            <w:pPr>
              <w:suppressAutoHyphens w:val="0"/>
              <w:spacing w:before="40" w:after="120" w:line="220" w:lineRule="exact"/>
              <w:ind w:right="113"/>
            </w:pPr>
            <w:r w:rsidRPr="00BD3986">
              <w:t>Extra large</w:t>
            </w:r>
          </w:p>
        </w:tc>
        <w:tc>
          <w:tcPr>
            <w:tcW w:w="2839" w:type="dxa"/>
            <w:shd w:val="clear" w:color="auto" w:fill="auto"/>
          </w:tcPr>
          <w:p w14:paraId="2EC5699E" w14:textId="77777777" w:rsidR="00673013" w:rsidRPr="00BD3986" w:rsidRDefault="00673013" w:rsidP="00746667">
            <w:pPr>
              <w:suppressAutoHyphens w:val="0"/>
              <w:spacing w:before="40" w:after="120" w:line="220" w:lineRule="exact"/>
              <w:ind w:right="113"/>
            </w:pPr>
          </w:p>
        </w:tc>
        <w:tc>
          <w:tcPr>
            <w:tcW w:w="2797" w:type="dxa"/>
            <w:shd w:val="clear" w:color="auto" w:fill="auto"/>
          </w:tcPr>
          <w:p w14:paraId="66719861" w14:textId="77777777" w:rsidR="00673013" w:rsidRPr="00673013" w:rsidRDefault="00673013" w:rsidP="00746667">
            <w:pPr>
              <w:suppressAutoHyphens w:val="0"/>
              <w:spacing w:before="40" w:after="120" w:line="220" w:lineRule="exact"/>
              <w:ind w:right="113"/>
              <w:rPr>
                <w:lang w:val="en-GB"/>
              </w:rPr>
            </w:pPr>
            <w:r w:rsidRPr="00673013">
              <w:rPr>
                <w:b/>
                <w:bCs/>
                <w:color w:val="FF0000"/>
                <w:lang w:val="en-GB"/>
              </w:rPr>
              <w:t>from [36] to</w:t>
            </w:r>
            <w:r w:rsidRPr="00673013">
              <w:rPr>
                <w:color w:val="FF0000"/>
                <w:lang w:val="en-GB"/>
              </w:rPr>
              <w:t xml:space="preserve"> </w:t>
            </w:r>
            <w:r w:rsidRPr="00673013">
              <w:rPr>
                <w:lang w:val="en-GB"/>
              </w:rPr>
              <w:t xml:space="preserve">[43] prunes </w:t>
            </w:r>
            <w:r w:rsidRPr="00673013">
              <w:rPr>
                <w:b/>
                <w:bCs/>
                <w:color w:val="FF0000"/>
                <w:lang w:val="en-GB"/>
              </w:rPr>
              <w:t>US comment: US recommends replacing with “not more than”</w:t>
            </w:r>
          </w:p>
        </w:tc>
      </w:tr>
      <w:tr w:rsidR="00673013" w:rsidRPr="008E178E" w14:paraId="38148146" w14:textId="77777777" w:rsidTr="00746667">
        <w:tc>
          <w:tcPr>
            <w:tcW w:w="1734" w:type="dxa"/>
            <w:shd w:val="clear" w:color="auto" w:fill="auto"/>
          </w:tcPr>
          <w:p w14:paraId="3CDD34BE" w14:textId="77777777" w:rsidR="00673013" w:rsidRPr="00BD3986" w:rsidRDefault="00673013" w:rsidP="00746667">
            <w:pPr>
              <w:suppressAutoHyphens w:val="0"/>
              <w:spacing w:before="40" w:after="120" w:line="220" w:lineRule="exact"/>
              <w:ind w:right="113"/>
            </w:pPr>
            <w:r w:rsidRPr="00BD3986">
              <w:t>Large</w:t>
            </w:r>
          </w:p>
        </w:tc>
        <w:tc>
          <w:tcPr>
            <w:tcW w:w="2839" w:type="dxa"/>
            <w:shd w:val="clear" w:color="auto" w:fill="auto"/>
          </w:tcPr>
          <w:p w14:paraId="0D3D3B10" w14:textId="77777777" w:rsidR="00673013" w:rsidRPr="00BD3986" w:rsidRDefault="00673013" w:rsidP="00746667">
            <w:pPr>
              <w:suppressAutoHyphens w:val="0"/>
              <w:spacing w:before="40" w:after="120" w:line="220" w:lineRule="exact"/>
              <w:ind w:right="113"/>
            </w:pPr>
          </w:p>
        </w:tc>
        <w:tc>
          <w:tcPr>
            <w:tcW w:w="2797" w:type="dxa"/>
            <w:shd w:val="clear" w:color="auto" w:fill="auto"/>
          </w:tcPr>
          <w:p w14:paraId="010F86B8" w14:textId="77777777" w:rsidR="00673013" w:rsidRPr="00673013" w:rsidRDefault="00673013" w:rsidP="00746667">
            <w:pPr>
              <w:suppressAutoHyphens w:val="0"/>
              <w:spacing w:before="40" w:after="120" w:line="220" w:lineRule="exact"/>
              <w:ind w:right="113"/>
              <w:rPr>
                <w:lang w:val="en-GB"/>
              </w:rPr>
            </w:pPr>
            <w:r w:rsidRPr="00673013">
              <w:rPr>
                <w:lang w:val="en-GB"/>
              </w:rPr>
              <w:t>from [</w:t>
            </w:r>
            <w:r w:rsidRPr="00673013">
              <w:rPr>
                <w:b/>
                <w:bCs/>
                <w:color w:val="FF0000"/>
                <w:lang w:val="en-GB"/>
              </w:rPr>
              <w:t>43</w:t>
            </w:r>
            <w:r w:rsidRPr="00673013">
              <w:rPr>
                <w:lang w:val="en-GB"/>
              </w:rPr>
              <w:t>] to [53] prunes</w:t>
            </w:r>
          </w:p>
          <w:p w14:paraId="4BAFF345" w14:textId="77777777" w:rsidR="00673013" w:rsidRPr="00673013" w:rsidRDefault="00673013" w:rsidP="00746667">
            <w:pPr>
              <w:suppressAutoHyphens w:val="0"/>
              <w:spacing w:before="40" w:after="120" w:line="220" w:lineRule="exact"/>
              <w:ind w:right="113"/>
              <w:rPr>
                <w:b/>
                <w:bCs/>
                <w:lang w:val="en-GB"/>
              </w:rPr>
            </w:pPr>
            <w:r w:rsidRPr="00673013">
              <w:rPr>
                <w:b/>
                <w:bCs/>
                <w:color w:val="FF0000"/>
                <w:lang w:val="en-GB"/>
              </w:rPr>
              <w:t>US comment: Replace with “44”</w:t>
            </w:r>
          </w:p>
        </w:tc>
      </w:tr>
      <w:tr w:rsidR="00673013" w:rsidRPr="008E178E" w14:paraId="081CB98D" w14:textId="77777777" w:rsidTr="00746667">
        <w:tc>
          <w:tcPr>
            <w:tcW w:w="1734" w:type="dxa"/>
            <w:shd w:val="clear" w:color="auto" w:fill="auto"/>
          </w:tcPr>
          <w:p w14:paraId="05B02C41" w14:textId="77777777" w:rsidR="00673013" w:rsidRPr="00BD3986" w:rsidRDefault="00673013" w:rsidP="00746667">
            <w:pPr>
              <w:suppressAutoHyphens w:val="0"/>
              <w:spacing w:before="40" w:after="120" w:line="220" w:lineRule="exact"/>
              <w:ind w:right="113"/>
            </w:pPr>
            <w:r w:rsidRPr="00BD3986">
              <w:t>Medium</w:t>
            </w:r>
          </w:p>
        </w:tc>
        <w:tc>
          <w:tcPr>
            <w:tcW w:w="2839" w:type="dxa"/>
            <w:shd w:val="clear" w:color="auto" w:fill="auto"/>
          </w:tcPr>
          <w:p w14:paraId="529E7A93" w14:textId="77777777" w:rsidR="00673013" w:rsidRPr="00BD3986" w:rsidRDefault="00673013" w:rsidP="00746667">
            <w:pPr>
              <w:suppressAutoHyphens w:val="0"/>
              <w:spacing w:before="40" w:after="120" w:line="220" w:lineRule="exact"/>
              <w:ind w:right="113"/>
            </w:pPr>
          </w:p>
        </w:tc>
        <w:tc>
          <w:tcPr>
            <w:tcW w:w="2797" w:type="dxa"/>
            <w:shd w:val="clear" w:color="auto" w:fill="auto"/>
          </w:tcPr>
          <w:p w14:paraId="24D145C0" w14:textId="77777777" w:rsidR="00673013" w:rsidRPr="00673013" w:rsidRDefault="00673013" w:rsidP="00746667">
            <w:pPr>
              <w:suppressAutoHyphens w:val="0"/>
              <w:spacing w:before="40" w:after="120" w:line="220" w:lineRule="exact"/>
              <w:ind w:right="113"/>
              <w:rPr>
                <w:lang w:val="en-GB"/>
              </w:rPr>
            </w:pPr>
            <w:r w:rsidRPr="00673013">
              <w:rPr>
                <w:lang w:val="en-GB"/>
              </w:rPr>
              <w:t>from [</w:t>
            </w:r>
            <w:r w:rsidRPr="00673013">
              <w:rPr>
                <w:b/>
                <w:bCs/>
                <w:color w:val="FF0000"/>
                <w:lang w:val="en-GB"/>
              </w:rPr>
              <w:t>53</w:t>
            </w:r>
            <w:r w:rsidRPr="00673013">
              <w:rPr>
                <w:lang w:val="en-GB"/>
              </w:rPr>
              <w:t>] to [67] prunes</w:t>
            </w:r>
          </w:p>
          <w:p w14:paraId="0B6DA341" w14:textId="77777777" w:rsidR="00673013" w:rsidRPr="00673013" w:rsidRDefault="00673013" w:rsidP="00746667">
            <w:pPr>
              <w:suppressAutoHyphens w:val="0"/>
              <w:spacing w:before="40" w:after="120" w:line="220" w:lineRule="exact"/>
              <w:ind w:right="113"/>
              <w:rPr>
                <w:lang w:val="en-GB"/>
              </w:rPr>
            </w:pPr>
            <w:r w:rsidRPr="00673013">
              <w:rPr>
                <w:b/>
                <w:bCs/>
                <w:color w:val="FF0000"/>
                <w:lang w:val="en-GB"/>
              </w:rPr>
              <w:t>US comment: Replace with “54”</w:t>
            </w:r>
          </w:p>
        </w:tc>
      </w:tr>
      <w:tr w:rsidR="00673013" w:rsidRPr="008E178E" w14:paraId="67095B7F" w14:textId="77777777" w:rsidTr="00746667">
        <w:tc>
          <w:tcPr>
            <w:tcW w:w="1734" w:type="dxa"/>
            <w:shd w:val="clear" w:color="auto" w:fill="auto"/>
          </w:tcPr>
          <w:p w14:paraId="51070DE5" w14:textId="77777777" w:rsidR="00673013" w:rsidRPr="00BD3986" w:rsidRDefault="00673013" w:rsidP="00746667">
            <w:pPr>
              <w:suppressAutoHyphens w:val="0"/>
              <w:spacing w:before="40" w:after="120" w:line="220" w:lineRule="exact"/>
              <w:ind w:right="113"/>
            </w:pPr>
            <w:r w:rsidRPr="00BD3986">
              <w:t>Small</w:t>
            </w:r>
          </w:p>
        </w:tc>
        <w:tc>
          <w:tcPr>
            <w:tcW w:w="2839" w:type="dxa"/>
            <w:shd w:val="clear" w:color="auto" w:fill="auto"/>
          </w:tcPr>
          <w:p w14:paraId="16ACE276" w14:textId="77777777" w:rsidR="00673013" w:rsidRPr="00BD3986" w:rsidRDefault="00673013" w:rsidP="00746667">
            <w:pPr>
              <w:suppressAutoHyphens w:val="0"/>
              <w:spacing w:before="40" w:after="120" w:line="220" w:lineRule="exact"/>
              <w:ind w:right="113"/>
            </w:pPr>
          </w:p>
        </w:tc>
        <w:tc>
          <w:tcPr>
            <w:tcW w:w="2797" w:type="dxa"/>
            <w:shd w:val="clear" w:color="auto" w:fill="auto"/>
          </w:tcPr>
          <w:p w14:paraId="01787B4C" w14:textId="77777777" w:rsidR="00673013" w:rsidRPr="00673013" w:rsidRDefault="00673013" w:rsidP="00746667">
            <w:pPr>
              <w:suppressAutoHyphens w:val="0"/>
              <w:spacing w:before="40" w:after="120" w:line="220" w:lineRule="exact"/>
              <w:ind w:right="113"/>
              <w:rPr>
                <w:lang w:val="en-GB"/>
              </w:rPr>
            </w:pPr>
            <w:r w:rsidRPr="00673013">
              <w:rPr>
                <w:lang w:val="en-GB"/>
              </w:rPr>
              <w:t>from [</w:t>
            </w:r>
            <w:r w:rsidRPr="00673013">
              <w:rPr>
                <w:b/>
                <w:bCs/>
                <w:color w:val="FF0000"/>
                <w:lang w:val="en-GB"/>
              </w:rPr>
              <w:t>67</w:t>
            </w:r>
            <w:r w:rsidRPr="00673013">
              <w:rPr>
                <w:lang w:val="en-GB"/>
              </w:rPr>
              <w:t>] to [85] prunes</w:t>
            </w:r>
          </w:p>
          <w:p w14:paraId="061ECF74" w14:textId="77777777" w:rsidR="00673013" w:rsidRPr="00673013" w:rsidRDefault="00673013" w:rsidP="00746667">
            <w:pPr>
              <w:suppressAutoHyphens w:val="0"/>
              <w:spacing w:before="40" w:after="120" w:line="220" w:lineRule="exact"/>
              <w:ind w:right="113"/>
              <w:rPr>
                <w:lang w:val="en-GB"/>
              </w:rPr>
            </w:pPr>
            <w:r w:rsidRPr="00673013">
              <w:rPr>
                <w:b/>
                <w:bCs/>
                <w:color w:val="FF0000"/>
                <w:lang w:val="en-GB"/>
              </w:rPr>
              <w:t>US comment: Replace with “68”</w:t>
            </w:r>
          </w:p>
        </w:tc>
      </w:tr>
    </w:tbl>
    <w:p w14:paraId="6D0811F9" w14:textId="77777777" w:rsidR="00673013" w:rsidRPr="00673013" w:rsidRDefault="00673013" w:rsidP="00673013">
      <w:pPr>
        <w:pStyle w:val="H23G"/>
        <w:rPr>
          <w:lang w:val="en-GB"/>
        </w:rPr>
      </w:pPr>
      <w:r w:rsidRPr="00673013">
        <w:rPr>
          <w:lang w:val="en-GB"/>
        </w:rPr>
        <w:lastRenderedPageBreak/>
        <w:tab/>
        <w:t>b.</w:t>
      </w:r>
      <w:r w:rsidRPr="00673013">
        <w:rPr>
          <w:lang w:val="en-GB"/>
        </w:rPr>
        <w:tab/>
        <w:t>[Numerical categories]</w:t>
      </w:r>
    </w:p>
    <w:p w14:paraId="69A6818E" w14:textId="77777777" w:rsidR="00673013" w:rsidRPr="00673013" w:rsidRDefault="00673013" w:rsidP="00673013">
      <w:pPr>
        <w:ind w:left="1134" w:firstLine="6"/>
        <w:rPr>
          <w:lang w:val="en-GB"/>
        </w:rPr>
      </w:pPr>
      <w:r w:rsidRPr="00673013">
        <w:rPr>
          <w:lang w:val="en-GB"/>
        </w:rPr>
        <w:t xml:space="preserve">Size categories may also be described numerically by the range of average count per 500 g or per pound (453g), for example: 30/40; 35/45; 90/120 etc.  </w:t>
      </w:r>
    </w:p>
    <w:p w14:paraId="33C5076B" w14:textId="77777777" w:rsidR="00673013" w:rsidRPr="00673013" w:rsidRDefault="00673013" w:rsidP="00673013">
      <w:pPr>
        <w:pStyle w:val="H23G"/>
        <w:rPr>
          <w:lang w:val="en-GB"/>
        </w:rPr>
      </w:pPr>
      <w:r w:rsidRPr="00673013">
        <w:rPr>
          <w:lang w:val="en-GB"/>
        </w:rPr>
        <w:tab/>
      </w:r>
      <w:r w:rsidRPr="00673013">
        <w:rPr>
          <w:bCs/>
          <w:lang w:val="en-GB"/>
        </w:rPr>
        <w:t>c.</w:t>
      </w:r>
      <w:r w:rsidRPr="00673013">
        <w:rPr>
          <w:bCs/>
          <w:lang w:val="en-GB"/>
        </w:rPr>
        <w:tab/>
        <w:t>[</w:t>
      </w:r>
      <w:r w:rsidRPr="00673013">
        <w:rPr>
          <w:lang w:val="en-GB"/>
        </w:rPr>
        <w:t xml:space="preserve">“Pressure-pitted prunes”] </w:t>
      </w:r>
    </w:p>
    <w:p w14:paraId="28BA5DC1" w14:textId="77777777" w:rsidR="00673013" w:rsidRPr="00673013" w:rsidRDefault="00673013" w:rsidP="00673013">
      <w:pPr>
        <w:pStyle w:val="SingleTxtG"/>
        <w:ind w:right="0"/>
        <w:rPr>
          <w:lang w:val="en-GB"/>
        </w:rPr>
      </w:pPr>
      <w:r w:rsidRPr="00673013">
        <w:rPr>
          <w:lang w:val="en-GB"/>
        </w:rPr>
        <w:tab/>
        <w:t xml:space="preserve">Sizing of pressure-pitted prunes is optional </w:t>
      </w:r>
      <w:r w:rsidRPr="00673013">
        <w:rPr>
          <w:b/>
          <w:bCs/>
          <w:color w:val="FF0000"/>
          <w:lang w:val="en-GB"/>
        </w:rPr>
        <w:t>unless they are sold in packages intended for the consumer</w:t>
      </w:r>
    </w:p>
    <w:p w14:paraId="10AB6C57" w14:textId="77777777" w:rsidR="00673013" w:rsidRPr="00673013" w:rsidRDefault="00673013" w:rsidP="00673013">
      <w:pPr>
        <w:pStyle w:val="SingleTxtG"/>
        <w:ind w:right="0"/>
        <w:rPr>
          <w:b/>
          <w:bCs/>
          <w:color w:val="FF0000"/>
          <w:lang w:val="en-GB"/>
        </w:rPr>
      </w:pPr>
      <w:r w:rsidRPr="00673013">
        <w:rPr>
          <w:b/>
          <w:bCs/>
          <w:color w:val="FF0000"/>
          <w:lang w:val="en-GB"/>
        </w:rPr>
        <w:t>US comment: Not necessary - remove</w:t>
      </w:r>
    </w:p>
    <w:p w14:paraId="1B67F410" w14:textId="77777777" w:rsidR="00673013" w:rsidRPr="00673013" w:rsidRDefault="00673013" w:rsidP="00673013">
      <w:pPr>
        <w:pStyle w:val="SingleTxtG"/>
        <w:rPr>
          <w:lang w:val="en-GB"/>
        </w:rPr>
      </w:pPr>
      <w:r w:rsidRPr="00673013">
        <w:rPr>
          <w:b/>
          <w:color w:val="FF0000"/>
          <w:lang w:val="en-GB"/>
        </w:rPr>
        <w:t xml:space="preserve">d. Uniformity of size </w:t>
      </w:r>
      <w:r w:rsidRPr="00673013">
        <w:rPr>
          <w:lang w:val="en-GB"/>
        </w:rPr>
        <w:tab/>
      </w:r>
      <w:r w:rsidRPr="00673013">
        <w:rPr>
          <w:b/>
          <w:bCs/>
          <w:color w:val="FF0000"/>
          <w:lang w:val="en-GB"/>
        </w:rPr>
        <w:t>Prunes</w:t>
      </w:r>
      <w:r w:rsidRPr="00673013">
        <w:rPr>
          <w:color w:val="FF0000"/>
          <w:lang w:val="en-GB"/>
        </w:rPr>
        <w:t xml:space="preserve"> </w:t>
      </w:r>
      <w:r w:rsidRPr="00673013">
        <w:rPr>
          <w:lang w:val="en-GB"/>
        </w:rPr>
        <w:t>packed in accordance with the sizing methods established in this standard must be reasonably uniform in size.</w:t>
      </w:r>
    </w:p>
    <w:p w14:paraId="7E0AD4F6" w14:textId="77777777" w:rsidR="00673013" w:rsidRPr="008E178E" w:rsidRDefault="00673013" w:rsidP="00673013">
      <w:pPr>
        <w:pStyle w:val="SingleTxtG"/>
        <w:rPr>
          <w:b/>
          <w:bCs/>
          <w:lang w:val="en-GB"/>
        </w:rPr>
      </w:pPr>
      <w:r w:rsidRPr="008E178E">
        <w:rPr>
          <w:b/>
          <w:bCs/>
          <w:u w:val="single"/>
          <w:lang w:val="en-GB"/>
        </w:rPr>
        <w:t>France</w:t>
      </w:r>
      <w:r w:rsidRPr="008E178E">
        <w:rPr>
          <w:b/>
          <w:bCs/>
          <w:lang w:val="en-GB"/>
        </w:rPr>
        <w:t>: Uniformity of size should apply to all type of prunes and not only pressure-pitted prunes.</w:t>
      </w:r>
    </w:p>
    <w:p w14:paraId="0098E8B1" w14:textId="77777777" w:rsidR="00673013" w:rsidRPr="00673013" w:rsidRDefault="00673013" w:rsidP="00673013">
      <w:pPr>
        <w:pStyle w:val="SingleTxtG"/>
        <w:rPr>
          <w:b/>
          <w:bCs/>
          <w:color w:val="FF0000"/>
          <w:lang w:val="en-GB"/>
        </w:rPr>
      </w:pPr>
      <w:r w:rsidRPr="00673013">
        <w:rPr>
          <w:b/>
          <w:bCs/>
          <w:color w:val="FF0000"/>
          <w:u w:val="single"/>
          <w:lang w:val="en-GB"/>
        </w:rPr>
        <w:t>US Comment</w:t>
      </w:r>
      <w:r w:rsidRPr="00673013">
        <w:rPr>
          <w:b/>
          <w:bCs/>
          <w:color w:val="FF0000"/>
          <w:lang w:val="en-GB"/>
        </w:rPr>
        <w:t>: Agree that uniformity is for all prunes</w:t>
      </w:r>
    </w:p>
    <w:p w14:paraId="05238394" w14:textId="77777777" w:rsidR="00673013" w:rsidRPr="00673013" w:rsidRDefault="00673013" w:rsidP="00673013">
      <w:pPr>
        <w:pStyle w:val="SingleTxtG"/>
        <w:rPr>
          <w:lang w:val="en-GB"/>
        </w:rPr>
      </w:pPr>
      <w:r w:rsidRPr="00673013">
        <w:rPr>
          <w:lang w:val="en-GB"/>
        </w:rPr>
        <w:tab/>
        <w:t>In a sample of 5 kg of fruit taken from a given consignment, the difference between the number of the smallest prunes and that of the largest prunes per 500 g must not exceed:</w:t>
      </w:r>
    </w:p>
    <w:p w14:paraId="3E7B7DDD" w14:textId="77777777" w:rsidR="00673013" w:rsidRPr="00673013" w:rsidRDefault="00673013" w:rsidP="00673013">
      <w:pPr>
        <w:pStyle w:val="Bullet1G"/>
        <w:rPr>
          <w:lang w:val="en-GB"/>
        </w:rPr>
      </w:pPr>
      <w:r w:rsidRPr="00673013">
        <w:rPr>
          <w:lang w:val="en-GB"/>
        </w:rPr>
        <w:tab/>
        <w:t>25 for consignments of prunes of sizes ranging from 44 to 55 prunes per 500 g;</w:t>
      </w:r>
    </w:p>
    <w:p w14:paraId="229855FF" w14:textId="77777777" w:rsidR="00673013" w:rsidRPr="00673013" w:rsidRDefault="00673013" w:rsidP="00673013">
      <w:pPr>
        <w:pStyle w:val="Bullet1G"/>
        <w:rPr>
          <w:lang w:val="en-GB"/>
        </w:rPr>
      </w:pPr>
      <w:r w:rsidRPr="00673013">
        <w:rPr>
          <w:lang w:val="en-GB"/>
        </w:rPr>
        <w:tab/>
        <w:t>35 for consignments of prunes of sizes ranging from 55 to 77 prunes per 500 g;</w:t>
      </w:r>
    </w:p>
    <w:p w14:paraId="4927CF88" w14:textId="77777777" w:rsidR="00673013" w:rsidRPr="00673013" w:rsidRDefault="00673013" w:rsidP="00673013">
      <w:pPr>
        <w:pStyle w:val="Bullet1G"/>
        <w:rPr>
          <w:lang w:val="en-GB"/>
        </w:rPr>
      </w:pPr>
      <w:r w:rsidRPr="00673013">
        <w:rPr>
          <w:lang w:val="en-GB"/>
        </w:rPr>
        <w:tab/>
        <w:t>45 for consignments of prunes containing more than 77 prunes per 500 g.</w:t>
      </w:r>
    </w:p>
    <w:p w14:paraId="17518194" w14:textId="77777777" w:rsidR="00673013" w:rsidRPr="00673013" w:rsidRDefault="00673013" w:rsidP="00673013">
      <w:pPr>
        <w:pStyle w:val="SingleTxtG"/>
        <w:rPr>
          <w:b/>
          <w:bCs/>
          <w:strike/>
          <w:color w:val="FF0000"/>
          <w:lang w:val="en-GB"/>
        </w:rPr>
      </w:pPr>
      <w:r w:rsidRPr="00673013">
        <w:rPr>
          <w:lang w:val="en-GB"/>
        </w:rPr>
        <w:tab/>
      </w:r>
      <w:r w:rsidRPr="00673013">
        <w:rPr>
          <w:b/>
          <w:bCs/>
          <w:strike/>
          <w:color w:val="FF0000"/>
          <w:lang w:val="en-GB"/>
        </w:rPr>
        <w:t>The difference is calculated by reference to 10 per cent (by weight) of the sample for the smallest prunes and 10 per cent (by weight) for the largest.]</w:t>
      </w:r>
    </w:p>
    <w:p w14:paraId="2CE4D732" w14:textId="77777777" w:rsidR="00673013" w:rsidRPr="008E178E" w:rsidRDefault="00673013" w:rsidP="00673013">
      <w:pPr>
        <w:pStyle w:val="SingleTxtG"/>
        <w:rPr>
          <w:b/>
          <w:bCs/>
          <w:strike/>
          <w:lang w:val="en-GB"/>
        </w:rPr>
      </w:pPr>
      <w:r w:rsidRPr="008E178E">
        <w:rPr>
          <w:b/>
          <w:bCs/>
          <w:u w:val="single"/>
          <w:lang w:val="en-GB"/>
        </w:rPr>
        <w:t>France</w:t>
      </w:r>
      <w:r w:rsidRPr="008E178E">
        <w:rPr>
          <w:b/>
          <w:bCs/>
          <w:strike/>
          <w:u w:val="single"/>
          <w:lang w:val="en-GB"/>
        </w:rPr>
        <w:t>:</w:t>
      </w:r>
      <w:r w:rsidRPr="008E178E">
        <w:rPr>
          <w:b/>
          <w:bCs/>
          <w:strike/>
          <w:lang w:val="en-GB"/>
        </w:rPr>
        <w:t xml:space="preserve"> </w:t>
      </w:r>
      <w:r w:rsidRPr="008E178E">
        <w:rPr>
          <w:b/>
          <w:bCs/>
          <w:lang w:val="en-GB"/>
        </w:rPr>
        <w:t>The size tolerance is in the table below</w:t>
      </w:r>
    </w:p>
    <w:p w14:paraId="62205721" w14:textId="77777777" w:rsidR="00673013" w:rsidRPr="00673013" w:rsidRDefault="00673013" w:rsidP="00673013">
      <w:pPr>
        <w:pStyle w:val="HChG"/>
        <w:rPr>
          <w:lang w:val="en-GB"/>
        </w:rPr>
      </w:pPr>
      <w:r w:rsidRPr="00673013">
        <w:rPr>
          <w:lang w:val="en-GB"/>
        </w:rPr>
        <w:tab/>
        <w:t>IV.</w:t>
      </w:r>
      <w:r w:rsidRPr="00673013">
        <w:rPr>
          <w:lang w:val="en-GB"/>
        </w:rPr>
        <w:tab/>
        <w:t>Provisions concerning tolerances</w:t>
      </w:r>
    </w:p>
    <w:p w14:paraId="0DBB6F26" w14:textId="77777777" w:rsidR="00673013" w:rsidRPr="00673013" w:rsidRDefault="00673013" w:rsidP="00673013">
      <w:pPr>
        <w:pStyle w:val="SingleTxtG"/>
        <w:rPr>
          <w:lang w:val="en-GB"/>
        </w:rPr>
      </w:pPr>
      <w:r w:rsidRPr="00673013">
        <w:rPr>
          <w:lang w:val="en-GB"/>
        </w:rPr>
        <w:tab/>
        <w:t>At all marketing stages, tolerances in respect of quality and size shall be allowed in each lot for produce not satisfying the minimum characteristics of the class indicated.</w:t>
      </w:r>
    </w:p>
    <w:p w14:paraId="6AA3B654" w14:textId="77777777" w:rsidR="00673013" w:rsidRDefault="00673013" w:rsidP="00673013">
      <w:pPr>
        <w:pStyle w:val="H1G"/>
      </w:pPr>
      <w:r w:rsidRPr="00673013">
        <w:rPr>
          <w:lang w:val="en-GB"/>
        </w:rPr>
        <w:tab/>
      </w:r>
      <w:r>
        <w:t>[</w:t>
      </w:r>
      <w:r w:rsidRPr="00CE360A">
        <w:t>A.</w:t>
      </w:r>
      <w:r w:rsidRPr="00CE360A">
        <w:tab/>
        <w:t xml:space="preserve">Quality </w:t>
      </w:r>
      <w:proofErr w:type="spellStart"/>
      <w:r w:rsidRPr="00CE360A">
        <w:t>tolerances</w:t>
      </w:r>
      <w:proofErr w:type="spellEnd"/>
      <w:r>
        <w:t>]</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3"/>
        <w:gridCol w:w="1070"/>
        <w:gridCol w:w="1313"/>
        <w:gridCol w:w="1313"/>
        <w:gridCol w:w="1306"/>
      </w:tblGrid>
      <w:tr w:rsidR="00673013" w:rsidRPr="0086513D" w14:paraId="4FCCD9E2" w14:textId="77777777" w:rsidTr="00746667">
        <w:trPr>
          <w:tblHeader/>
        </w:trPr>
        <w:tc>
          <w:tcPr>
            <w:tcW w:w="3592" w:type="dxa"/>
            <w:vMerge w:val="restart"/>
            <w:tcBorders>
              <w:top w:val="single" w:sz="4" w:space="0" w:color="auto"/>
              <w:bottom w:val="single" w:sz="12" w:space="0" w:color="auto"/>
            </w:tcBorders>
            <w:shd w:val="clear" w:color="auto" w:fill="auto"/>
            <w:vAlign w:val="bottom"/>
          </w:tcPr>
          <w:p w14:paraId="2596B731" w14:textId="77777777" w:rsidR="00673013" w:rsidRPr="00673013" w:rsidRDefault="00673013" w:rsidP="00746667">
            <w:pPr>
              <w:suppressAutoHyphens w:val="0"/>
              <w:spacing w:before="80" w:after="80" w:line="200" w:lineRule="exact"/>
              <w:ind w:right="113"/>
              <w:rPr>
                <w:i/>
                <w:sz w:val="16"/>
                <w:lang w:val="en-GB"/>
              </w:rPr>
            </w:pPr>
            <w:r w:rsidRPr="00673013">
              <w:rPr>
                <w:i/>
                <w:sz w:val="16"/>
                <w:lang w:val="en-GB"/>
              </w:rPr>
              <w:t>Defects allowed (percentages by weight or number)</w:t>
            </w:r>
          </w:p>
        </w:tc>
        <w:tc>
          <w:tcPr>
            <w:tcW w:w="2440" w:type="dxa"/>
            <w:gridSpan w:val="2"/>
            <w:tcBorders>
              <w:top w:val="single" w:sz="4" w:space="0" w:color="auto"/>
              <w:bottom w:val="single" w:sz="4" w:space="0" w:color="auto"/>
              <w:right w:val="single" w:sz="24" w:space="0" w:color="FFFFFF" w:themeColor="background1"/>
            </w:tcBorders>
            <w:shd w:val="clear" w:color="auto" w:fill="auto"/>
            <w:vAlign w:val="bottom"/>
          </w:tcPr>
          <w:p w14:paraId="21FEA440" w14:textId="77777777" w:rsidR="00673013" w:rsidRPr="0086513D" w:rsidRDefault="00673013" w:rsidP="00746667">
            <w:pPr>
              <w:spacing w:before="80" w:after="80" w:line="200" w:lineRule="exact"/>
              <w:ind w:right="113"/>
              <w:jc w:val="right"/>
              <w:rPr>
                <w:i/>
                <w:sz w:val="16"/>
              </w:rPr>
            </w:pPr>
            <w:proofErr w:type="spellStart"/>
            <w:r>
              <w:rPr>
                <w:i/>
                <w:sz w:val="16"/>
              </w:rPr>
              <w:t>Unpitted</w:t>
            </w:r>
            <w:proofErr w:type="spellEnd"/>
            <w:r>
              <w:rPr>
                <w:i/>
                <w:sz w:val="16"/>
              </w:rPr>
              <w:t xml:space="preserve"> Prunes</w:t>
            </w:r>
          </w:p>
        </w:tc>
        <w:tc>
          <w:tcPr>
            <w:tcW w:w="2682" w:type="dxa"/>
            <w:gridSpan w:val="2"/>
            <w:tcBorders>
              <w:top w:val="single" w:sz="4" w:space="0" w:color="auto"/>
              <w:left w:val="single" w:sz="24" w:space="0" w:color="FFFFFF" w:themeColor="background1"/>
              <w:bottom w:val="single" w:sz="4" w:space="0" w:color="auto"/>
            </w:tcBorders>
            <w:shd w:val="clear" w:color="auto" w:fill="auto"/>
            <w:vAlign w:val="bottom"/>
          </w:tcPr>
          <w:p w14:paraId="40EFEFBC" w14:textId="77777777" w:rsidR="00673013" w:rsidRPr="0086513D" w:rsidRDefault="00673013" w:rsidP="00746667">
            <w:pPr>
              <w:suppressAutoHyphens w:val="0"/>
              <w:spacing w:before="80" w:after="80" w:line="200" w:lineRule="exact"/>
              <w:ind w:right="113"/>
              <w:jc w:val="center"/>
              <w:rPr>
                <w:i/>
                <w:sz w:val="16"/>
              </w:rPr>
            </w:pPr>
            <w:proofErr w:type="spellStart"/>
            <w:r w:rsidRPr="0086513D">
              <w:rPr>
                <w:i/>
                <w:sz w:val="16"/>
              </w:rPr>
              <w:t>Pitted</w:t>
            </w:r>
            <w:proofErr w:type="spellEnd"/>
            <w:r w:rsidRPr="0086513D">
              <w:rPr>
                <w:i/>
                <w:sz w:val="16"/>
              </w:rPr>
              <w:t xml:space="preserve"> prunes</w:t>
            </w:r>
          </w:p>
        </w:tc>
      </w:tr>
      <w:tr w:rsidR="00673013" w:rsidRPr="0086513D" w14:paraId="5154778E" w14:textId="77777777" w:rsidTr="00746667">
        <w:trPr>
          <w:tblHeader/>
        </w:trPr>
        <w:tc>
          <w:tcPr>
            <w:tcW w:w="3592" w:type="dxa"/>
            <w:vMerge/>
            <w:tcBorders>
              <w:top w:val="single" w:sz="12" w:space="0" w:color="auto"/>
              <w:bottom w:val="single" w:sz="12" w:space="0" w:color="auto"/>
            </w:tcBorders>
            <w:shd w:val="clear" w:color="auto" w:fill="auto"/>
            <w:vAlign w:val="bottom"/>
          </w:tcPr>
          <w:p w14:paraId="00CFA419" w14:textId="77777777" w:rsidR="00673013" w:rsidRPr="0086513D" w:rsidRDefault="00673013" w:rsidP="00746667">
            <w:pPr>
              <w:suppressAutoHyphens w:val="0"/>
              <w:spacing w:before="40" w:after="40" w:line="220" w:lineRule="exact"/>
              <w:ind w:right="113"/>
              <w:rPr>
                <w:sz w:val="18"/>
              </w:rPr>
            </w:pPr>
          </w:p>
        </w:tc>
        <w:tc>
          <w:tcPr>
            <w:tcW w:w="1096" w:type="dxa"/>
            <w:tcBorders>
              <w:top w:val="single" w:sz="4" w:space="0" w:color="auto"/>
              <w:bottom w:val="single" w:sz="12" w:space="0" w:color="auto"/>
              <w:right w:val="single" w:sz="24" w:space="0" w:color="FFFFFF" w:themeColor="background1"/>
            </w:tcBorders>
            <w:shd w:val="clear" w:color="auto" w:fill="auto"/>
            <w:vAlign w:val="bottom"/>
          </w:tcPr>
          <w:p w14:paraId="38D70343" w14:textId="77777777" w:rsidR="00673013" w:rsidRPr="0038681B" w:rsidRDefault="00673013" w:rsidP="00746667">
            <w:pPr>
              <w:suppressAutoHyphens w:val="0"/>
              <w:spacing w:before="80" w:after="80" w:line="200" w:lineRule="exact"/>
              <w:ind w:right="113"/>
              <w:jc w:val="right"/>
              <w:rPr>
                <w:i/>
                <w:sz w:val="16"/>
              </w:rPr>
            </w:pPr>
            <w:r w:rsidRPr="0038681B">
              <w:rPr>
                <w:i/>
                <w:sz w:val="16"/>
              </w:rPr>
              <w:t>Class I</w:t>
            </w:r>
          </w:p>
        </w:tc>
        <w:tc>
          <w:tcPr>
            <w:tcW w:w="1344" w:type="dxa"/>
            <w:tcBorders>
              <w:top w:val="single" w:sz="4" w:space="0" w:color="auto"/>
              <w:bottom w:val="single" w:sz="12" w:space="0" w:color="auto"/>
              <w:right w:val="single" w:sz="24" w:space="0" w:color="FFFFFF" w:themeColor="background1"/>
            </w:tcBorders>
          </w:tcPr>
          <w:p w14:paraId="2BA4F350" w14:textId="77777777" w:rsidR="00673013" w:rsidRPr="0038681B" w:rsidRDefault="00673013" w:rsidP="00746667">
            <w:pPr>
              <w:spacing w:before="80" w:after="80" w:line="200" w:lineRule="exact"/>
              <w:ind w:right="113"/>
              <w:jc w:val="right"/>
              <w:rPr>
                <w:i/>
                <w:sz w:val="16"/>
              </w:rPr>
            </w:pPr>
            <w:r>
              <w:rPr>
                <w:i/>
                <w:sz w:val="16"/>
              </w:rPr>
              <w:t>Class II</w:t>
            </w:r>
          </w:p>
        </w:tc>
        <w:tc>
          <w:tcPr>
            <w:tcW w:w="134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14:paraId="72171E6C" w14:textId="77777777" w:rsidR="00673013" w:rsidRPr="0038681B" w:rsidRDefault="00673013" w:rsidP="00746667">
            <w:pPr>
              <w:suppressAutoHyphens w:val="0"/>
              <w:spacing w:before="80" w:after="80" w:line="200" w:lineRule="exact"/>
              <w:ind w:right="113"/>
              <w:jc w:val="right"/>
              <w:rPr>
                <w:i/>
                <w:sz w:val="16"/>
              </w:rPr>
            </w:pPr>
            <w:r w:rsidRPr="0038681B">
              <w:rPr>
                <w:i/>
                <w:sz w:val="16"/>
              </w:rPr>
              <w:t>Class I</w:t>
            </w:r>
          </w:p>
        </w:tc>
        <w:tc>
          <w:tcPr>
            <w:tcW w:w="1338" w:type="dxa"/>
            <w:tcBorders>
              <w:top w:val="single" w:sz="4" w:space="0" w:color="auto"/>
              <w:left w:val="single" w:sz="24" w:space="0" w:color="FFFFFF" w:themeColor="background1"/>
              <w:bottom w:val="single" w:sz="12" w:space="0" w:color="auto"/>
            </w:tcBorders>
            <w:shd w:val="clear" w:color="auto" w:fill="auto"/>
            <w:vAlign w:val="bottom"/>
          </w:tcPr>
          <w:p w14:paraId="7BF717AE" w14:textId="77777777" w:rsidR="00673013" w:rsidRPr="0038681B" w:rsidRDefault="00673013" w:rsidP="00746667">
            <w:pPr>
              <w:suppressAutoHyphens w:val="0"/>
              <w:spacing w:before="80" w:after="80" w:line="200" w:lineRule="exact"/>
              <w:ind w:right="113"/>
              <w:jc w:val="right"/>
              <w:rPr>
                <w:i/>
                <w:sz w:val="16"/>
              </w:rPr>
            </w:pPr>
            <w:r w:rsidRPr="0038681B">
              <w:rPr>
                <w:i/>
                <w:sz w:val="16"/>
              </w:rPr>
              <w:t>Class II</w:t>
            </w:r>
          </w:p>
        </w:tc>
      </w:tr>
      <w:tr w:rsidR="00673013" w:rsidRPr="0086513D" w14:paraId="7C23C658" w14:textId="77777777" w:rsidTr="00746667">
        <w:tc>
          <w:tcPr>
            <w:tcW w:w="3592" w:type="dxa"/>
            <w:tcBorders>
              <w:top w:val="single" w:sz="12" w:space="0" w:color="auto"/>
              <w:bottom w:val="single" w:sz="4" w:space="0" w:color="auto"/>
            </w:tcBorders>
            <w:shd w:val="clear" w:color="auto" w:fill="auto"/>
          </w:tcPr>
          <w:p w14:paraId="307B5A7A" w14:textId="77777777" w:rsidR="00673013" w:rsidRPr="00673013" w:rsidRDefault="00673013" w:rsidP="00746667">
            <w:pPr>
              <w:keepNext/>
              <w:tabs>
                <w:tab w:val="left" w:pos="366"/>
              </w:tabs>
              <w:suppressAutoHyphens w:val="0"/>
              <w:spacing w:before="40" w:after="40" w:line="220" w:lineRule="exact"/>
              <w:ind w:left="357" w:right="113" w:hanging="357"/>
              <w:rPr>
                <w:bCs/>
                <w:sz w:val="18"/>
                <w:lang w:val="en-GB"/>
              </w:rPr>
            </w:pPr>
            <w:r w:rsidRPr="00673013">
              <w:rPr>
                <w:bCs/>
                <w:sz w:val="18"/>
                <w:lang w:val="en-GB"/>
              </w:rPr>
              <w:t xml:space="preserve">(a) Tolerance for produce not meeting the minimum </w:t>
            </w:r>
            <w:r w:rsidRPr="00673013">
              <w:rPr>
                <w:bCs/>
                <w:sz w:val="18"/>
                <w:szCs w:val="18"/>
                <w:lang w:val="en-GB"/>
              </w:rPr>
              <w:t>requirements</w:t>
            </w:r>
            <w:r w:rsidRPr="00673013">
              <w:rPr>
                <w:bCs/>
                <w:sz w:val="18"/>
                <w:lang w:val="en-GB"/>
              </w:rPr>
              <w:t xml:space="preserve"> </w:t>
            </w:r>
          </w:p>
        </w:tc>
        <w:tc>
          <w:tcPr>
            <w:tcW w:w="1096" w:type="dxa"/>
            <w:tcBorders>
              <w:top w:val="single" w:sz="12" w:space="0" w:color="auto"/>
              <w:bottom w:val="single" w:sz="4" w:space="0" w:color="auto"/>
            </w:tcBorders>
            <w:shd w:val="clear" w:color="auto" w:fill="auto"/>
            <w:vAlign w:val="bottom"/>
          </w:tcPr>
          <w:p w14:paraId="074AD6A3" w14:textId="77777777" w:rsidR="00673013" w:rsidRPr="0086513D" w:rsidRDefault="00673013" w:rsidP="00746667">
            <w:pPr>
              <w:suppressAutoHyphens w:val="0"/>
              <w:spacing w:before="40" w:after="40" w:line="220" w:lineRule="exact"/>
              <w:ind w:right="113"/>
              <w:jc w:val="right"/>
              <w:rPr>
                <w:sz w:val="18"/>
              </w:rPr>
            </w:pPr>
            <w:r w:rsidRPr="0086513D">
              <w:rPr>
                <w:sz w:val="18"/>
              </w:rPr>
              <w:t>1</w:t>
            </w:r>
            <w:r>
              <w:rPr>
                <w:sz w:val="18"/>
              </w:rPr>
              <w:t>0</w:t>
            </w:r>
          </w:p>
        </w:tc>
        <w:tc>
          <w:tcPr>
            <w:tcW w:w="1344" w:type="dxa"/>
            <w:tcBorders>
              <w:top w:val="single" w:sz="12" w:space="0" w:color="auto"/>
              <w:bottom w:val="single" w:sz="4" w:space="0" w:color="auto"/>
            </w:tcBorders>
            <w:vAlign w:val="bottom"/>
          </w:tcPr>
          <w:p w14:paraId="5D18D64C" w14:textId="77777777" w:rsidR="00673013" w:rsidRPr="00344609" w:rsidRDefault="00673013" w:rsidP="00746667">
            <w:pPr>
              <w:spacing w:before="40" w:after="40" w:line="220" w:lineRule="exact"/>
              <w:ind w:right="113"/>
              <w:jc w:val="right"/>
              <w:rPr>
                <w:sz w:val="18"/>
                <w:lang w:val="en-US"/>
              </w:rPr>
            </w:pPr>
            <w:r>
              <w:rPr>
                <w:sz w:val="18"/>
              </w:rPr>
              <w:t>[15]</w:t>
            </w:r>
          </w:p>
        </w:tc>
        <w:tc>
          <w:tcPr>
            <w:tcW w:w="1344" w:type="dxa"/>
            <w:tcBorders>
              <w:top w:val="single" w:sz="12" w:space="0" w:color="auto"/>
              <w:bottom w:val="single" w:sz="4" w:space="0" w:color="auto"/>
            </w:tcBorders>
            <w:shd w:val="clear" w:color="auto" w:fill="auto"/>
            <w:vAlign w:val="bottom"/>
          </w:tcPr>
          <w:p w14:paraId="1CE20C76" w14:textId="77777777" w:rsidR="00673013" w:rsidRPr="0086513D" w:rsidRDefault="00673013" w:rsidP="00746667">
            <w:pPr>
              <w:suppressAutoHyphens w:val="0"/>
              <w:spacing w:before="40" w:after="40" w:line="220" w:lineRule="exact"/>
              <w:ind w:right="113"/>
              <w:jc w:val="right"/>
              <w:rPr>
                <w:sz w:val="18"/>
              </w:rPr>
            </w:pPr>
            <w:r w:rsidRPr="0086513D">
              <w:rPr>
                <w:sz w:val="18"/>
              </w:rPr>
              <w:t>1</w:t>
            </w:r>
            <w:r>
              <w:rPr>
                <w:sz w:val="18"/>
              </w:rPr>
              <w:t>0</w:t>
            </w:r>
          </w:p>
        </w:tc>
        <w:tc>
          <w:tcPr>
            <w:tcW w:w="1338" w:type="dxa"/>
            <w:tcBorders>
              <w:top w:val="single" w:sz="12" w:space="0" w:color="auto"/>
              <w:bottom w:val="single" w:sz="4" w:space="0" w:color="auto"/>
            </w:tcBorders>
            <w:shd w:val="clear" w:color="auto" w:fill="auto"/>
            <w:vAlign w:val="bottom"/>
          </w:tcPr>
          <w:p w14:paraId="2704BF18" w14:textId="77777777" w:rsidR="00673013" w:rsidRPr="0086513D" w:rsidRDefault="00673013" w:rsidP="00746667">
            <w:pPr>
              <w:suppressAutoHyphens w:val="0"/>
              <w:spacing w:before="40" w:after="40" w:line="220" w:lineRule="exact"/>
              <w:ind w:right="113"/>
              <w:jc w:val="right"/>
              <w:rPr>
                <w:sz w:val="18"/>
              </w:rPr>
            </w:pPr>
            <w:r w:rsidRPr="0086513D">
              <w:rPr>
                <w:sz w:val="18"/>
              </w:rPr>
              <w:t>15</w:t>
            </w:r>
          </w:p>
        </w:tc>
      </w:tr>
      <w:tr w:rsidR="00673013" w:rsidRPr="008E178E" w14:paraId="19DB5F29" w14:textId="77777777" w:rsidTr="00746667">
        <w:tc>
          <w:tcPr>
            <w:tcW w:w="3592" w:type="dxa"/>
            <w:tcBorders>
              <w:top w:val="single" w:sz="4" w:space="0" w:color="auto"/>
            </w:tcBorders>
            <w:shd w:val="clear" w:color="auto" w:fill="auto"/>
          </w:tcPr>
          <w:p w14:paraId="037D1AE1" w14:textId="77777777" w:rsidR="00673013" w:rsidRPr="00673013" w:rsidRDefault="00673013" w:rsidP="00746667">
            <w:pPr>
              <w:spacing w:before="40" w:after="40" w:line="220" w:lineRule="exact"/>
              <w:ind w:left="397" w:right="113"/>
              <w:rPr>
                <w:bCs/>
                <w:sz w:val="18"/>
                <w:lang w:val="en-GB"/>
              </w:rPr>
            </w:pPr>
            <w:r w:rsidRPr="00673013">
              <w:rPr>
                <w:bCs/>
                <w:sz w:val="18"/>
                <w:lang w:val="en-GB"/>
              </w:rPr>
              <w:t xml:space="preserve">of </w:t>
            </w:r>
            <w:r w:rsidRPr="00673013">
              <w:rPr>
                <w:sz w:val="18"/>
                <w:szCs w:val="18"/>
                <w:lang w:val="en-GB"/>
              </w:rPr>
              <w:t>which</w:t>
            </w:r>
            <w:r w:rsidRPr="00673013">
              <w:rPr>
                <w:bCs/>
                <w:sz w:val="18"/>
                <w:lang w:val="en-GB"/>
              </w:rPr>
              <w:t xml:space="preserve"> no more than</w:t>
            </w:r>
          </w:p>
        </w:tc>
        <w:tc>
          <w:tcPr>
            <w:tcW w:w="1096" w:type="dxa"/>
            <w:tcBorders>
              <w:top w:val="single" w:sz="4" w:space="0" w:color="auto"/>
            </w:tcBorders>
            <w:shd w:val="clear" w:color="auto" w:fill="auto"/>
            <w:vAlign w:val="bottom"/>
          </w:tcPr>
          <w:p w14:paraId="717CD56B" w14:textId="77777777" w:rsidR="00673013" w:rsidRPr="00673013" w:rsidRDefault="00673013" w:rsidP="00746667">
            <w:pPr>
              <w:spacing w:before="40" w:after="40" w:line="220" w:lineRule="exact"/>
              <w:ind w:right="113"/>
              <w:jc w:val="right"/>
              <w:rPr>
                <w:sz w:val="18"/>
                <w:lang w:val="en-GB"/>
              </w:rPr>
            </w:pPr>
          </w:p>
        </w:tc>
        <w:tc>
          <w:tcPr>
            <w:tcW w:w="1344" w:type="dxa"/>
            <w:tcBorders>
              <w:top w:val="single" w:sz="4" w:space="0" w:color="auto"/>
            </w:tcBorders>
          </w:tcPr>
          <w:p w14:paraId="5D14661A" w14:textId="77777777" w:rsidR="00673013" w:rsidRPr="00673013" w:rsidRDefault="00673013" w:rsidP="00746667">
            <w:pPr>
              <w:spacing w:before="40" w:after="40" w:line="220" w:lineRule="exact"/>
              <w:ind w:right="113"/>
              <w:jc w:val="right"/>
              <w:rPr>
                <w:sz w:val="18"/>
                <w:lang w:val="en-GB"/>
              </w:rPr>
            </w:pPr>
          </w:p>
        </w:tc>
        <w:tc>
          <w:tcPr>
            <w:tcW w:w="1344" w:type="dxa"/>
            <w:tcBorders>
              <w:top w:val="single" w:sz="4" w:space="0" w:color="auto"/>
            </w:tcBorders>
            <w:shd w:val="clear" w:color="auto" w:fill="auto"/>
            <w:vAlign w:val="bottom"/>
          </w:tcPr>
          <w:p w14:paraId="729DD393" w14:textId="77777777" w:rsidR="00673013" w:rsidRPr="00673013" w:rsidRDefault="00673013" w:rsidP="00746667">
            <w:pPr>
              <w:spacing w:before="40" w:after="40" w:line="220" w:lineRule="exact"/>
              <w:ind w:right="113"/>
              <w:jc w:val="right"/>
              <w:rPr>
                <w:sz w:val="18"/>
                <w:lang w:val="en-GB"/>
              </w:rPr>
            </w:pPr>
          </w:p>
        </w:tc>
        <w:tc>
          <w:tcPr>
            <w:tcW w:w="1338" w:type="dxa"/>
            <w:tcBorders>
              <w:top w:val="single" w:sz="4" w:space="0" w:color="auto"/>
            </w:tcBorders>
            <w:shd w:val="clear" w:color="auto" w:fill="auto"/>
            <w:vAlign w:val="bottom"/>
          </w:tcPr>
          <w:p w14:paraId="2BCAB054" w14:textId="77777777" w:rsidR="00673013" w:rsidRPr="00673013" w:rsidRDefault="00673013" w:rsidP="00746667">
            <w:pPr>
              <w:spacing w:before="40" w:after="40" w:line="220" w:lineRule="exact"/>
              <w:ind w:right="113"/>
              <w:jc w:val="right"/>
              <w:rPr>
                <w:sz w:val="18"/>
                <w:lang w:val="en-GB"/>
              </w:rPr>
            </w:pPr>
          </w:p>
        </w:tc>
      </w:tr>
      <w:tr w:rsidR="00673013" w:rsidRPr="0086513D" w14:paraId="52845EA9" w14:textId="77777777" w:rsidTr="00746667">
        <w:tc>
          <w:tcPr>
            <w:tcW w:w="3592" w:type="dxa"/>
            <w:tcBorders>
              <w:bottom w:val="nil"/>
            </w:tcBorders>
            <w:shd w:val="clear" w:color="auto" w:fill="auto"/>
          </w:tcPr>
          <w:p w14:paraId="0FDE56CE" w14:textId="77777777" w:rsidR="00673013" w:rsidRPr="00673013" w:rsidRDefault="00673013" w:rsidP="00746667">
            <w:pPr>
              <w:spacing w:before="40" w:after="40" w:line="220" w:lineRule="exact"/>
              <w:ind w:left="397" w:right="113"/>
              <w:rPr>
                <w:bCs/>
                <w:sz w:val="18"/>
                <w:lang w:val="en-GB"/>
              </w:rPr>
            </w:pPr>
            <w:r w:rsidRPr="00673013">
              <w:rPr>
                <w:bCs/>
                <w:sz w:val="18"/>
                <w:lang w:val="en-GB"/>
              </w:rPr>
              <w:t>Non-</w:t>
            </w:r>
            <w:r w:rsidRPr="00673013">
              <w:rPr>
                <w:sz w:val="18"/>
                <w:szCs w:val="18"/>
                <w:lang w:val="en-GB"/>
              </w:rPr>
              <w:t>characteristic</w:t>
            </w:r>
            <w:r w:rsidRPr="00673013">
              <w:rPr>
                <w:bCs/>
                <w:sz w:val="18"/>
                <w:lang w:val="en-GB"/>
              </w:rPr>
              <w:t xml:space="preserve"> colour and texture</w:t>
            </w:r>
          </w:p>
        </w:tc>
        <w:tc>
          <w:tcPr>
            <w:tcW w:w="1096" w:type="dxa"/>
            <w:tcBorders>
              <w:bottom w:val="nil"/>
            </w:tcBorders>
            <w:shd w:val="clear" w:color="auto" w:fill="auto"/>
            <w:vAlign w:val="bottom"/>
          </w:tcPr>
          <w:p w14:paraId="5FB4C512" w14:textId="77777777" w:rsidR="00673013" w:rsidRPr="0086513D" w:rsidRDefault="00673013" w:rsidP="00746667">
            <w:pPr>
              <w:suppressAutoHyphens w:val="0"/>
              <w:spacing w:before="40" w:after="40" w:line="220" w:lineRule="exact"/>
              <w:ind w:right="113"/>
              <w:jc w:val="right"/>
              <w:rPr>
                <w:sz w:val="18"/>
              </w:rPr>
            </w:pPr>
            <w:r>
              <w:rPr>
                <w:sz w:val="18"/>
              </w:rPr>
              <w:t>10</w:t>
            </w:r>
          </w:p>
        </w:tc>
        <w:tc>
          <w:tcPr>
            <w:tcW w:w="1344" w:type="dxa"/>
            <w:tcBorders>
              <w:bottom w:val="nil"/>
            </w:tcBorders>
            <w:vAlign w:val="bottom"/>
          </w:tcPr>
          <w:p w14:paraId="34F93222" w14:textId="77777777" w:rsidR="00673013" w:rsidRPr="0086513D" w:rsidRDefault="00673013" w:rsidP="00746667">
            <w:pPr>
              <w:spacing w:before="40" w:after="40" w:line="220" w:lineRule="exact"/>
              <w:ind w:right="113"/>
              <w:jc w:val="right"/>
              <w:rPr>
                <w:sz w:val="18"/>
              </w:rPr>
            </w:pPr>
            <w:r w:rsidRPr="0086513D">
              <w:rPr>
                <w:sz w:val="18"/>
              </w:rPr>
              <w:t>1</w:t>
            </w:r>
            <w:r>
              <w:rPr>
                <w:sz w:val="18"/>
              </w:rPr>
              <w:t>5</w:t>
            </w:r>
          </w:p>
        </w:tc>
        <w:tc>
          <w:tcPr>
            <w:tcW w:w="1344" w:type="dxa"/>
            <w:tcBorders>
              <w:bottom w:val="nil"/>
            </w:tcBorders>
            <w:shd w:val="clear" w:color="auto" w:fill="auto"/>
            <w:vAlign w:val="bottom"/>
          </w:tcPr>
          <w:p w14:paraId="57052016" w14:textId="77777777" w:rsidR="00673013" w:rsidRPr="0086513D" w:rsidRDefault="00673013" w:rsidP="00746667">
            <w:pPr>
              <w:suppressAutoHyphens w:val="0"/>
              <w:spacing w:before="40" w:after="40" w:line="220" w:lineRule="exact"/>
              <w:ind w:right="113"/>
              <w:jc w:val="right"/>
              <w:rPr>
                <w:sz w:val="18"/>
              </w:rPr>
            </w:pPr>
            <w:r>
              <w:rPr>
                <w:sz w:val="18"/>
              </w:rPr>
              <w:t>10</w:t>
            </w:r>
          </w:p>
        </w:tc>
        <w:tc>
          <w:tcPr>
            <w:tcW w:w="1338" w:type="dxa"/>
            <w:tcBorders>
              <w:bottom w:val="nil"/>
            </w:tcBorders>
            <w:shd w:val="clear" w:color="auto" w:fill="auto"/>
            <w:vAlign w:val="bottom"/>
          </w:tcPr>
          <w:p w14:paraId="7AACCEBF" w14:textId="77777777" w:rsidR="00673013" w:rsidRPr="0086513D" w:rsidRDefault="00673013" w:rsidP="00746667">
            <w:pPr>
              <w:suppressAutoHyphens w:val="0"/>
              <w:spacing w:before="40" w:after="40" w:line="220" w:lineRule="exact"/>
              <w:ind w:right="113"/>
              <w:jc w:val="right"/>
              <w:rPr>
                <w:sz w:val="18"/>
              </w:rPr>
            </w:pPr>
            <w:r w:rsidRPr="0086513D">
              <w:rPr>
                <w:sz w:val="18"/>
              </w:rPr>
              <w:t>15</w:t>
            </w:r>
          </w:p>
        </w:tc>
      </w:tr>
      <w:tr w:rsidR="00673013" w:rsidRPr="0086513D" w14:paraId="6F5E875F" w14:textId="77777777" w:rsidTr="00746667">
        <w:tc>
          <w:tcPr>
            <w:tcW w:w="3592" w:type="dxa"/>
            <w:tcBorders>
              <w:top w:val="nil"/>
              <w:bottom w:val="nil"/>
            </w:tcBorders>
            <w:shd w:val="clear" w:color="auto" w:fill="auto"/>
          </w:tcPr>
          <w:p w14:paraId="3B305B2D" w14:textId="77777777" w:rsidR="00673013" w:rsidRPr="00673013" w:rsidRDefault="00673013" w:rsidP="00746667">
            <w:pPr>
              <w:spacing w:before="40" w:after="40" w:line="220" w:lineRule="exact"/>
              <w:ind w:left="397" w:right="113"/>
              <w:rPr>
                <w:bCs/>
                <w:sz w:val="18"/>
                <w:lang w:val="en-GB"/>
              </w:rPr>
            </w:pPr>
            <w:r w:rsidRPr="00673013">
              <w:rPr>
                <w:bCs/>
                <w:sz w:val="18"/>
                <w:lang w:val="en-GB"/>
              </w:rPr>
              <w:t xml:space="preserve">End </w:t>
            </w:r>
            <w:r w:rsidRPr="00673013">
              <w:rPr>
                <w:sz w:val="18"/>
                <w:szCs w:val="18"/>
                <w:lang w:val="en-GB"/>
              </w:rPr>
              <w:t xml:space="preserve">cracks – </w:t>
            </w:r>
            <w:r w:rsidRPr="00673013">
              <w:rPr>
                <w:b/>
                <w:bCs/>
                <w:color w:val="FF0000"/>
                <w:sz w:val="18"/>
                <w:szCs w:val="18"/>
                <w:lang w:val="en-GB"/>
              </w:rPr>
              <w:t>as recommended by US</w:t>
            </w:r>
          </w:p>
        </w:tc>
        <w:tc>
          <w:tcPr>
            <w:tcW w:w="1096" w:type="dxa"/>
            <w:tcBorders>
              <w:top w:val="nil"/>
              <w:bottom w:val="nil"/>
            </w:tcBorders>
            <w:shd w:val="clear" w:color="auto" w:fill="auto"/>
            <w:vAlign w:val="bottom"/>
          </w:tcPr>
          <w:p w14:paraId="4926A8C3" w14:textId="77777777" w:rsidR="00673013" w:rsidRPr="002165EE" w:rsidRDefault="00673013" w:rsidP="00746667">
            <w:pPr>
              <w:suppressAutoHyphens w:val="0"/>
              <w:spacing w:before="40" w:after="40" w:line="220" w:lineRule="exact"/>
              <w:ind w:right="113"/>
              <w:jc w:val="right"/>
              <w:rPr>
                <w:b/>
                <w:bCs/>
                <w:strike/>
                <w:sz w:val="18"/>
              </w:rPr>
            </w:pPr>
            <w:r w:rsidRPr="002165EE">
              <w:rPr>
                <w:b/>
                <w:bCs/>
                <w:strike/>
                <w:color w:val="FF0000"/>
                <w:sz w:val="18"/>
              </w:rPr>
              <w:t>10</w:t>
            </w:r>
            <w:r w:rsidRPr="002165EE">
              <w:rPr>
                <w:b/>
                <w:bCs/>
                <w:color w:val="FF0000"/>
                <w:sz w:val="18"/>
              </w:rPr>
              <w:t>6</w:t>
            </w:r>
          </w:p>
        </w:tc>
        <w:tc>
          <w:tcPr>
            <w:tcW w:w="1344" w:type="dxa"/>
            <w:tcBorders>
              <w:top w:val="nil"/>
              <w:bottom w:val="nil"/>
            </w:tcBorders>
            <w:vAlign w:val="bottom"/>
          </w:tcPr>
          <w:p w14:paraId="6B250B64" w14:textId="77777777" w:rsidR="00673013" w:rsidRPr="002165EE" w:rsidRDefault="00673013" w:rsidP="00746667">
            <w:pPr>
              <w:spacing w:before="40" w:after="40" w:line="220" w:lineRule="exact"/>
              <w:ind w:right="113"/>
              <w:jc w:val="right"/>
              <w:rPr>
                <w:b/>
                <w:bCs/>
                <w:strike/>
                <w:sz w:val="18"/>
              </w:rPr>
            </w:pPr>
            <w:r w:rsidRPr="002165EE">
              <w:rPr>
                <w:b/>
                <w:bCs/>
                <w:strike/>
                <w:color w:val="FF0000"/>
                <w:sz w:val="18"/>
              </w:rPr>
              <w:t>15</w:t>
            </w:r>
            <w:r w:rsidRPr="002165EE">
              <w:rPr>
                <w:b/>
                <w:bCs/>
                <w:color w:val="FF0000"/>
                <w:sz w:val="18"/>
              </w:rPr>
              <w:t>8</w:t>
            </w:r>
          </w:p>
        </w:tc>
        <w:tc>
          <w:tcPr>
            <w:tcW w:w="1344" w:type="dxa"/>
            <w:tcBorders>
              <w:top w:val="nil"/>
              <w:bottom w:val="nil"/>
            </w:tcBorders>
            <w:shd w:val="clear" w:color="auto" w:fill="auto"/>
            <w:vAlign w:val="bottom"/>
          </w:tcPr>
          <w:p w14:paraId="0732F145" w14:textId="77777777" w:rsidR="00673013" w:rsidRPr="002165EE" w:rsidRDefault="00673013" w:rsidP="00746667">
            <w:pPr>
              <w:suppressAutoHyphens w:val="0"/>
              <w:spacing w:before="40" w:after="40" w:line="220" w:lineRule="exact"/>
              <w:ind w:right="113"/>
              <w:jc w:val="right"/>
              <w:rPr>
                <w:b/>
                <w:bCs/>
                <w:strike/>
                <w:sz w:val="18"/>
              </w:rPr>
            </w:pPr>
            <w:r w:rsidRPr="002165EE">
              <w:rPr>
                <w:b/>
                <w:bCs/>
                <w:strike/>
                <w:color w:val="FF0000"/>
                <w:sz w:val="18"/>
              </w:rPr>
              <w:t>10</w:t>
            </w:r>
            <w:r w:rsidRPr="002165EE">
              <w:rPr>
                <w:b/>
                <w:bCs/>
                <w:color w:val="FF0000"/>
                <w:sz w:val="18"/>
              </w:rPr>
              <w:t>6</w:t>
            </w:r>
          </w:p>
        </w:tc>
        <w:tc>
          <w:tcPr>
            <w:tcW w:w="1338" w:type="dxa"/>
            <w:tcBorders>
              <w:top w:val="nil"/>
              <w:bottom w:val="nil"/>
            </w:tcBorders>
            <w:shd w:val="clear" w:color="auto" w:fill="auto"/>
            <w:vAlign w:val="bottom"/>
          </w:tcPr>
          <w:p w14:paraId="485E93F2" w14:textId="77777777" w:rsidR="00673013" w:rsidRPr="002165EE" w:rsidRDefault="00673013" w:rsidP="00746667">
            <w:pPr>
              <w:suppressAutoHyphens w:val="0"/>
              <w:spacing w:before="40" w:after="40" w:line="220" w:lineRule="exact"/>
              <w:ind w:right="113"/>
              <w:jc w:val="right"/>
              <w:rPr>
                <w:b/>
                <w:bCs/>
                <w:strike/>
                <w:sz w:val="18"/>
              </w:rPr>
            </w:pPr>
            <w:r w:rsidRPr="002165EE">
              <w:rPr>
                <w:b/>
                <w:bCs/>
                <w:strike/>
                <w:color w:val="FF0000"/>
                <w:sz w:val="18"/>
              </w:rPr>
              <w:t>15</w:t>
            </w:r>
            <w:r w:rsidRPr="002165EE">
              <w:rPr>
                <w:b/>
                <w:bCs/>
                <w:color w:val="FF0000"/>
                <w:sz w:val="18"/>
              </w:rPr>
              <w:t>8</w:t>
            </w:r>
          </w:p>
        </w:tc>
      </w:tr>
      <w:tr w:rsidR="00673013" w:rsidRPr="0086513D" w14:paraId="76A6EC04" w14:textId="77777777" w:rsidTr="00746667">
        <w:tc>
          <w:tcPr>
            <w:tcW w:w="3592" w:type="dxa"/>
            <w:tcBorders>
              <w:top w:val="nil"/>
            </w:tcBorders>
            <w:shd w:val="clear" w:color="auto" w:fill="auto"/>
          </w:tcPr>
          <w:p w14:paraId="187C4D43" w14:textId="77777777" w:rsidR="00673013" w:rsidRPr="003C3714" w:rsidRDefault="00673013" w:rsidP="00746667">
            <w:pPr>
              <w:spacing w:before="40" w:after="40" w:line="220" w:lineRule="exact"/>
              <w:ind w:left="397" w:right="113"/>
              <w:rPr>
                <w:bCs/>
                <w:sz w:val="18"/>
              </w:rPr>
            </w:pPr>
            <w:r w:rsidRPr="00B341D6">
              <w:rPr>
                <w:sz w:val="18"/>
                <w:szCs w:val="18"/>
              </w:rPr>
              <w:t>Rotten</w:t>
            </w:r>
            <w:r w:rsidRPr="003C3714">
              <w:rPr>
                <w:bCs/>
                <w:sz w:val="18"/>
              </w:rPr>
              <w:t xml:space="preserve">, </w:t>
            </w:r>
            <w:proofErr w:type="spellStart"/>
            <w:r w:rsidRPr="003C3714">
              <w:rPr>
                <w:bCs/>
                <w:sz w:val="18"/>
              </w:rPr>
              <w:t>deterioration</w:t>
            </w:r>
            <w:proofErr w:type="spellEnd"/>
            <w:r>
              <w:rPr>
                <w:rStyle w:val="FootnoteReference"/>
                <w:bCs/>
              </w:rPr>
              <w:footnoteReference w:id="6"/>
            </w:r>
            <w:r w:rsidRPr="003C3714">
              <w:rPr>
                <w:bCs/>
                <w:sz w:val="18"/>
              </w:rPr>
              <w:t xml:space="preserve">, </w:t>
            </w:r>
          </w:p>
        </w:tc>
        <w:tc>
          <w:tcPr>
            <w:tcW w:w="1096" w:type="dxa"/>
            <w:tcBorders>
              <w:top w:val="nil"/>
            </w:tcBorders>
            <w:shd w:val="clear" w:color="auto" w:fill="auto"/>
            <w:vAlign w:val="bottom"/>
          </w:tcPr>
          <w:p w14:paraId="73ACBFA7" w14:textId="77777777" w:rsidR="00673013" w:rsidRPr="0086513D" w:rsidRDefault="00673013" w:rsidP="00746667">
            <w:pPr>
              <w:suppressAutoHyphens w:val="0"/>
              <w:spacing w:before="40" w:after="40" w:line="220" w:lineRule="exact"/>
              <w:ind w:right="113"/>
              <w:jc w:val="right"/>
              <w:rPr>
                <w:sz w:val="18"/>
              </w:rPr>
            </w:pPr>
            <w:r>
              <w:rPr>
                <w:sz w:val="18"/>
              </w:rPr>
              <w:t>1</w:t>
            </w:r>
          </w:p>
        </w:tc>
        <w:tc>
          <w:tcPr>
            <w:tcW w:w="1344" w:type="dxa"/>
            <w:tcBorders>
              <w:top w:val="nil"/>
            </w:tcBorders>
            <w:vAlign w:val="bottom"/>
          </w:tcPr>
          <w:p w14:paraId="45417256" w14:textId="77777777" w:rsidR="00673013" w:rsidRPr="0086513D" w:rsidRDefault="00673013" w:rsidP="00746667">
            <w:pPr>
              <w:spacing w:before="40" w:after="40" w:line="220" w:lineRule="exact"/>
              <w:ind w:right="113"/>
              <w:jc w:val="right"/>
              <w:rPr>
                <w:sz w:val="18"/>
              </w:rPr>
            </w:pPr>
            <w:r>
              <w:rPr>
                <w:sz w:val="18"/>
              </w:rPr>
              <w:t>2</w:t>
            </w:r>
          </w:p>
        </w:tc>
        <w:tc>
          <w:tcPr>
            <w:tcW w:w="1344" w:type="dxa"/>
            <w:tcBorders>
              <w:top w:val="nil"/>
            </w:tcBorders>
            <w:shd w:val="clear" w:color="auto" w:fill="auto"/>
            <w:vAlign w:val="bottom"/>
          </w:tcPr>
          <w:p w14:paraId="7ACC3311" w14:textId="77777777" w:rsidR="00673013" w:rsidRPr="0086513D" w:rsidRDefault="00673013" w:rsidP="00746667">
            <w:pPr>
              <w:suppressAutoHyphens w:val="0"/>
              <w:spacing w:before="40" w:after="40" w:line="220" w:lineRule="exact"/>
              <w:ind w:right="113"/>
              <w:jc w:val="right"/>
              <w:rPr>
                <w:sz w:val="18"/>
              </w:rPr>
            </w:pPr>
            <w:r>
              <w:rPr>
                <w:sz w:val="18"/>
              </w:rPr>
              <w:t>0.5</w:t>
            </w:r>
          </w:p>
        </w:tc>
        <w:tc>
          <w:tcPr>
            <w:tcW w:w="1338" w:type="dxa"/>
            <w:tcBorders>
              <w:top w:val="nil"/>
            </w:tcBorders>
            <w:shd w:val="clear" w:color="auto" w:fill="auto"/>
            <w:vAlign w:val="bottom"/>
          </w:tcPr>
          <w:p w14:paraId="06D00D9D" w14:textId="77777777" w:rsidR="00673013" w:rsidRPr="0086513D" w:rsidRDefault="00673013" w:rsidP="00746667">
            <w:pPr>
              <w:suppressAutoHyphens w:val="0"/>
              <w:spacing w:before="40" w:after="40" w:line="220" w:lineRule="exact"/>
              <w:ind w:right="113"/>
              <w:jc w:val="right"/>
              <w:rPr>
                <w:sz w:val="18"/>
              </w:rPr>
            </w:pPr>
            <w:r>
              <w:rPr>
                <w:sz w:val="18"/>
              </w:rPr>
              <w:t>2</w:t>
            </w:r>
          </w:p>
        </w:tc>
      </w:tr>
      <w:tr w:rsidR="00673013" w:rsidRPr="0086513D" w14:paraId="1FE1B53B" w14:textId="77777777" w:rsidTr="00746667">
        <w:tc>
          <w:tcPr>
            <w:tcW w:w="3592" w:type="dxa"/>
            <w:tcBorders>
              <w:top w:val="nil"/>
            </w:tcBorders>
            <w:shd w:val="clear" w:color="auto" w:fill="auto"/>
          </w:tcPr>
          <w:p w14:paraId="7CB94731" w14:textId="77777777" w:rsidR="00673013" w:rsidRPr="00673013" w:rsidRDefault="00673013" w:rsidP="00746667">
            <w:pPr>
              <w:spacing w:before="40" w:after="40" w:line="220" w:lineRule="exact"/>
              <w:ind w:left="397" w:right="113"/>
              <w:rPr>
                <w:b/>
                <w:color w:val="FF0000"/>
                <w:sz w:val="18"/>
                <w:lang w:val="en-GB"/>
              </w:rPr>
            </w:pPr>
            <w:r w:rsidRPr="00673013">
              <w:rPr>
                <w:b/>
                <w:color w:val="FF0000"/>
                <w:sz w:val="18"/>
                <w:lang w:val="en-GB"/>
              </w:rPr>
              <w:t>Mould</w:t>
            </w:r>
            <w:r>
              <w:rPr>
                <w:rStyle w:val="FootnoteReference"/>
                <w:bCs/>
              </w:rPr>
              <w:footnoteReference w:id="7"/>
            </w:r>
          </w:p>
          <w:p w14:paraId="6AED18D0" w14:textId="77777777" w:rsidR="00673013" w:rsidRPr="002165EE" w:rsidRDefault="00673013" w:rsidP="00746667">
            <w:pPr>
              <w:spacing w:before="40" w:after="40" w:line="220" w:lineRule="exact"/>
              <w:ind w:left="397" w:right="113"/>
              <w:rPr>
                <w:b/>
                <w:sz w:val="18"/>
                <w:szCs w:val="18"/>
              </w:rPr>
            </w:pPr>
            <w:r w:rsidRPr="008E178E">
              <w:rPr>
                <w:b/>
                <w:sz w:val="18"/>
                <w:u w:val="single"/>
                <w:lang w:val="en-GB"/>
              </w:rPr>
              <w:lastRenderedPageBreak/>
              <w:t>France</w:t>
            </w:r>
            <w:r w:rsidRPr="008E178E">
              <w:rPr>
                <w:b/>
                <w:sz w:val="18"/>
                <w:lang w:val="en-GB"/>
              </w:rPr>
              <w:t xml:space="preserve">: The national legislation of France </w:t>
            </w:r>
            <w:proofErr w:type="gramStart"/>
            <w:r w:rsidRPr="008E178E">
              <w:rPr>
                <w:b/>
                <w:sz w:val="18"/>
                <w:lang w:val="en-GB"/>
              </w:rPr>
              <w:t>do</w:t>
            </w:r>
            <w:proofErr w:type="gramEnd"/>
            <w:r w:rsidRPr="008E178E">
              <w:rPr>
                <w:b/>
                <w:sz w:val="18"/>
                <w:lang w:val="en-GB"/>
              </w:rPr>
              <w:t xml:space="preserve"> not permit tolerances for produce affected by mould or rot or the presence of dead or living insects. </w:t>
            </w:r>
            <w:r w:rsidRPr="008E178E">
              <w:rPr>
                <w:b/>
                <w:sz w:val="18"/>
              </w:rPr>
              <w:t xml:space="preserve">A </w:t>
            </w:r>
            <w:proofErr w:type="spellStart"/>
            <w:r w:rsidRPr="008E178E">
              <w:rPr>
                <w:b/>
                <w:sz w:val="18"/>
              </w:rPr>
              <w:t>footnote</w:t>
            </w:r>
            <w:proofErr w:type="spellEnd"/>
            <w:r w:rsidRPr="008E178E">
              <w:rPr>
                <w:b/>
                <w:sz w:val="18"/>
              </w:rPr>
              <w:t xml:space="preserve"> </w:t>
            </w:r>
            <w:proofErr w:type="spellStart"/>
            <w:r w:rsidRPr="008E178E">
              <w:rPr>
                <w:b/>
                <w:sz w:val="18"/>
              </w:rPr>
              <w:t>is</w:t>
            </w:r>
            <w:proofErr w:type="spellEnd"/>
            <w:r w:rsidRPr="008E178E">
              <w:rPr>
                <w:b/>
                <w:sz w:val="18"/>
              </w:rPr>
              <w:t xml:space="preserve"> </w:t>
            </w:r>
            <w:proofErr w:type="spellStart"/>
            <w:r w:rsidRPr="008E178E">
              <w:rPr>
                <w:b/>
                <w:sz w:val="18"/>
              </w:rPr>
              <w:t>required</w:t>
            </w:r>
            <w:proofErr w:type="spellEnd"/>
            <w:r w:rsidRPr="008E178E">
              <w:rPr>
                <w:b/>
                <w:sz w:val="18"/>
              </w:rPr>
              <w:t xml:space="preserve"> if not </w:t>
            </w:r>
            <w:proofErr w:type="spellStart"/>
            <w:r w:rsidRPr="008E178E">
              <w:rPr>
                <w:b/>
                <w:sz w:val="18"/>
              </w:rPr>
              <w:t>modify</w:t>
            </w:r>
            <w:proofErr w:type="spellEnd"/>
            <w:r w:rsidRPr="008E178E">
              <w:rPr>
                <w:b/>
                <w:sz w:val="18"/>
              </w:rPr>
              <w:t>.</w:t>
            </w:r>
          </w:p>
        </w:tc>
        <w:tc>
          <w:tcPr>
            <w:tcW w:w="1096" w:type="dxa"/>
            <w:tcBorders>
              <w:top w:val="nil"/>
            </w:tcBorders>
            <w:shd w:val="clear" w:color="auto" w:fill="auto"/>
            <w:vAlign w:val="bottom"/>
          </w:tcPr>
          <w:p w14:paraId="24DDC0B3" w14:textId="77777777" w:rsidR="00673013" w:rsidRDefault="00673013" w:rsidP="00746667">
            <w:pPr>
              <w:suppressAutoHyphens w:val="0"/>
              <w:spacing w:before="40" w:after="40" w:line="220" w:lineRule="exact"/>
              <w:ind w:right="113"/>
              <w:jc w:val="right"/>
              <w:rPr>
                <w:sz w:val="18"/>
              </w:rPr>
            </w:pPr>
            <w:r>
              <w:rPr>
                <w:sz w:val="18"/>
              </w:rPr>
              <w:lastRenderedPageBreak/>
              <w:t>0.5</w:t>
            </w:r>
          </w:p>
        </w:tc>
        <w:tc>
          <w:tcPr>
            <w:tcW w:w="1344" w:type="dxa"/>
            <w:tcBorders>
              <w:top w:val="nil"/>
            </w:tcBorders>
            <w:vAlign w:val="bottom"/>
          </w:tcPr>
          <w:p w14:paraId="6A366479" w14:textId="77777777" w:rsidR="00673013" w:rsidRDefault="00673013" w:rsidP="00746667">
            <w:pPr>
              <w:spacing w:before="40" w:after="40" w:line="220" w:lineRule="exact"/>
              <w:ind w:right="113"/>
              <w:jc w:val="right"/>
              <w:rPr>
                <w:sz w:val="18"/>
              </w:rPr>
            </w:pPr>
            <w:r>
              <w:rPr>
                <w:sz w:val="18"/>
              </w:rPr>
              <w:t>1</w:t>
            </w:r>
          </w:p>
        </w:tc>
        <w:tc>
          <w:tcPr>
            <w:tcW w:w="1344" w:type="dxa"/>
            <w:tcBorders>
              <w:top w:val="nil"/>
            </w:tcBorders>
            <w:shd w:val="clear" w:color="auto" w:fill="auto"/>
            <w:vAlign w:val="bottom"/>
          </w:tcPr>
          <w:p w14:paraId="43B960CE" w14:textId="77777777" w:rsidR="00673013" w:rsidRDefault="00673013" w:rsidP="00746667">
            <w:pPr>
              <w:suppressAutoHyphens w:val="0"/>
              <w:spacing w:before="40" w:after="40" w:line="220" w:lineRule="exact"/>
              <w:ind w:right="113"/>
              <w:jc w:val="right"/>
              <w:rPr>
                <w:sz w:val="18"/>
              </w:rPr>
            </w:pPr>
          </w:p>
        </w:tc>
        <w:tc>
          <w:tcPr>
            <w:tcW w:w="1338" w:type="dxa"/>
            <w:tcBorders>
              <w:top w:val="nil"/>
            </w:tcBorders>
            <w:shd w:val="clear" w:color="auto" w:fill="auto"/>
            <w:vAlign w:val="bottom"/>
          </w:tcPr>
          <w:p w14:paraId="39C3996D" w14:textId="77777777" w:rsidR="00673013" w:rsidRDefault="00673013" w:rsidP="00746667">
            <w:pPr>
              <w:suppressAutoHyphens w:val="0"/>
              <w:spacing w:before="40" w:after="40" w:line="220" w:lineRule="exact"/>
              <w:ind w:right="113"/>
              <w:jc w:val="right"/>
              <w:rPr>
                <w:sz w:val="18"/>
              </w:rPr>
            </w:pPr>
          </w:p>
        </w:tc>
      </w:tr>
      <w:tr w:rsidR="00673013" w:rsidRPr="0086513D" w14:paraId="6D35D7D4" w14:textId="77777777" w:rsidTr="00746667">
        <w:tc>
          <w:tcPr>
            <w:tcW w:w="3592" w:type="dxa"/>
            <w:tcBorders>
              <w:top w:val="nil"/>
            </w:tcBorders>
            <w:shd w:val="clear" w:color="auto" w:fill="auto"/>
          </w:tcPr>
          <w:p w14:paraId="30F2489D" w14:textId="77777777" w:rsidR="00673013" w:rsidRPr="00673013" w:rsidRDefault="00673013" w:rsidP="00746667">
            <w:pPr>
              <w:spacing w:before="40" w:after="40" w:line="220" w:lineRule="exact"/>
              <w:ind w:left="397" w:right="113"/>
              <w:rPr>
                <w:bCs/>
                <w:sz w:val="18"/>
                <w:lang w:val="en-GB"/>
              </w:rPr>
            </w:pPr>
            <w:r w:rsidRPr="00673013">
              <w:rPr>
                <w:bCs/>
                <w:sz w:val="18"/>
                <w:lang w:val="en-GB"/>
              </w:rPr>
              <w:t xml:space="preserve">Skin or flesh damage, calluses, heat injury </w:t>
            </w:r>
          </w:p>
        </w:tc>
        <w:tc>
          <w:tcPr>
            <w:tcW w:w="1096" w:type="dxa"/>
            <w:tcBorders>
              <w:top w:val="nil"/>
            </w:tcBorders>
            <w:shd w:val="clear" w:color="auto" w:fill="auto"/>
            <w:vAlign w:val="bottom"/>
          </w:tcPr>
          <w:p w14:paraId="59D88101" w14:textId="77777777" w:rsidR="00673013" w:rsidRPr="002165EE" w:rsidRDefault="00673013" w:rsidP="00746667">
            <w:pPr>
              <w:spacing w:before="40" w:after="40" w:line="220" w:lineRule="exact"/>
              <w:ind w:right="113"/>
              <w:jc w:val="right"/>
              <w:rPr>
                <w:b/>
                <w:bCs/>
                <w:strike/>
                <w:sz w:val="18"/>
              </w:rPr>
            </w:pPr>
            <w:r w:rsidRPr="002165EE">
              <w:rPr>
                <w:b/>
                <w:bCs/>
                <w:strike/>
                <w:color w:val="FF0000"/>
                <w:sz w:val="18"/>
                <w:lang w:val="en-US"/>
              </w:rPr>
              <w:t>[</w:t>
            </w:r>
            <w:r w:rsidRPr="002165EE">
              <w:rPr>
                <w:b/>
                <w:bCs/>
                <w:strike/>
                <w:color w:val="FF0000"/>
                <w:sz w:val="18"/>
              </w:rPr>
              <w:t>6</w:t>
            </w:r>
            <w:r w:rsidRPr="002165EE">
              <w:rPr>
                <w:b/>
                <w:bCs/>
                <w:color w:val="FF0000"/>
                <w:sz w:val="18"/>
              </w:rPr>
              <w:t>2</w:t>
            </w:r>
          </w:p>
        </w:tc>
        <w:tc>
          <w:tcPr>
            <w:tcW w:w="1344" w:type="dxa"/>
            <w:tcBorders>
              <w:top w:val="nil"/>
            </w:tcBorders>
            <w:vAlign w:val="bottom"/>
          </w:tcPr>
          <w:p w14:paraId="61D9F8A0" w14:textId="77777777" w:rsidR="00673013" w:rsidRPr="002165EE" w:rsidRDefault="00673013" w:rsidP="00746667">
            <w:pPr>
              <w:spacing w:before="40" w:after="40" w:line="220" w:lineRule="exact"/>
              <w:ind w:right="113"/>
              <w:jc w:val="right"/>
              <w:rPr>
                <w:b/>
                <w:bCs/>
                <w:strike/>
                <w:sz w:val="18"/>
              </w:rPr>
            </w:pPr>
            <w:r w:rsidRPr="002165EE">
              <w:rPr>
                <w:b/>
                <w:bCs/>
                <w:strike/>
                <w:color w:val="FF0000"/>
                <w:sz w:val="18"/>
              </w:rPr>
              <w:t>10</w:t>
            </w:r>
            <w:r w:rsidRPr="002165EE">
              <w:rPr>
                <w:b/>
                <w:bCs/>
                <w:color w:val="FF0000"/>
                <w:sz w:val="18"/>
              </w:rPr>
              <w:t>4</w:t>
            </w:r>
          </w:p>
        </w:tc>
        <w:tc>
          <w:tcPr>
            <w:tcW w:w="1344" w:type="dxa"/>
            <w:tcBorders>
              <w:top w:val="nil"/>
            </w:tcBorders>
            <w:shd w:val="clear" w:color="auto" w:fill="auto"/>
            <w:vAlign w:val="bottom"/>
          </w:tcPr>
          <w:p w14:paraId="0223F63C" w14:textId="77777777" w:rsidR="00673013" w:rsidRPr="0086513D" w:rsidDel="00344609" w:rsidRDefault="00673013" w:rsidP="00746667">
            <w:pPr>
              <w:spacing w:before="40" w:after="40" w:line="220" w:lineRule="exact"/>
              <w:ind w:right="113"/>
              <w:jc w:val="right"/>
              <w:rPr>
                <w:sz w:val="18"/>
              </w:rPr>
            </w:pPr>
            <w:r>
              <w:rPr>
                <w:sz w:val="18"/>
              </w:rPr>
              <w:t>2</w:t>
            </w:r>
          </w:p>
        </w:tc>
        <w:tc>
          <w:tcPr>
            <w:tcW w:w="1338" w:type="dxa"/>
            <w:tcBorders>
              <w:top w:val="nil"/>
            </w:tcBorders>
            <w:shd w:val="clear" w:color="auto" w:fill="auto"/>
            <w:vAlign w:val="bottom"/>
          </w:tcPr>
          <w:p w14:paraId="38AA02AF" w14:textId="77777777" w:rsidR="00673013" w:rsidRDefault="00673013" w:rsidP="00746667">
            <w:pPr>
              <w:spacing w:before="40" w:after="40" w:line="220" w:lineRule="exact"/>
              <w:ind w:right="113"/>
              <w:jc w:val="right"/>
              <w:rPr>
                <w:sz w:val="18"/>
              </w:rPr>
            </w:pPr>
            <w:r>
              <w:rPr>
                <w:sz w:val="18"/>
              </w:rPr>
              <w:t>4]</w:t>
            </w:r>
          </w:p>
        </w:tc>
      </w:tr>
      <w:tr w:rsidR="00673013" w:rsidRPr="0086513D" w14:paraId="63F2C958" w14:textId="77777777" w:rsidTr="00746667">
        <w:tc>
          <w:tcPr>
            <w:tcW w:w="3592" w:type="dxa"/>
            <w:shd w:val="clear" w:color="auto" w:fill="auto"/>
          </w:tcPr>
          <w:p w14:paraId="45A5D235" w14:textId="77777777" w:rsidR="00673013" w:rsidRPr="003C3714" w:rsidRDefault="00673013" w:rsidP="00746667">
            <w:pPr>
              <w:spacing w:before="40" w:after="40" w:line="220" w:lineRule="exact"/>
              <w:ind w:left="397" w:right="113"/>
              <w:rPr>
                <w:bCs/>
                <w:sz w:val="18"/>
              </w:rPr>
            </w:pPr>
            <w:r w:rsidRPr="003C3714">
              <w:rPr>
                <w:bCs/>
                <w:sz w:val="18"/>
              </w:rPr>
              <w:t xml:space="preserve">Pest </w:t>
            </w:r>
            <w:r w:rsidRPr="00B341D6">
              <w:rPr>
                <w:sz w:val="18"/>
                <w:szCs w:val="18"/>
              </w:rPr>
              <w:t>damage</w:t>
            </w:r>
            <w:r w:rsidRPr="003C3714">
              <w:rPr>
                <w:bCs/>
                <w:sz w:val="18"/>
              </w:rPr>
              <w:t xml:space="preserve"> </w:t>
            </w:r>
          </w:p>
        </w:tc>
        <w:tc>
          <w:tcPr>
            <w:tcW w:w="1096" w:type="dxa"/>
            <w:shd w:val="clear" w:color="auto" w:fill="auto"/>
            <w:vAlign w:val="bottom"/>
          </w:tcPr>
          <w:p w14:paraId="057E0E34" w14:textId="77777777" w:rsidR="00673013" w:rsidRPr="0086513D" w:rsidRDefault="00673013" w:rsidP="00746667">
            <w:pPr>
              <w:suppressAutoHyphens w:val="0"/>
              <w:spacing w:before="40" w:after="40" w:line="220" w:lineRule="exact"/>
              <w:ind w:right="113"/>
              <w:jc w:val="right"/>
              <w:rPr>
                <w:sz w:val="18"/>
              </w:rPr>
            </w:pPr>
            <w:r>
              <w:rPr>
                <w:sz w:val="18"/>
              </w:rPr>
              <w:t>2</w:t>
            </w:r>
          </w:p>
        </w:tc>
        <w:tc>
          <w:tcPr>
            <w:tcW w:w="1344" w:type="dxa"/>
            <w:vAlign w:val="bottom"/>
          </w:tcPr>
          <w:p w14:paraId="4FF3974A" w14:textId="77777777" w:rsidR="00673013" w:rsidRPr="0086513D" w:rsidRDefault="00673013" w:rsidP="00746667">
            <w:pPr>
              <w:spacing w:before="40" w:after="40" w:line="220" w:lineRule="exact"/>
              <w:ind w:right="113"/>
              <w:jc w:val="right"/>
              <w:rPr>
                <w:sz w:val="18"/>
              </w:rPr>
            </w:pPr>
            <w:r>
              <w:rPr>
                <w:sz w:val="18"/>
              </w:rPr>
              <w:t>4</w:t>
            </w:r>
          </w:p>
        </w:tc>
        <w:tc>
          <w:tcPr>
            <w:tcW w:w="1344" w:type="dxa"/>
            <w:shd w:val="clear" w:color="auto" w:fill="auto"/>
            <w:vAlign w:val="bottom"/>
          </w:tcPr>
          <w:p w14:paraId="4EFFC6C7" w14:textId="77777777" w:rsidR="00673013" w:rsidRPr="0086513D" w:rsidRDefault="00673013" w:rsidP="00746667">
            <w:pPr>
              <w:suppressAutoHyphens w:val="0"/>
              <w:spacing w:before="40" w:after="40" w:line="220" w:lineRule="exact"/>
              <w:ind w:right="113"/>
              <w:jc w:val="right"/>
              <w:rPr>
                <w:sz w:val="18"/>
              </w:rPr>
            </w:pPr>
            <w:r>
              <w:rPr>
                <w:sz w:val="18"/>
              </w:rPr>
              <w:t>2</w:t>
            </w:r>
          </w:p>
        </w:tc>
        <w:tc>
          <w:tcPr>
            <w:tcW w:w="1338" w:type="dxa"/>
            <w:shd w:val="clear" w:color="auto" w:fill="auto"/>
            <w:vAlign w:val="bottom"/>
          </w:tcPr>
          <w:p w14:paraId="4579926A" w14:textId="77777777" w:rsidR="00673013" w:rsidRPr="0086513D" w:rsidRDefault="00673013" w:rsidP="00746667">
            <w:pPr>
              <w:suppressAutoHyphens w:val="0"/>
              <w:spacing w:before="40" w:after="40" w:line="220" w:lineRule="exact"/>
              <w:ind w:right="113"/>
              <w:jc w:val="right"/>
              <w:rPr>
                <w:sz w:val="18"/>
              </w:rPr>
            </w:pPr>
            <w:r>
              <w:rPr>
                <w:sz w:val="18"/>
              </w:rPr>
              <w:t>4</w:t>
            </w:r>
          </w:p>
        </w:tc>
      </w:tr>
      <w:tr w:rsidR="00673013" w:rsidRPr="0086513D" w14:paraId="689FF47C" w14:textId="77777777" w:rsidTr="00746667">
        <w:tc>
          <w:tcPr>
            <w:tcW w:w="3592" w:type="dxa"/>
            <w:shd w:val="clear" w:color="auto" w:fill="auto"/>
          </w:tcPr>
          <w:p w14:paraId="742310D4" w14:textId="77777777" w:rsidR="00673013" w:rsidRPr="003C3714" w:rsidRDefault="00673013" w:rsidP="00746667">
            <w:pPr>
              <w:spacing w:before="40" w:after="40" w:line="220" w:lineRule="exact"/>
              <w:ind w:left="397" w:right="113"/>
              <w:rPr>
                <w:bCs/>
                <w:sz w:val="18"/>
              </w:rPr>
            </w:pPr>
            <w:r w:rsidRPr="00B341D6">
              <w:rPr>
                <w:sz w:val="18"/>
                <w:szCs w:val="18"/>
              </w:rPr>
              <w:t>Fermentation</w:t>
            </w:r>
            <w:r w:rsidRPr="003C3714">
              <w:rPr>
                <w:bCs/>
                <w:sz w:val="18"/>
              </w:rPr>
              <w:t xml:space="preserve">  </w:t>
            </w:r>
          </w:p>
        </w:tc>
        <w:tc>
          <w:tcPr>
            <w:tcW w:w="1096" w:type="dxa"/>
            <w:shd w:val="clear" w:color="auto" w:fill="auto"/>
            <w:vAlign w:val="bottom"/>
          </w:tcPr>
          <w:p w14:paraId="00498962" w14:textId="77777777" w:rsidR="00673013" w:rsidRPr="0086513D" w:rsidRDefault="00673013" w:rsidP="00746667">
            <w:pPr>
              <w:suppressAutoHyphens w:val="0"/>
              <w:spacing w:before="40" w:after="40" w:line="220" w:lineRule="exact"/>
              <w:ind w:right="113"/>
              <w:jc w:val="right"/>
              <w:rPr>
                <w:sz w:val="18"/>
              </w:rPr>
            </w:pPr>
            <w:r w:rsidRPr="0086513D">
              <w:rPr>
                <w:sz w:val="18"/>
              </w:rPr>
              <w:t>1</w:t>
            </w:r>
          </w:p>
        </w:tc>
        <w:tc>
          <w:tcPr>
            <w:tcW w:w="1344" w:type="dxa"/>
            <w:vAlign w:val="bottom"/>
          </w:tcPr>
          <w:p w14:paraId="20282B87" w14:textId="77777777" w:rsidR="00673013" w:rsidRPr="0086513D" w:rsidRDefault="00673013" w:rsidP="00746667">
            <w:pPr>
              <w:spacing w:before="40" w:after="40" w:line="220" w:lineRule="exact"/>
              <w:ind w:right="113"/>
              <w:jc w:val="right"/>
              <w:rPr>
                <w:sz w:val="18"/>
              </w:rPr>
            </w:pPr>
            <w:r>
              <w:rPr>
                <w:sz w:val="18"/>
              </w:rPr>
              <w:t>2</w:t>
            </w:r>
          </w:p>
        </w:tc>
        <w:tc>
          <w:tcPr>
            <w:tcW w:w="1344" w:type="dxa"/>
            <w:shd w:val="clear" w:color="auto" w:fill="auto"/>
            <w:vAlign w:val="bottom"/>
          </w:tcPr>
          <w:p w14:paraId="401A92FE" w14:textId="77777777" w:rsidR="00673013" w:rsidRPr="0086513D" w:rsidRDefault="00673013" w:rsidP="00746667">
            <w:pPr>
              <w:suppressAutoHyphens w:val="0"/>
              <w:spacing w:before="40" w:after="40" w:line="220" w:lineRule="exact"/>
              <w:ind w:right="113"/>
              <w:jc w:val="right"/>
              <w:rPr>
                <w:sz w:val="18"/>
              </w:rPr>
            </w:pPr>
            <w:r>
              <w:rPr>
                <w:sz w:val="18"/>
              </w:rPr>
              <w:t>1</w:t>
            </w:r>
          </w:p>
        </w:tc>
        <w:tc>
          <w:tcPr>
            <w:tcW w:w="1338" w:type="dxa"/>
            <w:shd w:val="clear" w:color="auto" w:fill="auto"/>
            <w:vAlign w:val="bottom"/>
          </w:tcPr>
          <w:p w14:paraId="5685DDEF" w14:textId="77777777" w:rsidR="00673013" w:rsidRPr="0086513D" w:rsidRDefault="00673013" w:rsidP="00746667">
            <w:pPr>
              <w:suppressAutoHyphens w:val="0"/>
              <w:spacing w:before="40" w:after="40" w:line="220" w:lineRule="exact"/>
              <w:ind w:right="113"/>
              <w:jc w:val="right"/>
              <w:rPr>
                <w:sz w:val="18"/>
              </w:rPr>
            </w:pPr>
            <w:r>
              <w:rPr>
                <w:sz w:val="18"/>
              </w:rPr>
              <w:t>2</w:t>
            </w:r>
          </w:p>
        </w:tc>
      </w:tr>
      <w:tr w:rsidR="00673013" w:rsidRPr="0086513D" w14:paraId="20E89F70" w14:textId="77777777" w:rsidTr="00746667">
        <w:tc>
          <w:tcPr>
            <w:tcW w:w="3592" w:type="dxa"/>
            <w:shd w:val="clear" w:color="auto" w:fill="auto"/>
          </w:tcPr>
          <w:p w14:paraId="5B733101" w14:textId="77777777" w:rsidR="00673013" w:rsidRPr="003C3714" w:rsidRDefault="00673013" w:rsidP="00746667">
            <w:pPr>
              <w:spacing w:before="40" w:after="40" w:line="220" w:lineRule="exact"/>
              <w:ind w:left="397" w:right="113"/>
              <w:rPr>
                <w:bCs/>
                <w:sz w:val="18"/>
              </w:rPr>
            </w:pPr>
            <w:r w:rsidRPr="00B341D6">
              <w:rPr>
                <w:sz w:val="18"/>
                <w:szCs w:val="18"/>
              </w:rPr>
              <w:t>Living</w:t>
            </w:r>
            <w:r w:rsidRPr="003C3714">
              <w:rPr>
                <w:bCs/>
                <w:sz w:val="18"/>
              </w:rPr>
              <w:t xml:space="preserve"> </w:t>
            </w:r>
            <w:proofErr w:type="spellStart"/>
            <w:r w:rsidRPr="003C3714">
              <w:rPr>
                <w:bCs/>
                <w:sz w:val="18"/>
              </w:rPr>
              <w:t>pests</w:t>
            </w:r>
            <w:proofErr w:type="spellEnd"/>
          </w:p>
        </w:tc>
        <w:tc>
          <w:tcPr>
            <w:tcW w:w="1096" w:type="dxa"/>
            <w:shd w:val="clear" w:color="auto" w:fill="auto"/>
            <w:vAlign w:val="bottom"/>
          </w:tcPr>
          <w:p w14:paraId="6D2BEC25" w14:textId="77777777" w:rsidR="00673013" w:rsidRPr="0086513D" w:rsidRDefault="00673013" w:rsidP="00746667">
            <w:pPr>
              <w:spacing w:before="40" w:after="40" w:line="220" w:lineRule="exact"/>
              <w:ind w:right="113"/>
              <w:jc w:val="right"/>
              <w:rPr>
                <w:sz w:val="18"/>
              </w:rPr>
            </w:pPr>
            <w:r w:rsidRPr="0086513D">
              <w:rPr>
                <w:sz w:val="18"/>
              </w:rPr>
              <w:t>0</w:t>
            </w:r>
          </w:p>
        </w:tc>
        <w:tc>
          <w:tcPr>
            <w:tcW w:w="1344" w:type="dxa"/>
            <w:vAlign w:val="bottom"/>
          </w:tcPr>
          <w:p w14:paraId="490F4027" w14:textId="77777777" w:rsidR="00673013" w:rsidRPr="0086513D" w:rsidRDefault="00673013" w:rsidP="00746667">
            <w:pPr>
              <w:spacing w:before="40" w:after="40" w:line="220" w:lineRule="exact"/>
              <w:ind w:right="113"/>
              <w:jc w:val="right"/>
              <w:rPr>
                <w:sz w:val="18"/>
              </w:rPr>
            </w:pPr>
            <w:r w:rsidRPr="0086513D">
              <w:rPr>
                <w:sz w:val="18"/>
              </w:rPr>
              <w:t>0</w:t>
            </w:r>
          </w:p>
        </w:tc>
        <w:tc>
          <w:tcPr>
            <w:tcW w:w="1344" w:type="dxa"/>
            <w:shd w:val="clear" w:color="auto" w:fill="auto"/>
            <w:vAlign w:val="bottom"/>
          </w:tcPr>
          <w:p w14:paraId="691CE39E" w14:textId="77777777" w:rsidR="00673013" w:rsidRPr="0086513D" w:rsidRDefault="00673013" w:rsidP="00746667">
            <w:pPr>
              <w:spacing w:before="40" w:after="40" w:line="220" w:lineRule="exact"/>
              <w:ind w:right="113"/>
              <w:jc w:val="right"/>
              <w:rPr>
                <w:sz w:val="18"/>
              </w:rPr>
            </w:pPr>
            <w:r w:rsidRPr="0086513D">
              <w:rPr>
                <w:sz w:val="18"/>
              </w:rPr>
              <w:t>0</w:t>
            </w:r>
          </w:p>
        </w:tc>
        <w:tc>
          <w:tcPr>
            <w:tcW w:w="1338" w:type="dxa"/>
            <w:shd w:val="clear" w:color="auto" w:fill="auto"/>
            <w:vAlign w:val="bottom"/>
          </w:tcPr>
          <w:p w14:paraId="1455213B" w14:textId="77777777" w:rsidR="00673013" w:rsidRPr="0086513D" w:rsidRDefault="00673013" w:rsidP="00746667">
            <w:pPr>
              <w:spacing w:before="40" w:after="40" w:line="220" w:lineRule="exact"/>
              <w:ind w:right="113"/>
              <w:jc w:val="right"/>
              <w:rPr>
                <w:sz w:val="18"/>
              </w:rPr>
            </w:pPr>
            <w:r w:rsidRPr="0086513D">
              <w:rPr>
                <w:sz w:val="18"/>
              </w:rPr>
              <w:t>0</w:t>
            </w:r>
          </w:p>
        </w:tc>
      </w:tr>
      <w:tr w:rsidR="00673013" w:rsidRPr="0086513D" w14:paraId="10764E81" w14:textId="77777777" w:rsidTr="00746667">
        <w:tc>
          <w:tcPr>
            <w:tcW w:w="3592" w:type="dxa"/>
            <w:shd w:val="clear" w:color="auto" w:fill="auto"/>
          </w:tcPr>
          <w:p w14:paraId="17395EB6" w14:textId="77777777" w:rsidR="00673013" w:rsidRPr="003C3714" w:rsidRDefault="00673013" w:rsidP="00746667">
            <w:pPr>
              <w:spacing w:before="40" w:after="40" w:line="220" w:lineRule="exact"/>
              <w:ind w:right="113"/>
              <w:rPr>
                <w:bCs/>
                <w:sz w:val="18"/>
              </w:rPr>
            </w:pPr>
            <w:r>
              <w:rPr>
                <w:bCs/>
                <w:sz w:val="18"/>
              </w:rPr>
              <w:t xml:space="preserve">(b) </w:t>
            </w:r>
            <w:r w:rsidRPr="003C3714">
              <w:rPr>
                <w:bCs/>
                <w:sz w:val="18"/>
              </w:rPr>
              <w:t xml:space="preserve">Size </w:t>
            </w:r>
            <w:proofErr w:type="spellStart"/>
            <w:r w:rsidRPr="003C3714">
              <w:rPr>
                <w:bCs/>
                <w:sz w:val="18"/>
              </w:rPr>
              <w:t>tolerances</w:t>
            </w:r>
            <w:proofErr w:type="spellEnd"/>
          </w:p>
        </w:tc>
        <w:tc>
          <w:tcPr>
            <w:tcW w:w="1096" w:type="dxa"/>
            <w:shd w:val="clear" w:color="auto" w:fill="auto"/>
            <w:vAlign w:val="bottom"/>
          </w:tcPr>
          <w:p w14:paraId="0EF3297D" w14:textId="77777777" w:rsidR="00673013" w:rsidRPr="0086513D" w:rsidRDefault="00673013" w:rsidP="00746667">
            <w:pPr>
              <w:spacing w:before="40" w:after="40" w:line="220" w:lineRule="exact"/>
              <w:ind w:right="113"/>
              <w:jc w:val="right"/>
              <w:rPr>
                <w:sz w:val="18"/>
              </w:rPr>
            </w:pPr>
            <w:r>
              <w:rPr>
                <w:sz w:val="18"/>
              </w:rPr>
              <w:t>10</w:t>
            </w:r>
          </w:p>
        </w:tc>
        <w:tc>
          <w:tcPr>
            <w:tcW w:w="1344" w:type="dxa"/>
          </w:tcPr>
          <w:p w14:paraId="218B4AD2" w14:textId="77777777" w:rsidR="00673013" w:rsidRPr="0086513D" w:rsidRDefault="00673013" w:rsidP="00746667">
            <w:pPr>
              <w:spacing w:before="40" w:after="40" w:line="220" w:lineRule="exact"/>
              <w:ind w:right="113"/>
              <w:jc w:val="right"/>
              <w:rPr>
                <w:sz w:val="18"/>
              </w:rPr>
            </w:pPr>
            <w:r>
              <w:rPr>
                <w:sz w:val="18"/>
              </w:rPr>
              <w:t>10</w:t>
            </w:r>
          </w:p>
        </w:tc>
        <w:tc>
          <w:tcPr>
            <w:tcW w:w="1344" w:type="dxa"/>
            <w:shd w:val="clear" w:color="auto" w:fill="auto"/>
            <w:vAlign w:val="bottom"/>
          </w:tcPr>
          <w:p w14:paraId="77C22CC8" w14:textId="77777777" w:rsidR="00673013" w:rsidRPr="0086513D" w:rsidRDefault="00673013" w:rsidP="00746667">
            <w:pPr>
              <w:spacing w:before="40" w:after="40" w:line="220" w:lineRule="exact"/>
              <w:ind w:right="113"/>
              <w:jc w:val="right"/>
              <w:rPr>
                <w:sz w:val="18"/>
              </w:rPr>
            </w:pPr>
            <w:r>
              <w:rPr>
                <w:sz w:val="18"/>
              </w:rPr>
              <w:t>10</w:t>
            </w:r>
          </w:p>
        </w:tc>
        <w:tc>
          <w:tcPr>
            <w:tcW w:w="1338" w:type="dxa"/>
            <w:shd w:val="clear" w:color="auto" w:fill="auto"/>
            <w:vAlign w:val="bottom"/>
          </w:tcPr>
          <w:p w14:paraId="6F3CF455" w14:textId="77777777" w:rsidR="00673013" w:rsidRPr="0086513D" w:rsidRDefault="00673013" w:rsidP="00746667">
            <w:pPr>
              <w:spacing w:before="40" w:after="40" w:line="220" w:lineRule="exact"/>
              <w:ind w:right="113"/>
              <w:jc w:val="right"/>
              <w:rPr>
                <w:sz w:val="18"/>
              </w:rPr>
            </w:pPr>
            <w:r>
              <w:rPr>
                <w:sz w:val="18"/>
              </w:rPr>
              <w:t>10</w:t>
            </w:r>
          </w:p>
        </w:tc>
      </w:tr>
      <w:tr w:rsidR="00673013" w:rsidRPr="0086513D" w14:paraId="2E78AFF9" w14:textId="77777777" w:rsidTr="00746667">
        <w:tc>
          <w:tcPr>
            <w:tcW w:w="3592" w:type="dxa"/>
            <w:shd w:val="clear" w:color="auto" w:fill="auto"/>
          </w:tcPr>
          <w:p w14:paraId="25AE5473" w14:textId="77777777" w:rsidR="00673013" w:rsidRPr="00673013" w:rsidRDefault="00673013" w:rsidP="00746667">
            <w:pPr>
              <w:suppressAutoHyphens w:val="0"/>
              <w:spacing w:before="40" w:after="40" w:line="220" w:lineRule="exact"/>
              <w:ind w:right="113"/>
              <w:rPr>
                <w:bCs/>
                <w:sz w:val="18"/>
                <w:lang w:val="en-GB"/>
              </w:rPr>
            </w:pPr>
            <w:r w:rsidRPr="00673013">
              <w:rPr>
                <w:sz w:val="18"/>
                <w:szCs w:val="18"/>
                <w:lang w:val="en-GB"/>
              </w:rPr>
              <w:t>For produce not conforming to the size indicated, if sized</w:t>
            </w:r>
          </w:p>
        </w:tc>
        <w:tc>
          <w:tcPr>
            <w:tcW w:w="1096" w:type="dxa"/>
            <w:shd w:val="clear" w:color="auto" w:fill="auto"/>
            <w:vAlign w:val="bottom"/>
          </w:tcPr>
          <w:p w14:paraId="2BEA925A" w14:textId="77777777" w:rsidR="00673013" w:rsidRPr="0086513D" w:rsidRDefault="00673013" w:rsidP="00746667">
            <w:pPr>
              <w:suppressAutoHyphens w:val="0"/>
              <w:spacing w:before="40" w:after="40" w:line="220" w:lineRule="exact"/>
              <w:ind w:right="113"/>
              <w:jc w:val="right"/>
              <w:rPr>
                <w:sz w:val="18"/>
              </w:rPr>
            </w:pPr>
            <w:r>
              <w:rPr>
                <w:sz w:val="18"/>
              </w:rPr>
              <w:t>10</w:t>
            </w:r>
          </w:p>
        </w:tc>
        <w:tc>
          <w:tcPr>
            <w:tcW w:w="1344" w:type="dxa"/>
            <w:vAlign w:val="bottom"/>
          </w:tcPr>
          <w:p w14:paraId="60FD409D" w14:textId="77777777" w:rsidR="00673013" w:rsidRPr="0086513D" w:rsidRDefault="00673013" w:rsidP="00746667">
            <w:pPr>
              <w:suppressAutoHyphens w:val="0"/>
              <w:spacing w:before="40" w:after="40" w:line="220" w:lineRule="exact"/>
              <w:ind w:right="113"/>
              <w:jc w:val="right"/>
              <w:rPr>
                <w:sz w:val="18"/>
              </w:rPr>
            </w:pPr>
            <w:r>
              <w:rPr>
                <w:sz w:val="18"/>
              </w:rPr>
              <w:t>10</w:t>
            </w:r>
          </w:p>
        </w:tc>
        <w:tc>
          <w:tcPr>
            <w:tcW w:w="1344" w:type="dxa"/>
            <w:shd w:val="clear" w:color="auto" w:fill="auto"/>
            <w:vAlign w:val="bottom"/>
          </w:tcPr>
          <w:p w14:paraId="6EA4B088" w14:textId="77777777" w:rsidR="00673013" w:rsidRPr="0086513D" w:rsidRDefault="00673013" w:rsidP="00746667">
            <w:pPr>
              <w:suppressAutoHyphens w:val="0"/>
              <w:spacing w:before="40" w:after="40" w:line="220" w:lineRule="exact"/>
              <w:ind w:right="113"/>
              <w:jc w:val="right"/>
              <w:rPr>
                <w:sz w:val="18"/>
              </w:rPr>
            </w:pPr>
            <w:r>
              <w:rPr>
                <w:sz w:val="18"/>
              </w:rPr>
              <w:t>10</w:t>
            </w:r>
          </w:p>
        </w:tc>
        <w:tc>
          <w:tcPr>
            <w:tcW w:w="1338" w:type="dxa"/>
            <w:shd w:val="clear" w:color="auto" w:fill="auto"/>
            <w:vAlign w:val="bottom"/>
          </w:tcPr>
          <w:p w14:paraId="3F154805" w14:textId="77777777" w:rsidR="00673013" w:rsidRPr="0086513D" w:rsidRDefault="00673013" w:rsidP="00746667">
            <w:pPr>
              <w:suppressAutoHyphens w:val="0"/>
              <w:spacing w:before="40" w:after="40" w:line="220" w:lineRule="exact"/>
              <w:ind w:right="113"/>
              <w:jc w:val="right"/>
              <w:rPr>
                <w:sz w:val="18"/>
              </w:rPr>
            </w:pPr>
            <w:r>
              <w:rPr>
                <w:sz w:val="18"/>
              </w:rPr>
              <w:t>10</w:t>
            </w:r>
          </w:p>
        </w:tc>
      </w:tr>
      <w:tr w:rsidR="00673013" w:rsidRPr="008E178E" w14:paraId="581D4D33" w14:textId="77777777" w:rsidTr="00746667">
        <w:tc>
          <w:tcPr>
            <w:tcW w:w="3592" w:type="dxa"/>
            <w:shd w:val="clear" w:color="auto" w:fill="auto"/>
          </w:tcPr>
          <w:p w14:paraId="6703BA39" w14:textId="77777777" w:rsidR="00673013" w:rsidRPr="00673013" w:rsidRDefault="00673013" w:rsidP="00746667">
            <w:pPr>
              <w:suppressAutoHyphens w:val="0"/>
              <w:spacing w:before="40" w:after="40" w:line="220" w:lineRule="exact"/>
              <w:ind w:right="113"/>
              <w:rPr>
                <w:bCs/>
                <w:sz w:val="18"/>
                <w:lang w:val="en-GB"/>
              </w:rPr>
            </w:pPr>
            <w:r w:rsidRPr="00673013">
              <w:rPr>
                <w:bCs/>
                <w:sz w:val="18"/>
                <w:lang w:val="en-GB"/>
              </w:rPr>
              <w:t xml:space="preserve">(c) Tolerances for other defects </w:t>
            </w:r>
          </w:p>
        </w:tc>
        <w:tc>
          <w:tcPr>
            <w:tcW w:w="1096" w:type="dxa"/>
            <w:shd w:val="clear" w:color="auto" w:fill="auto"/>
            <w:vAlign w:val="bottom"/>
          </w:tcPr>
          <w:p w14:paraId="150C0396" w14:textId="77777777" w:rsidR="00673013" w:rsidRPr="00673013" w:rsidRDefault="00673013" w:rsidP="00746667">
            <w:pPr>
              <w:suppressAutoHyphens w:val="0"/>
              <w:spacing w:before="40" w:after="40" w:line="220" w:lineRule="exact"/>
              <w:ind w:right="113"/>
              <w:jc w:val="right"/>
              <w:rPr>
                <w:sz w:val="18"/>
                <w:lang w:val="en-GB"/>
              </w:rPr>
            </w:pPr>
          </w:p>
        </w:tc>
        <w:tc>
          <w:tcPr>
            <w:tcW w:w="1344" w:type="dxa"/>
          </w:tcPr>
          <w:p w14:paraId="08F25408" w14:textId="77777777" w:rsidR="00673013" w:rsidRPr="00673013" w:rsidRDefault="00673013" w:rsidP="00746667">
            <w:pPr>
              <w:spacing w:before="40" w:after="40" w:line="220" w:lineRule="exact"/>
              <w:ind w:right="113"/>
              <w:jc w:val="right"/>
              <w:rPr>
                <w:sz w:val="18"/>
                <w:lang w:val="en-GB"/>
              </w:rPr>
            </w:pPr>
          </w:p>
        </w:tc>
        <w:tc>
          <w:tcPr>
            <w:tcW w:w="1344" w:type="dxa"/>
            <w:shd w:val="clear" w:color="auto" w:fill="auto"/>
            <w:vAlign w:val="bottom"/>
          </w:tcPr>
          <w:p w14:paraId="538E75C5" w14:textId="77777777" w:rsidR="00673013" w:rsidRPr="00673013" w:rsidRDefault="00673013" w:rsidP="00746667">
            <w:pPr>
              <w:suppressAutoHyphens w:val="0"/>
              <w:spacing w:before="40" w:after="40" w:line="220" w:lineRule="exact"/>
              <w:ind w:right="113"/>
              <w:jc w:val="right"/>
              <w:rPr>
                <w:sz w:val="18"/>
                <w:lang w:val="en-GB"/>
              </w:rPr>
            </w:pPr>
          </w:p>
        </w:tc>
        <w:tc>
          <w:tcPr>
            <w:tcW w:w="1338" w:type="dxa"/>
            <w:shd w:val="clear" w:color="auto" w:fill="auto"/>
            <w:vAlign w:val="bottom"/>
          </w:tcPr>
          <w:p w14:paraId="1B48EF9E" w14:textId="77777777" w:rsidR="00673013" w:rsidRPr="00673013" w:rsidRDefault="00673013" w:rsidP="00746667">
            <w:pPr>
              <w:suppressAutoHyphens w:val="0"/>
              <w:spacing w:before="40" w:after="40" w:line="220" w:lineRule="exact"/>
              <w:ind w:right="113"/>
              <w:jc w:val="right"/>
              <w:rPr>
                <w:sz w:val="18"/>
                <w:lang w:val="en-GB"/>
              </w:rPr>
            </w:pPr>
          </w:p>
        </w:tc>
      </w:tr>
      <w:tr w:rsidR="00673013" w:rsidRPr="0086513D" w14:paraId="78EADD58" w14:textId="77777777" w:rsidTr="00746667">
        <w:tc>
          <w:tcPr>
            <w:tcW w:w="3592" w:type="dxa"/>
            <w:shd w:val="clear" w:color="auto" w:fill="auto"/>
          </w:tcPr>
          <w:p w14:paraId="77277E55" w14:textId="77777777" w:rsidR="00673013" w:rsidRPr="00673013" w:rsidRDefault="00673013" w:rsidP="00746667">
            <w:pPr>
              <w:suppressAutoHyphens w:val="0"/>
              <w:spacing w:before="40" w:after="40" w:line="220" w:lineRule="exact"/>
              <w:ind w:right="113"/>
              <w:rPr>
                <w:sz w:val="18"/>
                <w:lang w:val="en-GB"/>
              </w:rPr>
            </w:pPr>
            <w:r w:rsidRPr="00673013">
              <w:rPr>
                <w:sz w:val="18"/>
                <w:lang w:val="en-GB"/>
              </w:rPr>
              <w:t>Foreign matter (of vegetable origin)</w:t>
            </w:r>
          </w:p>
        </w:tc>
        <w:tc>
          <w:tcPr>
            <w:tcW w:w="1096" w:type="dxa"/>
            <w:shd w:val="clear" w:color="auto" w:fill="auto"/>
            <w:vAlign w:val="bottom"/>
          </w:tcPr>
          <w:p w14:paraId="412676CB" w14:textId="77777777" w:rsidR="00673013" w:rsidRPr="0086513D" w:rsidRDefault="00673013" w:rsidP="00746667">
            <w:pPr>
              <w:suppressAutoHyphens w:val="0"/>
              <w:spacing w:before="40" w:after="40" w:line="220" w:lineRule="exact"/>
              <w:ind w:right="113"/>
              <w:jc w:val="right"/>
              <w:rPr>
                <w:sz w:val="18"/>
              </w:rPr>
            </w:pPr>
            <w:r>
              <w:rPr>
                <w:sz w:val="18"/>
              </w:rPr>
              <w:t>1</w:t>
            </w:r>
          </w:p>
        </w:tc>
        <w:tc>
          <w:tcPr>
            <w:tcW w:w="1344" w:type="dxa"/>
          </w:tcPr>
          <w:p w14:paraId="7BA82395" w14:textId="77777777" w:rsidR="00673013" w:rsidRPr="0086513D" w:rsidRDefault="00673013" w:rsidP="00746667">
            <w:pPr>
              <w:spacing w:before="40" w:after="40" w:line="220" w:lineRule="exact"/>
              <w:ind w:right="113"/>
              <w:jc w:val="right"/>
              <w:rPr>
                <w:sz w:val="18"/>
              </w:rPr>
            </w:pPr>
            <w:r>
              <w:rPr>
                <w:sz w:val="18"/>
              </w:rPr>
              <w:t>1</w:t>
            </w:r>
          </w:p>
        </w:tc>
        <w:tc>
          <w:tcPr>
            <w:tcW w:w="1344" w:type="dxa"/>
            <w:shd w:val="clear" w:color="auto" w:fill="auto"/>
            <w:vAlign w:val="bottom"/>
          </w:tcPr>
          <w:p w14:paraId="7C6A0329" w14:textId="77777777" w:rsidR="00673013" w:rsidRPr="0086513D" w:rsidRDefault="00673013" w:rsidP="00746667">
            <w:pPr>
              <w:suppressAutoHyphens w:val="0"/>
              <w:spacing w:before="40" w:after="40" w:line="220" w:lineRule="exact"/>
              <w:ind w:right="113"/>
              <w:jc w:val="right"/>
              <w:rPr>
                <w:sz w:val="18"/>
              </w:rPr>
            </w:pPr>
            <w:r>
              <w:rPr>
                <w:sz w:val="18"/>
              </w:rPr>
              <w:t>1</w:t>
            </w:r>
          </w:p>
        </w:tc>
        <w:tc>
          <w:tcPr>
            <w:tcW w:w="1338" w:type="dxa"/>
            <w:shd w:val="clear" w:color="auto" w:fill="auto"/>
            <w:vAlign w:val="bottom"/>
          </w:tcPr>
          <w:p w14:paraId="0A083BCD" w14:textId="77777777" w:rsidR="00673013" w:rsidRPr="0086513D" w:rsidRDefault="00673013" w:rsidP="00746667">
            <w:pPr>
              <w:suppressAutoHyphens w:val="0"/>
              <w:spacing w:before="40" w:after="40" w:line="220" w:lineRule="exact"/>
              <w:ind w:right="113"/>
              <w:jc w:val="right"/>
              <w:rPr>
                <w:sz w:val="18"/>
              </w:rPr>
            </w:pPr>
            <w:r>
              <w:rPr>
                <w:sz w:val="18"/>
              </w:rPr>
              <w:t>1</w:t>
            </w:r>
          </w:p>
        </w:tc>
      </w:tr>
      <w:tr w:rsidR="00673013" w:rsidRPr="0086513D" w14:paraId="20C36D88" w14:textId="77777777" w:rsidTr="00746667">
        <w:tc>
          <w:tcPr>
            <w:tcW w:w="3592" w:type="dxa"/>
            <w:shd w:val="clear" w:color="auto" w:fill="auto"/>
          </w:tcPr>
          <w:p w14:paraId="653A69CF" w14:textId="77777777" w:rsidR="00673013" w:rsidRPr="00673013" w:rsidRDefault="00673013" w:rsidP="00746667">
            <w:pPr>
              <w:spacing w:before="40" w:after="40" w:line="220" w:lineRule="exact"/>
              <w:ind w:left="397" w:right="113"/>
              <w:rPr>
                <w:sz w:val="18"/>
                <w:lang w:val="en-GB"/>
              </w:rPr>
            </w:pPr>
            <w:r w:rsidRPr="00673013">
              <w:rPr>
                <w:sz w:val="18"/>
                <w:lang w:val="en-GB"/>
              </w:rPr>
              <w:t xml:space="preserve">Foreign </w:t>
            </w:r>
            <w:r w:rsidRPr="00673013">
              <w:rPr>
                <w:sz w:val="18"/>
                <w:szCs w:val="18"/>
                <w:lang w:val="en-GB"/>
              </w:rPr>
              <w:t>matter</w:t>
            </w:r>
            <w:r w:rsidRPr="00673013">
              <w:rPr>
                <w:sz w:val="18"/>
                <w:lang w:val="en-GB"/>
              </w:rPr>
              <w:t xml:space="preserve"> (of mineral origin)</w:t>
            </w:r>
          </w:p>
        </w:tc>
        <w:tc>
          <w:tcPr>
            <w:tcW w:w="1096" w:type="dxa"/>
            <w:shd w:val="clear" w:color="auto" w:fill="auto"/>
            <w:vAlign w:val="bottom"/>
          </w:tcPr>
          <w:p w14:paraId="0CFA1952" w14:textId="77777777" w:rsidR="00673013" w:rsidRDefault="00673013" w:rsidP="00746667">
            <w:pPr>
              <w:spacing w:before="40" w:after="40" w:line="220" w:lineRule="exact"/>
              <w:ind w:right="113"/>
              <w:jc w:val="right"/>
              <w:rPr>
                <w:sz w:val="18"/>
              </w:rPr>
            </w:pPr>
            <w:r>
              <w:rPr>
                <w:sz w:val="18"/>
              </w:rPr>
              <w:t>0.1</w:t>
            </w:r>
          </w:p>
        </w:tc>
        <w:tc>
          <w:tcPr>
            <w:tcW w:w="1344" w:type="dxa"/>
          </w:tcPr>
          <w:p w14:paraId="71AA2093" w14:textId="77777777" w:rsidR="00673013" w:rsidRDefault="00673013" w:rsidP="00746667">
            <w:pPr>
              <w:spacing w:before="40" w:after="40" w:line="220" w:lineRule="exact"/>
              <w:ind w:right="113"/>
              <w:jc w:val="right"/>
              <w:rPr>
                <w:sz w:val="18"/>
              </w:rPr>
            </w:pPr>
            <w:r>
              <w:rPr>
                <w:sz w:val="18"/>
              </w:rPr>
              <w:t>0.1</w:t>
            </w:r>
          </w:p>
        </w:tc>
        <w:tc>
          <w:tcPr>
            <w:tcW w:w="1344" w:type="dxa"/>
            <w:shd w:val="clear" w:color="auto" w:fill="auto"/>
            <w:vAlign w:val="bottom"/>
          </w:tcPr>
          <w:p w14:paraId="26B093AD" w14:textId="77777777" w:rsidR="00673013" w:rsidRDefault="00673013" w:rsidP="00746667">
            <w:pPr>
              <w:spacing w:before="40" w:after="40" w:line="220" w:lineRule="exact"/>
              <w:ind w:right="113"/>
              <w:jc w:val="right"/>
              <w:rPr>
                <w:sz w:val="18"/>
              </w:rPr>
            </w:pPr>
            <w:r>
              <w:rPr>
                <w:sz w:val="18"/>
              </w:rPr>
              <w:t>0.1</w:t>
            </w:r>
          </w:p>
        </w:tc>
        <w:tc>
          <w:tcPr>
            <w:tcW w:w="1338" w:type="dxa"/>
            <w:shd w:val="clear" w:color="auto" w:fill="auto"/>
            <w:vAlign w:val="bottom"/>
          </w:tcPr>
          <w:p w14:paraId="5F1E1974" w14:textId="77777777" w:rsidR="00673013" w:rsidRDefault="00673013" w:rsidP="00746667">
            <w:pPr>
              <w:spacing w:before="40" w:after="40" w:line="220" w:lineRule="exact"/>
              <w:ind w:right="113"/>
              <w:jc w:val="right"/>
              <w:rPr>
                <w:sz w:val="18"/>
              </w:rPr>
            </w:pPr>
            <w:r>
              <w:rPr>
                <w:sz w:val="18"/>
              </w:rPr>
              <w:t>0.1</w:t>
            </w:r>
          </w:p>
        </w:tc>
      </w:tr>
      <w:tr w:rsidR="00673013" w:rsidRPr="008E178E" w14:paraId="11FFE525" w14:textId="77777777" w:rsidTr="00746667">
        <w:tc>
          <w:tcPr>
            <w:tcW w:w="3592" w:type="dxa"/>
            <w:shd w:val="clear" w:color="auto" w:fill="auto"/>
          </w:tcPr>
          <w:p w14:paraId="044DAD96" w14:textId="77777777" w:rsidR="00673013" w:rsidRPr="00673013" w:rsidRDefault="00673013" w:rsidP="00746667">
            <w:pPr>
              <w:spacing w:before="40" w:after="40" w:line="220" w:lineRule="exact"/>
              <w:ind w:left="397" w:right="113"/>
              <w:rPr>
                <w:sz w:val="18"/>
                <w:lang w:val="en-GB"/>
              </w:rPr>
            </w:pPr>
            <w:r w:rsidRPr="00673013">
              <w:rPr>
                <w:sz w:val="18"/>
                <w:lang w:val="en-GB"/>
              </w:rPr>
              <w:t xml:space="preserve">Among </w:t>
            </w:r>
            <w:r w:rsidRPr="00673013">
              <w:rPr>
                <w:sz w:val="18"/>
                <w:szCs w:val="18"/>
                <w:lang w:val="en-GB"/>
              </w:rPr>
              <w:t>pitted</w:t>
            </w:r>
            <w:r w:rsidRPr="00673013">
              <w:rPr>
                <w:sz w:val="18"/>
                <w:lang w:val="en-GB"/>
              </w:rPr>
              <w:t xml:space="preserve"> prunes, whole pits and pieces of pits </w:t>
            </w:r>
          </w:p>
        </w:tc>
        <w:tc>
          <w:tcPr>
            <w:tcW w:w="1096" w:type="dxa"/>
            <w:shd w:val="clear" w:color="auto" w:fill="auto"/>
            <w:vAlign w:val="bottom"/>
          </w:tcPr>
          <w:p w14:paraId="3309094B" w14:textId="77777777" w:rsidR="00673013" w:rsidRPr="00673013" w:rsidRDefault="00673013" w:rsidP="00746667">
            <w:pPr>
              <w:suppressAutoHyphens w:val="0"/>
              <w:spacing w:before="40" w:after="40" w:line="220" w:lineRule="exact"/>
              <w:ind w:right="113"/>
              <w:jc w:val="right"/>
              <w:rPr>
                <w:sz w:val="18"/>
                <w:lang w:val="en-GB"/>
              </w:rPr>
            </w:pPr>
          </w:p>
        </w:tc>
        <w:tc>
          <w:tcPr>
            <w:tcW w:w="1344" w:type="dxa"/>
            <w:vAlign w:val="bottom"/>
          </w:tcPr>
          <w:p w14:paraId="7CB645C1" w14:textId="77777777" w:rsidR="00673013" w:rsidRPr="00673013" w:rsidRDefault="00673013" w:rsidP="00746667">
            <w:pPr>
              <w:spacing w:before="40" w:after="40" w:line="220" w:lineRule="exact"/>
              <w:ind w:right="113"/>
              <w:jc w:val="right"/>
              <w:rPr>
                <w:sz w:val="18"/>
                <w:lang w:val="en-GB"/>
              </w:rPr>
            </w:pPr>
          </w:p>
        </w:tc>
        <w:tc>
          <w:tcPr>
            <w:tcW w:w="1344" w:type="dxa"/>
            <w:shd w:val="clear" w:color="auto" w:fill="auto"/>
            <w:vAlign w:val="bottom"/>
          </w:tcPr>
          <w:p w14:paraId="779EF033" w14:textId="77777777" w:rsidR="00673013" w:rsidRPr="00673013" w:rsidRDefault="00673013" w:rsidP="00746667">
            <w:pPr>
              <w:suppressAutoHyphens w:val="0"/>
              <w:spacing w:before="40" w:after="40" w:line="220" w:lineRule="exact"/>
              <w:ind w:right="113"/>
              <w:jc w:val="right"/>
              <w:rPr>
                <w:b/>
                <w:bCs/>
                <w:sz w:val="18"/>
                <w:lang w:val="en-GB"/>
              </w:rPr>
            </w:pPr>
            <w:r w:rsidRPr="00673013">
              <w:rPr>
                <w:b/>
                <w:bCs/>
                <w:color w:val="FF0000"/>
                <w:sz w:val="18"/>
                <w:lang w:val="en-GB"/>
              </w:rPr>
              <w:t>[0.5] [2]</w:t>
            </w:r>
          </w:p>
          <w:p w14:paraId="2771D4BB" w14:textId="77777777" w:rsidR="00673013" w:rsidRPr="00673013" w:rsidRDefault="00673013" w:rsidP="00746667">
            <w:pPr>
              <w:suppressAutoHyphens w:val="0"/>
              <w:spacing w:before="40" w:after="40" w:line="220" w:lineRule="exact"/>
              <w:ind w:right="113"/>
              <w:jc w:val="right"/>
              <w:rPr>
                <w:sz w:val="18"/>
                <w:lang w:val="en-GB"/>
              </w:rPr>
            </w:pPr>
            <w:r w:rsidRPr="00673013">
              <w:rPr>
                <w:b/>
                <w:bCs/>
                <w:color w:val="FF0000"/>
                <w:sz w:val="18"/>
                <w:lang w:val="en-GB"/>
              </w:rPr>
              <w:t xml:space="preserve">US: </w:t>
            </w:r>
            <w:r w:rsidRPr="00673013">
              <w:rPr>
                <w:b/>
                <w:bCs/>
                <w:color w:val="FF0000"/>
                <w:lang w:val="en-GB"/>
              </w:rPr>
              <w:t>US recommends 0.5% for both Classes, as there should be no effect of pitting for safety due to quality differences</w:t>
            </w:r>
            <w:r w:rsidRPr="00673013">
              <w:rPr>
                <w:color w:val="FF0000"/>
                <w:lang w:val="en-GB"/>
              </w:rPr>
              <w:t xml:space="preserve"> </w:t>
            </w:r>
            <w:r w:rsidRPr="00673013">
              <w:rPr>
                <w:b/>
                <w:bCs/>
                <w:color w:val="FF0000"/>
                <w:lang w:val="en-GB"/>
              </w:rPr>
              <w:t>between Class I and II</w:t>
            </w:r>
            <w:r w:rsidRPr="00673013">
              <w:rPr>
                <w:lang w:val="en-GB"/>
              </w:rPr>
              <w:t>.</w:t>
            </w:r>
          </w:p>
        </w:tc>
        <w:tc>
          <w:tcPr>
            <w:tcW w:w="1338" w:type="dxa"/>
            <w:shd w:val="clear" w:color="auto" w:fill="auto"/>
            <w:vAlign w:val="bottom"/>
          </w:tcPr>
          <w:p w14:paraId="54FADBAE" w14:textId="77777777" w:rsidR="00673013" w:rsidRPr="00673013" w:rsidRDefault="00673013" w:rsidP="00746667">
            <w:pPr>
              <w:suppressAutoHyphens w:val="0"/>
              <w:spacing w:before="40" w:after="40" w:line="220" w:lineRule="exact"/>
              <w:ind w:right="113"/>
              <w:jc w:val="right"/>
              <w:rPr>
                <w:b/>
                <w:bCs/>
                <w:color w:val="FF0000"/>
                <w:sz w:val="18"/>
                <w:lang w:val="en-GB"/>
              </w:rPr>
            </w:pPr>
            <w:r w:rsidRPr="00673013">
              <w:rPr>
                <w:b/>
                <w:bCs/>
                <w:color w:val="FF0000"/>
                <w:sz w:val="18"/>
                <w:lang w:val="en-GB"/>
              </w:rPr>
              <w:t>[2.0] [4]</w:t>
            </w:r>
          </w:p>
          <w:p w14:paraId="36CA8292" w14:textId="77777777" w:rsidR="00673013" w:rsidRPr="00673013" w:rsidRDefault="00673013" w:rsidP="00746667">
            <w:pPr>
              <w:suppressAutoHyphens w:val="0"/>
              <w:spacing w:before="40" w:after="40" w:line="220" w:lineRule="exact"/>
              <w:ind w:right="113"/>
              <w:jc w:val="right"/>
              <w:rPr>
                <w:b/>
                <w:bCs/>
                <w:color w:val="FF0000"/>
                <w:sz w:val="18"/>
                <w:lang w:val="en-GB"/>
              </w:rPr>
            </w:pPr>
            <w:r w:rsidRPr="00673013">
              <w:rPr>
                <w:b/>
                <w:bCs/>
                <w:color w:val="FF0000"/>
                <w:sz w:val="18"/>
                <w:lang w:val="en-GB"/>
              </w:rPr>
              <w:t>US:</w:t>
            </w:r>
            <w:r w:rsidRPr="00673013">
              <w:rPr>
                <w:b/>
                <w:bCs/>
                <w:color w:val="FF0000"/>
                <w:lang w:val="en-GB"/>
              </w:rPr>
              <w:t xml:space="preserve"> US recommends 0.5% for both</w:t>
            </w:r>
          </w:p>
        </w:tc>
      </w:tr>
      <w:tr w:rsidR="00673013" w:rsidRPr="008E178E" w14:paraId="72A821C8" w14:textId="77777777" w:rsidTr="00746667">
        <w:tc>
          <w:tcPr>
            <w:tcW w:w="3592" w:type="dxa"/>
            <w:shd w:val="clear" w:color="auto" w:fill="auto"/>
          </w:tcPr>
          <w:p w14:paraId="21068892" w14:textId="77777777" w:rsidR="00673013" w:rsidRPr="00673013" w:rsidRDefault="00673013" w:rsidP="00746667">
            <w:pPr>
              <w:spacing w:before="40" w:after="40" w:line="220" w:lineRule="exact"/>
              <w:ind w:left="397" w:right="113"/>
              <w:rPr>
                <w:sz w:val="18"/>
                <w:lang w:val="en-GB"/>
              </w:rPr>
            </w:pPr>
          </w:p>
        </w:tc>
        <w:tc>
          <w:tcPr>
            <w:tcW w:w="1096" w:type="dxa"/>
            <w:shd w:val="clear" w:color="auto" w:fill="auto"/>
            <w:vAlign w:val="bottom"/>
          </w:tcPr>
          <w:p w14:paraId="12B2117F" w14:textId="77777777" w:rsidR="00673013" w:rsidRPr="00673013" w:rsidRDefault="00673013" w:rsidP="00746667">
            <w:pPr>
              <w:suppressAutoHyphens w:val="0"/>
              <w:spacing w:before="40" w:after="40" w:line="220" w:lineRule="exact"/>
              <w:ind w:right="113"/>
              <w:jc w:val="right"/>
              <w:rPr>
                <w:sz w:val="18"/>
                <w:lang w:val="en-GB"/>
              </w:rPr>
            </w:pPr>
          </w:p>
        </w:tc>
        <w:tc>
          <w:tcPr>
            <w:tcW w:w="1344" w:type="dxa"/>
            <w:vAlign w:val="bottom"/>
          </w:tcPr>
          <w:p w14:paraId="5456016A" w14:textId="77777777" w:rsidR="00673013" w:rsidRPr="00673013" w:rsidRDefault="00673013" w:rsidP="00746667">
            <w:pPr>
              <w:spacing w:before="40" w:after="40" w:line="220" w:lineRule="exact"/>
              <w:ind w:right="113"/>
              <w:jc w:val="right"/>
              <w:rPr>
                <w:sz w:val="18"/>
                <w:lang w:val="en-GB"/>
              </w:rPr>
            </w:pPr>
          </w:p>
        </w:tc>
        <w:tc>
          <w:tcPr>
            <w:tcW w:w="1344" w:type="dxa"/>
            <w:shd w:val="clear" w:color="auto" w:fill="auto"/>
            <w:vAlign w:val="bottom"/>
          </w:tcPr>
          <w:p w14:paraId="028115E7" w14:textId="77777777" w:rsidR="00673013" w:rsidRPr="00673013" w:rsidRDefault="00673013" w:rsidP="00746667">
            <w:pPr>
              <w:suppressAutoHyphens w:val="0"/>
              <w:spacing w:before="40" w:after="40" w:line="220" w:lineRule="exact"/>
              <w:ind w:right="113"/>
              <w:jc w:val="right"/>
              <w:rPr>
                <w:sz w:val="18"/>
                <w:lang w:val="en-GB"/>
              </w:rPr>
            </w:pPr>
          </w:p>
        </w:tc>
        <w:tc>
          <w:tcPr>
            <w:tcW w:w="1338" w:type="dxa"/>
            <w:shd w:val="clear" w:color="auto" w:fill="auto"/>
            <w:vAlign w:val="bottom"/>
          </w:tcPr>
          <w:p w14:paraId="2D3202F4" w14:textId="77777777" w:rsidR="00673013" w:rsidRPr="00673013" w:rsidRDefault="00673013" w:rsidP="00746667">
            <w:pPr>
              <w:suppressAutoHyphens w:val="0"/>
              <w:spacing w:before="40" w:after="40" w:line="220" w:lineRule="exact"/>
              <w:ind w:right="113"/>
              <w:jc w:val="right"/>
              <w:rPr>
                <w:sz w:val="18"/>
                <w:lang w:val="en-GB"/>
              </w:rPr>
            </w:pPr>
          </w:p>
        </w:tc>
      </w:tr>
    </w:tbl>
    <w:p w14:paraId="3724F004" w14:textId="77777777" w:rsidR="00673013" w:rsidRPr="00673013" w:rsidRDefault="00673013" w:rsidP="00673013">
      <w:pPr>
        <w:pStyle w:val="HChG"/>
        <w:rPr>
          <w:lang w:val="en-GB"/>
        </w:rPr>
      </w:pPr>
      <w:r w:rsidRPr="00673013">
        <w:rPr>
          <w:lang w:val="en-GB"/>
        </w:rPr>
        <w:tab/>
        <w:t>V.</w:t>
      </w:r>
      <w:r w:rsidRPr="00673013">
        <w:rPr>
          <w:lang w:val="en-GB"/>
        </w:rPr>
        <w:tab/>
        <w:t>Provisions concerning presentation</w:t>
      </w:r>
    </w:p>
    <w:p w14:paraId="1F1894C2" w14:textId="77777777" w:rsidR="00673013" w:rsidRPr="00673013" w:rsidRDefault="00673013" w:rsidP="00673013">
      <w:pPr>
        <w:pStyle w:val="H1G"/>
        <w:rPr>
          <w:lang w:val="en-GB"/>
        </w:rPr>
      </w:pPr>
      <w:r w:rsidRPr="00673013">
        <w:rPr>
          <w:lang w:val="en-GB"/>
        </w:rPr>
        <w:tab/>
        <w:t>A.</w:t>
      </w:r>
      <w:r w:rsidRPr="00673013">
        <w:rPr>
          <w:lang w:val="en-GB"/>
        </w:rPr>
        <w:tab/>
        <w:t>Uniformity</w:t>
      </w:r>
    </w:p>
    <w:p w14:paraId="0D0F9F03" w14:textId="77777777" w:rsidR="00673013" w:rsidRPr="00673013" w:rsidRDefault="00673013" w:rsidP="00673013">
      <w:pPr>
        <w:pStyle w:val="SingleTxtG"/>
        <w:rPr>
          <w:lang w:val="en-GB"/>
        </w:rPr>
      </w:pPr>
      <w:r w:rsidRPr="00673013">
        <w:rPr>
          <w:lang w:val="en-GB"/>
        </w:rPr>
        <w:tab/>
        <w:t>The contents of each package</w:t>
      </w:r>
      <w:r w:rsidRPr="00F02557">
        <w:rPr>
          <w:rStyle w:val="FootnoteReference"/>
        </w:rPr>
        <w:footnoteReference w:id="8"/>
      </w:r>
      <w:r w:rsidRPr="00673013">
        <w:rPr>
          <w:lang w:val="en-GB"/>
        </w:rPr>
        <w:t xml:space="preserve"> must be uniform and contain only prunes of the same origin, quality and size (if sized), and variety or commercial type if indicated. </w:t>
      </w:r>
    </w:p>
    <w:p w14:paraId="2B53E2F9" w14:textId="77777777" w:rsidR="00673013" w:rsidRPr="00673013" w:rsidRDefault="00673013" w:rsidP="00673013">
      <w:pPr>
        <w:pStyle w:val="SingleTxtG"/>
        <w:rPr>
          <w:lang w:val="en-GB"/>
        </w:rPr>
      </w:pPr>
      <w:r w:rsidRPr="00673013">
        <w:rPr>
          <w:lang w:val="en-GB"/>
        </w:rPr>
        <w:lastRenderedPageBreak/>
        <w:tab/>
        <w:t>The visible part of the contents of the package must be representative of the entire contents.</w:t>
      </w:r>
    </w:p>
    <w:p w14:paraId="4C373CBA" w14:textId="77777777" w:rsidR="00673013" w:rsidRPr="00673013" w:rsidRDefault="00673013" w:rsidP="00673013">
      <w:pPr>
        <w:pStyle w:val="SingleTxtG"/>
        <w:rPr>
          <w:lang w:val="en-GB"/>
        </w:rPr>
      </w:pPr>
      <w:r w:rsidRPr="00673013">
        <w:rPr>
          <w:lang w:val="en-GB"/>
        </w:rPr>
        <w:tab/>
        <w:t xml:space="preserve">Prunes in Class I must be of the same variety or the same commercial type. </w:t>
      </w:r>
    </w:p>
    <w:p w14:paraId="7E219657" w14:textId="77777777" w:rsidR="00673013" w:rsidRPr="00673013" w:rsidRDefault="00673013" w:rsidP="00673013">
      <w:pPr>
        <w:pStyle w:val="H1G"/>
        <w:rPr>
          <w:lang w:val="en-GB"/>
        </w:rPr>
      </w:pPr>
      <w:r w:rsidRPr="00673013">
        <w:rPr>
          <w:lang w:val="en-GB"/>
        </w:rPr>
        <w:tab/>
        <w:t>B.</w:t>
      </w:r>
      <w:r w:rsidRPr="00673013">
        <w:rPr>
          <w:lang w:val="en-GB"/>
        </w:rPr>
        <w:tab/>
        <w:t>Packaging</w:t>
      </w:r>
    </w:p>
    <w:p w14:paraId="69918196" w14:textId="77777777" w:rsidR="00673013" w:rsidRPr="00673013" w:rsidRDefault="00673013" w:rsidP="00673013">
      <w:pPr>
        <w:pStyle w:val="SingleTxtG"/>
        <w:rPr>
          <w:lang w:val="en-GB"/>
        </w:rPr>
      </w:pPr>
      <w:r w:rsidRPr="00673013">
        <w:rPr>
          <w:lang w:val="en-GB"/>
        </w:rPr>
        <w:tab/>
        <w:t xml:space="preserve">Prunes must be packed in such a way </w:t>
      </w:r>
      <w:proofErr w:type="gramStart"/>
      <w:r w:rsidRPr="00673013">
        <w:rPr>
          <w:lang w:val="en-GB"/>
        </w:rPr>
        <w:t>so as to</w:t>
      </w:r>
      <w:proofErr w:type="gramEnd"/>
      <w:r w:rsidRPr="00673013">
        <w:rPr>
          <w:lang w:val="en-GB"/>
        </w:rPr>
        <w:t xml:space="preserve"> protect the produce properly.</w:t>
      </w:r>
    </w:p>
    <w:p w14:paraId="0E254C9C" w14:textId="77777777" w:rsidR="00673013" w:rsidRPr="00673013" w:rsidRDefault="00673013" w:rsidP="00673013">
      <w:pPr>
        <w:pStyle w:val="SingleTxtG"/>
        <w:rPr>
          <w:lang w:val="en-GB"/>
        </w:rPr>
      </w:pPr>
      <w:r w:rsidRPr="00673013">
        <w:rPr>
          <w:lang w:val="en-GB"/>
        </w:rPr>
        <w:tab/>
        <w:t xml:space="preserve">The materials used inside the package must be clean and of a quality </w:t>
      </w:r>
      <w:proofErr w:type="gramStart"/>
      <w:r w:rsidRPr="00673013">
        <w:rPr>
          <w:lang w:val="en-GB"/>
        </w:rPr>
        <w:t>so as to</w:t>
      </w:r>
      <w:proofErr w:type="gramEnd"/>
      <w:r w:rsidRPr="00673013">
        <w:rPr>
          <w:lang w:val="en-GB"/>
        </w:rPr>
        <w:t xml:space="preserve"> avoid causing any external or internal damage to the produce. The use of materials, particularly paper or stamps bearing trade specifications, is allowed provided the printing or labelling has been done with non-toxic ink or glue.</w:t>
      </w:r>
    </w:p>
    <w:p w14:paraId="47F8AC7A" w14:textId="77777777" w:rsidR="00673013" w:rsidRPr="00673013" w:rsidRDefault="00673013" w:rsidP="00673013">
      <w:pPr>
        <w:pStyle w:val="SingleTxtG"/>
        <w:rPr>
          <w:lang w:val="en-GB"/>
        </w:rPr>
      </w:pPr>
      <w:r w:rsidRPr="00673013">
        <w:rPr>
          <w:lang w:val="en-GB"/>
        </w:rPr>
        <w:tab/>
        <w:t>Packages must be free of all foreign matter in accordance with the table of tolerances in section “IV. Provisions concerning tolerances”.</w:t>
      </w:r>
    </w:p>
    <w:p w14:paraId="29FD99D1" w14:textId="77777777" w:rsidR="00673013" w:rsidRPr="00673013" w:rsidRDefault="00673013" w:rsidP="00673013">
      <w:pPr>
        <w:pStyle w:val="HChG"/>
        <w:rPr>
          <w:lang w:val="en-GB"/>
        </w:rPr>
      </w:pPr>
      <w:r w:rsidRPr="00673013">
        <w:rPr>
          <w:lang w:val="en-GB"/>
        </w:rPr>
        <w:tab/>
        <w:t>VI.</w:t>
      </w:r>
      <w:r w:rsidRPr="00673013">
        <w:rPr>
          <w:lang w:val="en-GB"/>
        </w:rPr>
        <w:tab/>
        <w:t>Provisions concerning marking</w:t>
      </w:r>
    </w:p>
    <w:p w14:paraId="0102A412" w14:textId="77777777" w:rsidR="00673013" w:rsidRPr="00673013" w:rsidRDefault="00673013" w:rsidP="00673013">
      <w:pPr>
        <w:pStyle w:val="SingleTxtG"/>
        <w:rPr>
          <w:lang w:val="en-GB"/>
        </w:rPr>
      </w:pPr>
      <w:r w:rsidRPr="00673013">
        <w:rPr>
          <w:lang w:val="en-GB"/>
        </w:rPr>
        <w:tab/>
        <w:t>Each package</w:t>
      </w:r>
      <w:r w:rsidRPr="00F02557">
        <w:rPr>
          <w:rStyle w:val="FootnoteReference"/>
        </w:rPr>
        <w:footnoteReference w:id="9"/>
      </w:r>
      <w:r w:rsidRPr="00673013">
        <w:rPr>
          <w:lang w:val="en-GB"/>
        </w:rPr>
        <w:t xml:space="preserve"> must bear the </w:t>
      </w:r>
      <w:proofErr w:type="gramStart"/>
      <w:r w:rsidRPr="00673013">
        <w:rPr>
          <w:lang w:val="en-GB"/>
        </w:rPr>
        <w:t>following particulars, in</w:t>
      </w:r>
      <w:proofErr w:type="gramEnd"/>
      <w:r w:rsidRPr="00673013">
        <w:rPr>
          <w:lang w:val="en-GB"/>
        </w:rPr>
        <w:t xml:space="preserve"> letters grouped on the same side, legibly and indelibly marked, and visible from the outside:</w:t>
      </w:r>
    </w:p>
    <w:p w14:paraId="5D5D0268" w14:textId="77777777" w:rsidR="00673013" w:rsidRPr="00673013" w:rsidRDefault="00673013" w:rsidP="00673013">
      <w:pPr>
        <w:pStyle w:val="H1G"/>
        <w:rPr>
          <w:lang w:val="en-GB"/>
        </w:rPr>
      </w:pPr>
      <w:r w:rsidRPr="00673013">
        <w:rPr>
          <w:lang w:val="en-GB"/>
        </w:rPr>
        <w:tab/>
        <w:t>A.</w:t>
      </w:r>
      <w:r w:rsidRPr="00673013">
        <w:rPr>
          <w:lang w:val="en-GB"/>
        </w:rPr>
        <w:tab/>
        <w:t>Identification</w:t>
      </w:r>
    </w:p>
    <w:p w14:paraId="54322EA4" w14:textId="77777777" w:rsidR="00673013" w:rsidRPr="00673013" w:rsidRDefault="00673013" w:rsidP="00673013">
      <w:pPr>
        <w:pStyle w:val="SingleTxtG"/>
        <w:rPr>
          <w:lang w:val="en-GB"/>
        </w:rPr>
      </w:pPr>
      <w:r w:rsidRPr="00673013">
        <w:rPr>
          <w:lang w:val="en-GB"/>
        </w:rPr>
        <w:tab/>
        <w:t xml:space="preserve">Packer and/or dispatcher/shipper: </w:t>
      </w:r>
    </w:p>
    <w:p w14:paraId="24342D3C" w14:textId="77777777" w:rsidR="00673013" w:rsidRPr="00673013" w:rsidRDefault="00673013" w:rsidP="00673013">
      <w:pPr>
        <w:pStyle w:val="SingleTxtG"/>
        <w:rPr>
          <w:lang w:val="en-GB"/>
        </w:rPr>
      </w:pPr>
      <w:r w:rsidRPr="00673013">
        <w:rPr>
          <w:lang w:val="en-GB"/>
        </w:rPr>
        <w:t>Name and physical address (e.g. street/city/region/postal code and, if different from the country of origin, the country) or a code mark officially recognized by the national authority.</w:t>
      </w:r>
      <w:r w:rsidRPr="00F02557">
        <w:rPr>
          <w:rStyle w:val="FootnoteReference"/>
        </w:rPr>
        <w:footnoteReference w:id="10"/>
      </w:r>
    </w:p>
    <w:p w14:paraId="00B8209B" w14:textId="77777777" w:rsidR="00673013" w:rsidRPr="00CE360A" w:rsidRDefault="00673013" w:rsidP="00673013">
      <w:pPr>
        <w:pStyle w:val="H1G"/>
      </w:pPr>
      <w:r w:rsidRPr="00673013">
        <w:rPr>
          <w:lang w:val="en-GB"/>
        </w:rPr>
        <w:tab/>
      </w:r>
      <w:r w:rsidRPr="00CE360A">
        <w:t>B.</w:t>
      </w:r>
      <w:r w:rsidRPr="00CE360A">
        <w:tab/>
        <w:t xml:space="preserve">Nature of </w:t>
      </w:r>
      <w:proofErr w:type="spellStart"/>
      <w:r w:rsidRPr="00CE360A">
        <w:t>produce</w:t>
      </w:r>
      <w:proofErr w:type="spellEnd"/>
    </w:p>
    <w:p w14:paraId="32C78A90" w14:textId="77777777" w:rsidR="00673013" w:rsidRPr="00673013" w:rsidRDefault="00673013" w:rsidP="00673013">
      <w:pPr>
        <w:pStyle w:val="Bullet1G"/>
        <w:numPr>
          <w:ilvl w:val="0"/>
          <w:numId w:val="11"/>
        </w:numPr>
        <w:rPr>
          <w:lang w:val="en-GB"/>
        </w:rPr>
      </w:pPr>
      <w:r w:rsidRPr="00673013">
        <w:rPr>
          <w:lang w:val="en-GB"/>
        </w:rPr>
        <w:t>Name of the produce: the words “prunes” “dried plums”, “</w:t>
      </w:r>
      <w:proofErr w:type="spellStart"/>
      <w:r w:rsidRPr="00673013">
        <w:rPr>
          <w:lang w:val="en-GB"/>
        </w:rPr>
        <w:t>unpitted</w:t>
      </w:r>
      <w:proofErr w:type="spellEnd"/>
      <w:r w:rsidRPr="00673013">
        <w:rPr>
          <w:lang w:val="en-GB"/>
        </w:rPr>
        <w:t xml:space="preserve"> prunes” “prunes with pits” “pitted prunes” or “pressure-pitted prunes”</w:t>
      </w:r>
    </w:p>
    <w:p w14:paraId="2C1B8F41" w14:textId="77777777" w:rsidR="00673013" w:rsidRPr="00673013" w:rsidRDefault="00673013" w:rsidP="00673013">
      <w:pPr>
        <w:pStyle w:val="Bullet1G"/>
        <w:numPr>
          <w:ilvl w:val="0"/>
          <w:numId w:val="11"/>
        </w:numPr>
        <w:rPr>
          <w:lang w:val="en-GB"/>
        </w:rPr>
      </w:pPr>
      <w:r w:rsidRPr="00673013">
        <w:rPr>
          <w:lang w:val="en-GB"/>
        </w:rPr>
        <w:t>Moisture content indicated by "Maximum moisture content XX per cent”</w:t>
      </w:r>
    </w:p>
    <w:p w14:paraId="385386E5" w14:textId="77777777" w:rsidR="00673013" w:rsidRPr="00CE360A" w:rsidRDefault="00673013" w:rsidP="00673013">
      <w:pPr>
        <w:pStyle w:val="H1G"/>
      </w:pPr>
      <w:r w:rsidRPr="00673013">
        <w:rPr>
          <w:lang w:val="en-GB"/>
        </w:rPr>
        <w:lastRenderedPageBreak/>
        <w:tab/>
      </w:r>
      <w:r w:rsidRPr="00CE360A">
        <w:t>C.</w:t>
      </w:r>
      <w:r w:rsidRPr="00CE360A">
        <w:tab/>
        <w:t xml:space="preserve">Origin of </w:t>
      </w:r>
      <w:proofErr w:type="spellStart"/>
      <w:r w:rsidRPr="00CE360A">
        <w:t>produce</w:t>
      </w:r>
      <w:proofErr w:type="spellEnd"/>
    </w:p>
    <w:p w14:paraId="776ACBF4" w14:textId="77777777" w:rsidR="00673013" w:rsidRPr="00673013" w:rsidRDefault="00673013" w:rsidP="00673013">
      <w:pPr>
        <w:pStyle w:val="Bullet1G"/>
        <w:numPr>
          <w:ilvl w:val="0"/>
          <w:numId w:val="11"/>
        </w:numPr>
        <w:rPr>
          <w:lang w:val="en-GB"/>
        </w:rPr>
      </w:pPr>
      <w:r w:rsidRPr="00673013">
        <w:rPr>
          <w:lang w:val="en-GB"/>
        </w:rPr>
        <w:t>Country of origin</w:t>
      </w:r>
      <w:r w:rsidRPr="00F02557">
        <w:rPr>
          <w:rStyle w:val="FootnoteReference"/>
        </w:rPr>
        <w:footnoteReference w:id="11"/>
      </w:r>
      <w:r w:rsidRPr="00673013">
        <w:rPr>
          <w:lang w:val="en-GB"/>
        </w:rPr>
        <w:t xml:space="preserve"> and, optionally, the district where grown or the national, regional or local place name</w:t>
      </w:r>
    </w:p>
    <w:p w14:paraId="571F402F" w14:textId="77777777" w:rsidR="00673013" w:rsidRPr="00CE360A" w:rsidRDefault="00673013" w:rsidP="00673013">
      <w:pPr>
        <w:pStyle w:val="H1G"/>
      </w:pPr>
      <w:r w:rsidRPr="00673013">
        <w:rPr>
          <w:lang w:val="en-GB"/>
        </w:rPr>
        <w:tab/>
      </w:r>
      <w:r w:rsidRPr="00CE360A">
        <w:t>D.</w:t>
      </w:r>
      <w:r w:rsidRPr="00CE360A">
        <w:tab/>
        <w:t xml:space="preserve">Commercial </w:t>
      </w:r>
      <w:proofErr w:type="spellStart"/>
      <w:r w:rsidRPr="00CE360A">
        <w:t>specifications</w:t>
      </w:r>
      <w:proofErr w:type="spellEnd"/>
    </w:p>
    <w:p w14:paraId="64EE1E51" w14:textId="77777777" w:rsidR="00673013" w:rsidRPr="00CE360A" w:rsidRDefault="00673013" w:rsidP="00673013">
      <w:pPr>
        <w:pStyle w:val="Bullet1G"/>
        <w:numPr>
          <w:ilvl w:val="0"/>
          <w:numId w:val="11"/>
        </w:numPr>
      </w:pPr>
      <w:proofErr w:type="gramStart"/>
      <w:r w:rsidRPr="00CE360A">
        <w:t>class</w:t>
      </w:r>
      <w:proofErr w:type="gramEnd"/>
    </w:p>
    <w:p w14:paraId="1E0E0210" w14:textId="77777777" w:rsidR="00673013" w:rsidRPr="00673013" w:rsidRDefault="00673013" w:rsidP="00673013">
      <w:pPr>
        <w:pStyle w:val="Bullet1G"/>
        <w:numPr>
          <w:ilvl w:val="0"/>
          <w:numId w:val="11"/>
        </w:numPr>
        <w:rPr>
          <w:lang w:val="en-GB"/>
        </w:rPr>
      </w:pPr>
      <w:r w:rsidRPr="00673013">
        <w:rPr>
          <w:lang w:val="en-GB"/>
        </w:rPr>
        <w:t>size expressed in accordance with the provisions of section III, either:</w:t>
      </w:r>
    </w:p>
    <w:p w14:paraId="1A71E43A" w14:textId="77777777" w:rsidR="00673013" w:rsidRPr="00673013" w:rsidRDefault="00673013" w:rsidP="00673013">
      <w:pPr>
        <w:pStyle w:val="Bullet2G"/>
        <w:numPr>
          <w:ilvl w:val="0"/>
          <w:numId w:val="12"/>
        </w:numPr>
        <w:rPr>
          <w:lang w:val="en-GB"/>
        </w:rPr>
      </w:pPr>
      <w:r w:rsidRPr="00673013">
        <w:rPr>
          <w:lang w:val="en-GB"/>
        </w:rPr>
        <w:t>as the minimum and maximum number of prunes contained in 500g or 1 lb (453 g), by “X/Y prunes per 500 g”; or</w:t>
      </w:r>
    </w:p>
    <w:p w14:paraId="1E4D3254" w14:textId="77777777" w:rsidR="00673013" w:rsidRPr="00673013" w:rsidRDefault="00673013" w:rsidP="00673013">
      <w:pPr>
        <w:pStyle w:val="Bullet2G"/>
        <w:numPr>
          <w:ilvl w:val="0"/>
          <w:numId w:val="12"/>
        </w:numPr>
        <w:rPr>
          <w:lang w:val="en-GB"/>
        </w:rPr>
      </w:pPr>
      <w:r w:rsidRPr="00673013">
        <w:rPr>
          <w:lang w:val="en-GB"/>
        </w:rPr>
        <w:t>by the corresponding designation, followed by the minimum and maximum number of prunes contained in 500 g or 1 lb (453 g)</w:t>
      </w:r>
    </w:p>
    <w:p w14:paraId="12908F45" w14:textId="77777777" w:rsidR="00673013" w:rsidRPr="00CE360A" w:rsidRDefault="00673013" w:rsidP="00673013">
      <w:pPr>
        <w:pStyle w:val="Bullet1G"/>
        <w:numPr>
          <w:ilvl w:val="0"/>
          <w:numId w:val="11"/>
        </w:numPr>
      </w:pPr>
      <w:proofErr w:type="spellStart"/>
      <w:proofErr w:type="gramStart"/>
      <w:r w:rsidRPr="00CE360A">
        <w:t>crop</w:t>
      </w:r>
      <w:proofErr w:type="spellEnd"/>
      <w:proofErr w:type="gramEnd"/>
      <w:r w:rsidRPr="00CE360A">
        <w:t xml:space="preserve"> </w:t>
      </w:r>
      <w:proofErr w:type="spellStart"/>
      <w:r w:rsidRPr="00CE360A">
        <w:t>year</w:t>
      </w:r>
      <w:proofErr w:type="spellEnd"/>
      <w:r w:rsidRPr="00CE360A">
        <w:t xml:space="preserve"> </w:t>
      </w:r>
      <w:r>
        <w:t>(</w:t>
      </w:r>
      <w:proofErr w:type="spellStart"/>
      <w:r>
        <w:t>optional</w:t>
      </w:r>
      <w:proofErr w:type="spellEnd"/>
      <w:r>
        <w:t xml:space="preserve">) </w:t>
      </w:r>
    </w:p>
    <w:p w14:paraId="4ED4F9DF" w14:textId="77777777" w:rsidR="00673013" w:rsidRPr="00673013" w:rsidRDefault="00673013" w:rsidP="00673013">
      <w:pPr>
        <w:pStyle w:val="Bullet1G"/>
        <w:numPr>
          <w:ilvl w:val="0"/>
          <w:numId w:val="11"/>
        </w:numPr>
        <w:rPr>
          <w:lang w:val="en-GB"/>
        </w:rPr>
      </w:pPr>
      <w:r w:rsidRPr="00673013">
        <w:rPr>
          <w:lang w:val="en-GB"/>
        </w:rPr>
        <w:t>“Best before” followed by the date (optional)</w:t>
      </w:r>
    </w:p>
    <w:p w14:paraId="5B82B581" w14:textId="77777777" w:rsidR="00673013" w:rsidRPr="00CE360A" w:rsidRDefault="00673013" w:rsidP="00673013">
      <w:pPr>
        <w:pStyle w:val="Bullet1G"/>
        <w:numPr>
          <w:ilvl w:val="0"/>
          <w:numId w:val="11"/>
        </w:numPr>
      </w:pPr>
      <w:proofErr w:type="gramStart"/>
      <w:r w:rsidRPr="00CE360A">
        <w:t>net</w:t>
      </w:r>
      <w:proofErr w:type="gramEnd"/>
      <w:r w:rsidRPr="00CE360A">
        <w:t xml:space="preserve"> </w:t>
      </w:r>
      <w:proofErr w:type="spellStart"/>
      <w:r w:rsidRPr="00CE360A">
        <w:t>weight</w:t>
      </w:r>
      <w:proofErr w:type="spellEnd"/>
      <w:r w:rsidRPr="00CE360A">
        <w:t>.</w:t>
      </w:r>
    </w:p>
    <w:p w14:paraId="4079F95E" w14:textId="77777777" w:rsidR="00673013" w:rsidRPr="00673013" w:rsidRDefault="00673013" w:rsidP="00673013">
      <w:pPr>
        <w:pStyle w:val="H1G"/>
        <w:rPr>
          <w:lang w:val="en-GB"/>
        </w:rPr>
      </w:pPr>
      <w:r w:rsidRPr="00673013">
        <w:rPr>
          <w:lang w:val="en-GB"/>
        </w:rPr>
        <w:tab/>
        <w:t>E.</w:t>
      </w:r>
      <w:r w:rsidRPr="00673013">
        <w:rPr>
          <w:lang w:val="en-GB"/>
        </w:rPr>
        <w:tab/>
        <w:t>Official control mark (optional)</w:t>
      </w:r>
    </w:p>
    <w:p w14:paraId="22606D62" w14:textId="77777777" w:rsidR="00673013" w:rsidRPr="00673013" w:rsidRDefault="00673013" w:rsidP="00673013">
      <w:pPr>
        <w:spacing w:before="240"/>
        <w:jc w:val="center"/>
        <w:rPr>
          <w:u w:val="single"/>
          <w:lang w:val="en-GB"/>
        </w:rPr>
      </w:pPr>
    </w:p>
    <w:p w14:paraId="68510118" w14:textId="77777777" w:rsidR="00673013" w:rsidRPr="00673013" w:rsidRDefault="00673013" w:rsidP="00673013">
      <w:pPr>
        <w:spacing w:before="240"/>
        <w:jc w:val="center"/>
        <w:rPr>
          <w:u w:val="single"/>
          <w:lang w:val="en-GB"/>
        </w:rPr>
      </w:pPr>
      <w:r w:rsidRPr="00673013">
        <w:rPr>
          <w:u w:val="single"/>
          <w:lang w:val="en-GB"/>
        </w:rPr>
        <w:tab/>
      </w:r>
      <w:r w:rsidRPr="00673013">
        <w:rPr>
          <w:u w:val="single"/>
          <w:lang w:val="en-GB"/>
        </w:rPr>
        <w:tab/>
      </w:r>
      <w:r w:rsidRPr="00673013">
        <w:rPr>
          <w:u w:val="single"/>
          <w:lang w:val="en-GB"/>
        </w:rPr>
        <w:tab/>
      </w:r>
    </w:p>
    <w:p w14:paraId="1465DCF9" w14:textId="77777777" w:rsidR="000C086D" w:rsidRPr="0092576F" w:rsidRDefault="000C086D" w:rsidP="003036DE">
      <w:pPr>
        <w:jc w:val="center"/>
        <w:rPr>
          <w:lang w:val="en-GB"/>
        </w:rPr>
      </w:pPr>
    </w:p>
    <w:sectPr w:rsidR="000C086D" w:rsidRPr="0092576F" w:rsidSect="007E7AD7">
      <w:headerReference w:type="even" r:id="rId7"/>
      <w:headerReference w:type="default" r:id="rId8"/>
      <w:headerReference w:type="first" r:id="rId9"/>
      <w:pgSz w:w="11906" w:h="16838" w:code="9"/>
      <w:pgMar w:top="1701" w:right="1558"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64DB" w14:textId="77777777" w:rsidR="00DB5639" w:rsidRDefault="00DB5639"/>
  </w:endnote>
  <w:endnote w:type="continuationSeparator" w:id="0">
    <w:p w14:paraId="49FB948C" w14:textId="77777777" w:rsidR="00DB5639" w:rsidRDefault="00DB5639"/>
  </w:endnote>
  <w:endnote w:type="continuationNotice" w:id="1">
    <w:p w14:paraId="3D443F37" w14:textId="77777777" w:rsidR="00DB5639" w:rsidRDefault="00D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F9C0" w14:textId="77777777" w:rsidR="00DB5639" w:rsidRPr="000B175B" w:rsidRDefault="00DB5639" w:rsidP="000B175B">
      <w:pPr>
        <w:tabs>
          <w:tab w:val="right" w:pos="2155"/>
        </w:tabs>
        <w:spacing w:after="80"/>
        <w:ind w:left="680"/>
        <w:rPr>
          <w:u w:val="single"/>
        </w:rPr>
      </w:pPr>
      <w:r>
        <w:rPr>
          <w:u w:val="single"/>
        </w:rPr>
        <w:tab/>
      </w:r>
    </w:p>
  </w:footnote>
  <w:footnote w:type="continuationSeparator" w:id="0">
    <w:p w14:paraId="73379233" w14:textId="77777777" w:rsidR="00DB5639" w:rsidRPr="00FC68B7" w:rsidRDefault="00DB5639" w:rsidP="00FC68B7">
      <w:pPr>
        <w:tabs>
          <w:tab w:val="left" w:pos="2155"/>
        </w:tabs>
        <w:spacing w:after="80"/>
        <w:ind w:left="680"/>
        <w:rPr>
          <w:u w:val="single"/>
        </w:rPr>
      </w:pPr>
      <w:r>
        <w:rPr>
          <w:u w:val="single"/>
        </w:rPr>
        <w:tab/>
      </w:r>
    </w:p>
  </w:footnote>
  <w:footnote w:type="continuationNotice" w:id="1">
    <w:p w14:paraId="6D498F3B" w14:textId="77777777" w:rsidR="00DB5639" w:rsidRDefault="00DB5639"/>
  </w:footnote>
  <w:footnote w:id="2">
    <w:p w14:paraId="06A3F447" w14:textId="77777777" w:rsidR="00673013" w:rsidRPr="002E657C" w:rsidRDefault="00673013" w:rsidP="00673013">
      <w:pPr>
        <w:pStyle w:val="FootnoteText"/>
        <w:rPr>
          <w:lang w:val="en-US"/>
        </w:rPr>
      </w:pPr>
      <w:r>
        <w:tab/>
      </w:r>
      <w:r>
        <w:rPr>
          <w:rStyle w:val="FootnoteReference"/>
        </w:rPr>
        <w:footnoteRef/>
      </w:r>
      <w:r w:rsidRPr="00673013">
        <w:rPr>
          <w:lang w:val="en-GB"/>
        </w:rPr>
        <w:tab/>
        <w:t xml:space="preserve"> In some countries “prunes” is used interchangeably with “dried plums”. For ease of reading, the word “prunes” is used throughout the text. Anywhere it appears in the standard, the words “dried plums” can be substituted, including in the marking provisions.</w:t>
      </w:r>
    </w:p>
  </w:footnote>
  <w:footnote w:id="3">
    <w:p w14:paraId="5ADEF340" w14:textId="77777777" w:rsidR="00673013" w:rsidRPr="00185F0E" w:rsidRDefault="00673013" w:rsidP="00673013">
      <w:pPr>
        <w:pStyle w:val="FootnoteText"/>
        <w:rPr>
          <w:lang w:val="en-CA"/>
        </w:rPr>
      </w:pPr>
      <w:r w:rsidRPr="00673013">
        <w:rPr>
          <w:lang w:val="en-GB"/>
        </w:rPr>
        <w:tab/>
      </w:r>
      <w:r w:rsidRPr="00F02557">
        <w:rPr>
          <w:rStyle w:val="FootnoteReference"/>
        </w:rPr>
        <w:footnoteRef/>
      </w:r>
      <w:r w:rsidRPr="00673013">
        <w:rPr>
          <w:lang w:val="en-GB"/>
        </w:rPr>
        <w:tab/>
        <w:t>Definitions of terms and defects are listed in Annex III of the Standard Layout — Recommended terms and definition of defects for standards of dry (Inshell Nuts and Nut Kernels) and dried produce. See http://www.unece.org/fileadmin/DAM/trade/agr/standard/dry/StandardLayout/StandardLayout</w:t>
      </w:r>
      <w:r w:rsidRPr="00673013">
        <w:rPr>
          <w:lang w:val="en-GB"/>
        </w:rPr>
        <w:br/>
        <w:t>DDP_e.pdf.</w:t>
      </w:r>
    </w:p>
  </w:footnote>
  <w:footnote w:id="4">
    <w:p w14:paraId="3626C594" w14:textId="77777777" w:rsidR="00673013" w:rsidRPr="00185F0E" w:rsidRDefault="00673013" w:rsidP="00673013">
      <w:pPr>
        <w:pStyle w:val="FootnoteText"/>
        <w:rPr>
          <w:lang w:val="en-CA"/>
        </w:rPr>
      </w:pPr>
      <w:r w:rsidRPr="00673013">
        <w:rPr>
          <w:i/>
          <w:color w:val="ED7D31" w:themeColor="accent2"/>
          <w:lang w:val="en-GB"/>
        </w:rPr>
        <w:tab/>
      </w:r>
      <w:r w:rsidRPr="00F02557">
        <w:rPr>
          <w:rStyle w:val="FootnoteReference"/>
        </w:rPr>
        <w:footnoteRef/>
      </w:r>
      <w:r w:rsidRPr="00673013">
        <w:rPr>
          <w:lang w:val="en-GB"/>
        </w:rPr>
        <w:tab/>
        <w:t>[Added ingredients are not considered as foreign material, provided they are not prohibited by the legislation of the importing country.]</w:t>
      </w:r>
    </w:p>
  </w:footnote>
  <w:footnote w:id="5">
    <w:p w14:paraId="087684C1" w14:textId="77777777" w:rsidR="00673013" w:rsidRPr="00185F0E" w:rsidRDefault="00673013" w:rsidP="00673013">
      <w:pPr>
        <w:pStyle w:val="FootnoteText"/>
        <w:rPr>
          <w:lang w:val="en-CA"/>
        </w:rPr>
      </w:pPr>
      <w:r w:rsidRPr="00673013">
        <w:rPr>
          <w:lang w:val="en-GB"/>
        </w:rPr>
        <w:tab/>
      </w:r>
      <w:r w:rsidRPr="00F02557">
        <w:rPr>
          <w:rStyle w:val="FootnoteReference"/>
        </w:rPr>
        <w:footnoteRef/>
      </w:r>
      <w:r w:rsidRPr="00673013">
        <w:rPr>
          <w:lang w:val="en-GB"/>
        </w:rPr>
        <w:tab/>
        <w:t>The moisture content is determined by one of the methods given in Annex I of the Standard Layout – Determination of the moisture content for dried produce. See http://www.unece.org/fileadmin/</w:t>
      </w:r>
      <w:r w:rsidRPr="00673013">
        <w:rPr>
          <w:lang w:val="en-GB"/>
        </w:rPr>
        <w:br/>
        <w:t xml:space="preserve">DAM/trade/agr/standard/dry/StandardLayout/StandardLayoutDDP e.pdf. The laboratory reference method shall be used in cases of dispute. </w:t>
      </w:r>
    </w:p>
  </w:footnote>
  <w:footnote w:id="6">
    <w:p w14:paraId="45CF8640" w14:textId="77777777" w:rsidR="00673013" w:rsidRPr="002165EE" w:rsidRDefault="00673013" w:rsidP="00673013">
      <w:pPr>
        <w:pStyle w:val="FootnoteText"/>
        <w:ind w:right="0" w:hanging="141"/>
        <w:rPr>
          <w:b/>
          <w:bCs/>
          <w:color w:val="FF0000"/>
          <w:lang w:val="en-US"/>
        </w:rPr>
      </w:pPr>
      <w:r>
        <w:rPr>
          <w:rStyle w:val="FootnoteReference"/>
        </w:rPr>
        <w:footnoteRef/>
      </w:r>
      <w:r w:rsidRPr="00673013">
        <w:rPr>
          <w:lang w:val="en-GB"/>
        </w:rPr>
        <w:t xml:space="preserve"> </w:t>
      </w:r>
      <w:r w:rsidRPr="00673013">
        <w:rPr>
          <w:rStyle w:val="FootnoteReference"/>
          <w:lang w:val="en-GB"/>
        </w:rPr>
        <w:t>6</w:t>
      </w:r>
      <w:r w:rsidRPr="00673013">
        <w:rPr>
          <w:lang w:val="en-GB"/>
        </w:rPr>
        <w:t xml:space="preserve"> </w:t>
      </w:r>
      <w:r w:rsidRPr="00673013">
        <w:rPr>
          <w:b/>
          <w:bCs/>
          <w:color w:val="FF0000"/>
          <w:lang w:val="en-GB"/>
        </w:rPr>
        <w:t>The national legislation of France do not permit tolerances for produce affected by mould or rot or the presence of dead or living insects.</w:t>
      </w:r>
    </w:p>
    <w:p w14:paraId="455E308C" w14:textId="77777777" w:rsidR="00673013" w:rsidRPr="00B23B13" w:rsidRDefault="00673013" w:rsidP="00673013">
      <w:pPr>
        <w:pStyle w:val="FootnoteText"/>
        <w:rPr>
          <w:lang w:val="en-US"/>
        </w:rPr>
      </w:pPr>
    </w:p>
  </w:footnote>
  <w:footnote w:id="7">
    <w:p w14:paraId="497948E5" w14:textId="77777777" w:rsidR="00673013" w:rsidRPr="002165EE" w:rsidRDefault="00673013" w:rsidP="00673013">
      <w:pPr>
        <w:pStyle w:val="FootnoteText"/>
        <w:ind w:left="0" w:firstLine="0"/>
        <w:rPr>
          <w:lang w:val="en-GB"/>
        </w:rPr>
      </w:pPr>
    </w:p>
  </w:footnote>
  <w:footnote w:id="8">
    <w:p w14:paraId="4CEE5175" w14:textId="77777777" w:rsidR="00673013" w:rsidRPr="00AD0724" w:rsidRDefault="00673013" w:rsidP="00673013">
      <w:pPr>
        <w:pStyle w:val="FootnoteText"/>
        <w:rPr>
          <w:lang w:val="en-CA"/>
        </w:rPr>
      </w:pPr>
      <w:r w:rsidRPr="00673013">
        <w:rPr>
          <w:lang w:val="en-GB"/>
        </w:rPr>
        <w:tab/>
      </w:r>
      <w:r w:rsidRPr="00F02557">
        <w:rPr>
          <w:rStyle w:val="FootnoteReference"/>
        </w:rPr>
        <w:footnoteRef/>
      </w:r>
      <w:r w:rsidRPr="00673013">
        <w:rPr>
          <w:lang w:val="en-GB"/>
        </w:rPr>
        <w:t xml:space="preserve"> </w:t>
      </w:r>
      <w:r w:rsidRPr="00673013">
        <w:rPr>
          <w:lang w:val="en-GB"/>
        </w:rPr>
        <w:tab/>
      </w:r>
      <w:r w:rsidRPr="00673013">
        <w:rPr>
          <w:lang w:val="en-GB"/>
        </w:rPr>
        <w:tab/>
        <w:t xml:space="preserve">[Proposal to include definitions in the glossary of terms: </w:t>
      </w:r>
    </w:p>
    <w:p w14:paraId="6DB7CE4B" w14:textId="77777777" w:rsidR="00673013" w:rsidRPr="00AD0724" w:rsidRDefault="00673013" w:rsidP="00673013">
      <w:pPr>
        <w:pStyle w:val="FootnoteText"/>
        <w:spacing w:before="60"/>
        <w:rPr>
          <w:lang w:val="en-CA"/>
        </w:rPr>
      </w:pPr>
      <w:r w:rsidRPr="00673013">
        <w:rPr>
          <w:lang w:val="en-GB"/>
        </w:rPr>
        <w:tab/>
      </w:r>
      <w:r w:rsidRPr="00673013">
        <w:rPr>
          <w:lang w:val="en-GB"/>
        </w:rPr>
        <w:tab/>
      </w:r>
      <w:r w:rsidRPr="00673013">
        <w:rPr>
          <w:b/>
          <w:lang w:val="en-GB"/>
        </w:rPr>
        <w:t>Package</w:t>
      </w:r>
      <w:r w:rsidRPr="00673013">
        <w:rPr>
          <w:lang w:val="en-GB"/>
        </w:rPr>
        <w:t xml:space="preserve">: Individual packages conceived to facilitate handling and transport of </w:t>
      </w:r>
      <w:proofErr w:type="gramStart"/>
      <w:r w:rsidRPr="00673013">
        <w:rPr>
          <w:lang w:val="en-GB"/>
        </w:rPr>
        <w:t>a number of</w:t>
      </w:r>
      <w:proofErr w:type="gramEnd"/>
      <w:r w:rsidRPr="00673013">
        <w:rPr>
          <w:lang w:val="en-GB"/>
        </w:rPr>
        <w:t xml:space="preserve"> sales packages or of produce loose or arranged, in order to prevent damage caused by handling, transport, or contaminants (for example cartons, plastic bags, pallet boxes, etc.). The package may constitute a sales package. Road, rail, ship and air containers are not considered as packages.</w:t>
      </w:r>
    </w:p>
    <w:p w14:paraId="3F71F674" w14:textId="77777777" w:rsidR="00673013" w:rsidRPr="00AD0724" w:rsidRDefault="00673013" w:rsidP="00673013">
      <w:pPr>
        <w:pStyle w:val="FootnoteText"/>
        <w:spacing w:before="60"/>
        <w:rPr>
          <w:lang w:val="en-CA"/>
        </w:rPr>
      </w:pPr>
      <w:r w:rsidRPr="00673013">
        <w:rPr>
          <w:lang w:val="en-GB"/>
        </w:rPr>
        <w:tab/>
      </w:r>
      <w:r w:rsidRPr="00673013">
        <w:rPr>
          <w:lang w:val="en-GB"/>
        </w:rPr>
        <w:tab/>
      </w:r>
      <w:r w:rsidRPr="00673013">
        <w:rPr>
          <w:b/>
          <w:lang w:val="en-GB"/>
        </w:rPr>
        <w:t>Sales package</w:t>
      </w:r>
      <w:r w:rsidRPr="00673013">
        <w:rPr>
          <w:lang w:val="en-GB"/>
        </w:rPr>
        <w:t>: Individual packages conceived to constitute a sales unit to the final user or consumer at the point of purchase.</w:t>
      </w:r>
    </w:p>
    <w:p w14:paraId="12088680" w14:textId="77777777" w:rsidR="00673013" w:rsidRPr="006B7758" w:rsidRDefault="00673013" w:rsidP="00673013">
      <w:pPr>
        <w:pStyle w:val="FootnoteText"/>
        <w:spacing w:before="60"/>
        <w:rPr>
          <w:lang w:val="en-CA"/>
        </w:rPr>
      </w:pPr>
      <w:r w:rsidRPr="00673013">
        <w:rPr>
          <w:lang w:val="en-GB"/>
        </w:rPr>
        <w:tab/>
      </w:r>
      <w:r w:rsidRPr="00673013">
        <w:rPr>
          <w:lang w:val="en-GB"/>
        </w:rPr>
        <w:tab/>
        <w:t>Pre-packages are sales packages such as the packaging enclosing the foodstuff completely or only partially, but in such a way that the contents cannot be altered without opening or changing the packaging. Protective films covering a single produce are not considered as pre-packages.]</w:t>
      </w:r>
    </w:p>
  </w:footnote>
  <w:footnote w:id="9">
    <w:p w14:paraId="6C1CA57A" w14:textId="77777777" w:rsidR="00673013" w:rsidRPr="00185F0E" w:rsidRDefault="00673013" w:rsidP="00673013">
      <w:pPr>
        <w:pStyle w:val="FootnoteText"/>
        <w:rPr>
          <w:lang w:val="en-CA"/>
        </w:rPr>
      </w:pPr>
      <w:r w:rsidRPr="00673013">
        <w:rPr>
          <w:rStyle w:val="FootnoteReference"/>
          <w:lang w:val="en-GB"/>
        </w:rPr>
        <w:tab/>
      </w:r>
      <w:r w:rsidRPr="00F02557">
        <w:rPr>
          <w:rStyle w:val="FootnoteReference"/>
        </w:rPr>
        <w:footnoteRef/>
      </w:r>
      <w:r w:rsidRPr="00673013">
        <w:rPr>
          <w:lang w:val="en-GB"/>
        </w:rPr>
        <w:tab/>
        <w:t>These marking provisions do not apply to sales packages presented in packages.</w:t>
      </w:r>
    </w:p>
  </w:footnote>
  <w:footnote w:id="10">
    <w:p w14:paraId="22053661" w14:textId="77777777" w:rsidR="00673013" w:rsidRPr="006B7758" w:rsidRDefault="00673013" w:rsidP="00673013">
      <w:pPr>
        <w:pStyle w:val="FootnoteText"/>
        <w:rPr>
          <w:lang w:val="en-CA"/>
        </w:rPr>
      </w:pPr>
      <w:r w:rsidRPr="00673013">
        <w:rPr>
          <w:lang w:val="en-GB"/>
        </w:rPr>
        <w:tab/>
      </w:r>
      <w:r w:rsidRPr="00F02557">
        <w:rPr>
          <w:rStyle w:val="FootnoteReference"/>
        </w:rPr>
        <w:footnoteRef/>
      </w:r>
      <w:r w:rsidRPr="00673013">
        <w:rPr>
          <w:lang w:val="en-GB"/>
        </w:rPr>
        <w:tab/>
        <w:t>The national legislation of a number of countries requires the explicit declaration of the name and address. However, in cases where a code mark is used, the reference “packer and/or dispatcher” (or equivalent abbreviations) has to be indicated in close connection with the code mark, and the code mark should be preceded with the ISO 3166 (alpha) country code of the recognizing country, if it is not the country of origin.</w:t>
      </w:r>
    </w:p>
  </w:footnote>
  <w:footnote w:id="11">
    <w:p w14:paraId="3D03E0DC" w14:textId="77777777" w:rsidR="00673013" w:rsidRPr="00185F0E" w:rsidRDefault="00673013" w:rsidP="00673013">
      <w:pPr>
        <w:pStyle w:val="FootnoteText"/>
        <w:rPr>
          <w:lang w:val="en-CA"/>
        </w:rPr>
      </w:pPr>
      <w:r w:rsidRPr="00673013">
        <w:rPr>
          <w:lang w:val="en-GB"/>
        </w:rPr>
        <w:tab/>
      </w:r>
      <w:r w:rsidRPr="00F02557">
        <w:rPr>
          <w:rStyle w:val="FootnoteReference"/>
        </w:rPr>
        <w:footnoteRef/>
      </w:r>
      <w:r w:rsidRPr="00673013">
        <w:rPr>
          <w:lang w:val="en-GB"/>
        </w:rPr>
        <w:tab/>
      </w:r>
      <w:bookmarkStart w:id="1" w:name="_Hlk522191072"/>
      <w:r w:rsidRPr="00673013">
        <w:rPr>
          <w:lang w:val="en-GB"/>
        </w:rPr>
        <w:t>The full name or commonly used name should be given.</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7D55" w14:textId="15D28BBE" w:rsidR="00035829" w:rsidRPr="001016DB" w:rsidRDefault="00871643" w:rsidP="003C05AF">
    <w:pPr>
      <w:pStyle w:val="Header"/>
      <w:pBdr>
        <w:bottom w:val="single" w:sz="4" w:space="1" w:color="auto"/>
      </w:pBdr>
      <w:rPr>
        <w:b w:val="0"/>
        <w:bCs/>
        <w:lang w:val="en-GB"/>
      </w:rPr>
    </w:pPr>
    <w:r>
      <w:rPr>
        <w:b w:val="0"/>
        <w:bCs/>
        <w:lang w:val="en-GB"/>
      </w:rPr>
      <w:t>INF1-2020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5D63" w14:textId="77777777" w:rsidR="00035829" w:rsidRPr="001016DB" w:rsidRDefault="00035829"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7EE7" w14:textId="77777777" w:rsidR="00035829" w:rsidRDefault="00035829"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1"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6"/>
  </w:num>
  <w:num w:numId="15">
    <w:abstractNumId w:val="23"/>
  </w:num>
  <w:num w:numId="16">
    <w:abstractNumId w:val="17"/>
  </w:num>
  <w:num w:numId="17">
    <w:abstractNumId w:val="26"/>
  </w:num>
  <w:num w:numId="18">
    <w:abstractNumId w:val="28"/>
  </w:num>
  <w:num w:numId="19">
    <w:abstractNumId w:val="20"/>
  </w:num>
  <w:num w:numId="20">
    <w:abstractNumId w:val="13"/>
  </w:num>
  <w:num w:numId="21">
    <w:abstractNumId w:val="11"/>
  </w:num>
  <w:num w:numId="22">
    <w:abstractNumId w:val="15"/>
  </w:num>
  <w:num w:numId="23">
    <w:abstractNumId w:val="27"/>
  </w:num>
  <w:num w:numId="24">
    <w:abstractNumId w:val="29"/>
  </w:num>
  <w:num w:numId="25">
    <w:abstractNumId w:val="12"/>
  </w:num>
  <w:num w:numId="26">
    <w:abstractNumId w:val="21"/>
  </w:num>
  <w:num w:numId="27">
    <w:abstractNumId w:val="19"/>
  </w:num>
  <w:num w:numId="28">
    <w:abstractNumId w:val="14"/>
  </w:num>
  <w:num w:numId="29">
    <w:abstractNumId w:val="24"/>
  </w:num>
  <w:num w:numId="3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D"/>
    <w:rsid w:val="00002A7D"/>
    <w:rsid w:val="000038A8"/>
    <w:rsid w:val="00004CB4"/>
    <w:rsid w:val="000060C0"/>
    <w:rsid w:val="00006790"/>
    <w:rsid w:val="00011229"/>
    <w:rsid w:val="00015D99"/>
    <w:rsid w:val="00023DAD"/>
    <w:rsid w:val="00027624"/>
    <w:rsid w:val="00035829"/>
    <w:rsid w:val="00050F6B"/>
    <w:rsid w:val="00060675"/>
    <w:rsid w:val="000630E9"/>
    <w:rsid w:val="000678CD"/>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07EC"/>
    <w:rsid w:val="002043F0"/>
    <w:rsid w:val="002060B9"/>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4A8"/>
    <w:rsid w:val="00370928"/>
    <w:rsid w:val="00375AE8"/>
    <w:rsid w:val="003A46BB"/>
    <w:rsid w:val="003A4EC7"/>
    <w:rsid w:val="003A7295"/>
    <w:rsid w:val="003B1F60"/>
    <w:rsid w:val="003B47EB"/>
    <w:rsid w:val="003C05AF"/>
    <w:rsid w:val="003C2CC4"/>
    <w:rsid w:val="003C7026"/>
    <w:rsid w:val="003D3E1A"/>
    <w:rsid w:val="003D4B23"/>
    <w:rsid w:val="003D58A1"/>
    <w:rsid w:val="003D7ED1"/>
    <w:rsid w:val="003E278A"/>
    <w:rsid w:val="004032CF"/>
    <w:rsid w:val="00404038"/>
    <w:rsid w:val="00413520"/>
    <w:rsid w:val="00414F7A"/>
    <w:rsid w:val="00420745"/>
    <w:rsid w:val="00426FB1"/>
    <w:rsid w:val="00427462"/>
    <w:rsid w:val="00431D4D"/>
    <w:rsid w:val="004325CB"/>
    <w:rsid w:val="00440A07"/>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20F2"/>
    <w:rsid w:val="0054285C"/>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672F1"/>
    <w:rsid w:val="00667D6B"/>
    <w:rsid w:val="00673013"/>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E75F4"/>
    <w:rsid w:val="006F28C3"/>
    <w:rsid w:val="006F5E7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E4914"/>
    <w:rsid w:val="007E7AD7"/>
    <w:rsid w:val="007F5CE2"/>
    <w:rsid w:val="007F6611"/>
    <w:rsid w:val="00810BAC"/>
    <w:rsid w:val="008175E9"/>
    <w:rsid w:val="008242D7"/>
    <w:rsid w:val="00825578"/>
    <w:rsid w:val="0082577B"/>
    <w:rsid w:val="0083536B"/>
    <w:rsid w:val="0084539F"/>
    <w:rsid w:val="008558E7"/>
    <w:rsid w:val="00866893"/>
    <w:rsid w:val="00866F02"/>
    <w:rsid w:val="00867D18"/>
    <w:rsid w:val="00871643"/>
    <w:rsid w:val="00871F9A"/>
    <w:rsid w:val="00871FD5"/>
    <w:rsid w:val="00876B8E"/>
    <w:rsid w:val="00880785"/>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178E"/>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E3EAA"/>
    <w:rsid w:val="00AF3A98"/>
    <w:rsid w:val="00AF58C1"/>
    <w:rsid w:val="00B03E68"/>
    <w:rsid w:val="00B06643"/>
    <w:rsid w:val="00B15055"/>
    <w:rsid w:val="00B17FC5"/>
    <w:rsid w:val="00B30179"/>
    <w:rsid w:val="00B3025B"/>
    <w:rsid w:val="00B32543"/>
    <w:rsid w:val="00B37B15"/>
    <w:rsid w:val="00B4232F"/>
    <w:rsid w:val="00B4482F"/>
    <w:rsid w:val="00B45C02"/>
    <w:rsid w:val="00B63968"/>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2F1D"/>
    <w:rsid w:val="00C44BB0"/>
    <w:rsid w:val="00C45BBB"/>
    <w:rsid w:val="00C463DD"/>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B98"/>
    <w:rsid w:val="00DE0CB9"/>
    <w:rsid w:val="00DE5105"/>
    <w:rsid w:val="00DF1A1E"/>
    <w:rsid w:val="00DF6A82"/>
    <w:rsid w:val="00DF749C"/>
    <w:rsid w:val="00DF7CAE"/>
    <w:rsid w:val="00E02011"/>
    <w:rsid w:val="00E06B1C"/>
    <w:rsid w:val="00E1773B"/>
    <w:rsid w:val="00E308CB"/>
    <w:rsid w:val="00E423C0"/>
    <w:rsid w:val="00E6414C"/>
    <w:rsid w:val="00E7260F"/>
    <w:rsid w:val="00E82C50"/>
    <w:rsid w:val="00E83C1A"/>
    <w:rsid w:val="00E86772"/>
    <w:rsid w:val="00E8702D"/>
    <w:rsid w:val="00E916A9"/>
    <w:rsid w:val="00E916DE"/>
    <w:rsid w:val="00E96630"/>
    <w:rsid w:val="00EC13C1"/>
    <w:rsid w:val="00EC1492"/>
    <w:rsid w:val="00ED18DC"/>
    <w:rsid w:val="00ED6201"/>
    <w:rsid w:val="00ED7A2A"/>
    <w:rsid w:val="00EE4832"/>
    <w:rsid w:val="00EF1D7F"/>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73AD42"/>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qFormat/>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locked/>
    <w:rsid w:val="00D96A03"/>
    <w:rPr>
      <w:sz w:val="18"/>
      <w:lang w:val="fr-FR"/>
    </w:rPr>
  </w:style>
  <w:style w:type="character" w:customStyle="1" w:styleId="HChGChar">
    <w:name w:val="_ H _Ch_G Char"/>
    <w:link w:val="HChG"/>
    <w:locked/>
    <w:rsid w:val="00673013"/>
    <w:rPr>
      <w:b/>
      <w:sz w:val="28"/>
      <w:lang w:val="fr-FR" w:eastAsia="en-US"/>
    </w:rPr>
  </w:style>
  <w:style w:type="character" w:customStyle="1" w:styleId="H1GChar">
    <w:name w:val="_ H_1_G Char"/>
    <w:link w:val="H1G"/>
    <w:locked/>
    <w:rsid w:val="00673013"/>
    <w:rPr>
      <w:b/>
      <w:sz w:val="24"/>
      <w:lang w:val="fr-FR" w:eastAsia="en-US"/>
    </w:rPr>
  </w:style>
  <w:style w:type="character" w:customStyle="1" w:styleId="Bullet1GChar">
    <w:name w:val="_Bullet 1_G Char"/>
    <w:link w:val="Bullet1G"/>
    <w:locked/>
    <w:rsid w:val="00673013"/>
    <w:rPr>
      <w:lang w:val="fr-FR" w:eastAsia="en-US"/>
    </w:rPr>
  </w:style>
  <w:style w:type="table" w:customStyle="1" w:styleId="TableGrid1">
    <w:name w:val="Table Grid1"/>
    <w:basedOn w:val="TableNormal"/>
    <w:next w:val="TableGrid"/>
    <w:uiPriority w:val="39"/>
    <w:rsid w:val="00673013"/>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730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9770</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Liliana Annovazzi-Jakab</cp:lastModifiedBy>
  <cp:revision>2</cp:revision>
  <cp:lastPrinted>2020-04-20T10:29:00Z</cp:lastPrinted>
  <dcterms:created xsi:type="dcterms:W3CDTF">2020-05-27T09:44:00Z</dcterms:created>
  <dcterms:modified xsi:type="dcterms:W3CDTF">2020-05-27T09:44:00Z</dcterms:modified>
</cp:coreProperties>
</file>