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DB" w:rsidRDefault="004446DB" w:rsidP="0055041C">
      <w:pPr>
        <w:jc w:val="center"/>
      </w:pPr>
      <w:bookmarkStart w:id="0" w:name="OLE_LINK1"/>
      <w:bookmarkStart w:id="1" w:name="OLE_LINK2"/>
    </w:p>
    <w:p w:rsidR="004446DB" w:rsidRDefault="004446DB" w:rsidP="0055041C">
      <w:pPr>
        <w:jc w:val="center"/>
        <w:rPr>
          <w:rFonts w:ascii="Century Gothic" w:hAnsi="Century Gothic"/>
          <w:b/>
          <w:sz w:val="28"/>
          <w:szCs w:val="28"/>
          <w:lang w:val="en-US"/>
        </w:rPr>
      </w:pPr>
      <w:r w:rsidRPr="003043CF">
        <w:rPr>
          <w:noProof/>
          <w:lang w:val="en-US" w:eastAsia="en-US"/>
        </w:rPr>
        <w:pict>
          <v:shape id="Picture 1" o:spid="_x0000_i1035" type="#_x0000_t75" alt="AfT SPECA UN black" style="width:117pt;height:88.5pt;visibility:visible">
            <v:imagedata r:id="rId7" o:title=""/>
          </v:shape>
        </w:pict>
      </w:r>
    </w:p>
    <w:p w:rsidR="004446DB" w:rsidRDefault="004446DB" w:rsidP="0055041C">
      <w:pPr>
        <w:jc w:val="center"/>
        <w:rPr>
          <w:rFonts w:ascii="Century Gothic" w:hAnsi="Century Gothic"/>
          <w:b/>
          <w:sz w:val="28"/>
          <w:szCs w:val="28"/>
          <w:lang w:val="en-US"/>
        </w:rPr>
      </w:pPr>
    </w:p>
    <w:p w:rsidR="004446DB" w:rsidRPr="003F3673" w:rsidRDefault="004446DB" w:rsidP="00627EF2">
      <w:pPr>
        <w:jc w:val="center"/>
        <w:rPr>
          <w:rFonts w:ascii="Century Gothic" w:hAnsi="Century Gothic"/>
          <w:sz w:val="28"/>
          <w:szCs w:val="28"/>
          <w:lang w:val="en-US"/>
        </w:rPr>
      </w:pPr>
    </w:p>
    <w:tbl>
      <w:tblPr>
        <w:tblW w:w="9281" w:type="dxa"/>
        <w:jc w:val="center"/>
        <w:tblBorders>
          <w:top w:val="single" w:sz="6" w:space="0" w:color="auto"/>
          <w:left w:val="single" w:sz="6" w:space="0" w:color="auto"/>
          <w:bottom w:val="single" w:sz="6" w:space="0" w:color="auto"/>
          <w:right w:val="single" w:sz="6" w:space="0" w:color="auto"/>
        </w:tblBorders>
        <w:tblLook w:val="0000"/>
      </w:tblPr>
      <w:tblGrid>
        <w:gridCol w:w="2341"/>
        <w:gridCol w:w="2466"/>
        <w:gridCol w:w="4474"/>
      </w:tblGrid>
      <w:tr w:rsidR="004446DB"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4446DB" w:rsidRPr="00FE0525" w:rsidRDefault="004446DB" w:rsidP="00FE0525">
            <w:pPr>
              <w:rPr>
                <w:b/>
                <w:szCs w:val="20"/>
                <w:lang w:val="en-US"/>
              </w:rPr>
            </w:pPr>
            <w:r w:rsidRPr="00FE0525">
              <w:rPr>
                <w:b/>
                <w:szCs w:val="20"/>
                <w:lang w:val="en-US"/>
              </w:rPr>
              <w:t>Project Title</w:t>
            </w:r>
          </w:p>
        </w:tc>
        <w:tc>
          <w:tcPr>
            <w:tcW w:w="6940" w:type="dxa"/>
            <w:gridSpan w:val="2"/>
            <w:tcBorders>
              <w:top w:val="single" w:sz="6" w:space="0" w:color="auto"/>
              <w:left w:val="single" w:sz="6" w:space="0" w:color="auto"/>
              <w:bottom w:val="single" w:sz="6" w:space="0" w:color="auto"/>
            </w:tcBorders>
            <w:vAlign w:val="center"/>
          </w:tcPr>
          <w:p w:rsidR="004446DB" w:rsidRPr="006C4064" w:rsidRDefault="004446DB" w:rsidP="00B903D3">
            <w:pPr>
              <w:rPr>
                <w:rFonts w:ascii="Calibri" w:hAnsi="Calibri" w:cs="Calibri"/>
                <w:b/>
                <w:sz w:val="22"/>
                <w:lang w:val="en-US"/>
              </w:rPr>
            </w:pPr>
            <w:r>
              <w:rPr>
                <w:rFonts w:ascii="Calibri" w:eastAsia="MyriadPro-Regular" w:hAnsi="Calibri" w:cs="Calibri"/>
                <w:b/>
                <w:sz w:val="22"/>
                <w:szCs w:val="22"/>
                <w:lang w:val="en-US" w:eastAsia="ru-RU"/>
              </w:rPr>
              <w:t xml:space="preserve">Developing  the  strategy  for facilitation of </w:t>
            </w:r>
            <w:r w:rsidRPr="006C4064">
              <w:rPr>
                <w:rFonts w:ascii="Calibri" w:eastAsia="MyriadPro-Regular" w:hAnsi="Calibri" w:cs="Calibri"/>
                <w:b/>
                <w:sz w:val="22"/>
                <w:szCs w:val="22"/>
                <w:lang w:val="en-US" w:eastAsia="ru-RU"/>
              </w:rPr>
              <w:t xml:space="preserve"> foreign trade procedures and improving the system of customs regulation</w:t>
            </w:r>
          </w:p>
        </w:tc>
      </w:tr>
      <w:tr w:rsidR="004446DB" w:rsidRPr="00810FFB" w:rsidTr="009F4AD1">
        <w:trPr>
          <w:trHeight w:val="728"/>
          <w:jc w:val="center"/>
        </w:trPr>
        <w:tc>
          <w:tcPr>
            <w:tcW w:w="2341" w:type="dxa"/>
            <w:tcBorders>
              <w:top w:val="single" w:sz="6" w:space="0" w:color="auto"/>
              <w:bottom w:val="single" w:sz="4" w:space="0" w:color="auto"/>
              <w:right w:val="single" w:sz="6" w:space="0" w:color="auto"/>
            </w:tcBorders>
            <w:shd w:val="clear" w:color="auto" w:fill="FFCC00"/>
            <w:vAlign w:val="center"/>
          </w:tcPr>
          <w:p w:rsidR="004446DB" w:rsidRPr="00FE0525" w:rsidRDefault="004446DB" w:rsidP="00FE0525">
            <w:pPr>
              <w:rPr>
                <w:b/>
                <w:szCs w:val="20"/>
                <w:lang w:val="en-US"/>
              </w:rPr>
            </w:pPr>
            <w:r w:rsidRPr="00FE0525">
              <w:rPr>
                <w:b/>
                <w:szCs w:val="20"/>
                <w:lang w:val="en-US"/>
              </w:rPr>
              <w:t>Outcome</w:t>
            </w:r>
          </w:p>
        </w:tc>
        <w:tc>
          <w:tcPr>
            <w:tcW w:w="6940" w:type="dxa"/>
            <w:gridSpan w:val="2"/>
            <w:tcBorders>
              <w:top w:val="single" w:sz="6" w:space="0" w:color="auto"/>
              <w:left w:val="single" w:sz="6" w:space="0" w:color="auto"/>
              <w:bottom w:val="single" w:sz="4" w:space="0" w:color="auto"/>
            </w:tcBorders>
            <w:vAlign w:val="center"/>
          </w:tcPr>
          <w:p w:rsidR="004446DB" w:rsidRPr="00FE0525" w:rsidRDefault="004446DB" w:rsidP="00FE0525">
            <w:pPr>
              <w:rPr>
                <w:szCs w:val="20"/>
                <w:lang w:val="en-US"/>
              </w:rPr>
            </w:pPr>
            <w:r>
              <w:rPr>
                <w:szCs w:val="20"/>
                <w:lang w:val="en-US"/>
              </w:rPr>
              <w:t>Effective system of customs regulation and foreign trade procedures</w:t>
            </w:r>
          </w:p>
        </w:tc>
      </w:tr>
      <w:tr w:rsidR="004446DB" w:rsidRPr="00810FFB" w:rsidTr="009F4AD1">
        <w:trPr>
          <w:trHeight w:val="267"/>
          <w:jc w:val="center"/>
        </w:trPr>
        <w:tc>
          <w:tcPr>
            <w:tcW w:w="2341" w:type="dxa"/>
            <w:tcBorders>
              <w:top w:val="single" w:sz="4" w:space="0" w:color="auto"/>
              <w:left w:val="single" w:sz="4" w:space="0" w:color="auto"/>
              <w:bottom w:val="single" w:sz="4" w:space="0" w:color="auto"/>
              <w:right w:val="single" w:sz="4" w:space="0" w:color="auto"/>
            </w:tcBorders>
            <w:shd w:val="clear" w:color="auto" w:fill="FFCC00"/>
            <w:vAlign w:val="center"/>
          </w:tcPr>
          <w:p w:rsidR="004446DB" w:rsidRPr="00FE0525" w:rsidRDefault="004446DB" w:rsidP="00FE0525">
            <w:pPr>
              <w:rPr>
                <w:b/>
                <w:szCs w:val="20"/>
                <w:lang w:val="en-US"/>
              </w:rPr>
            </w:pPr>
            <w:r>
              <w:rPr>
                <w:b/>
                <w:szCs w:val="20"/>
                <w:lang w:val="en-US"/>
              </w:rPr>
              <w:t>Indicative Funding Requirements</w:t>
            </w:r>
          </w:p>
        </w:tc>
        <w:tc>
          <w:tcPr>
            <w:tcW w:w="2466" w:type="dxa"/>
            <w:tcBorders>
              <w:top w:val="single" w:sz="4" w:space="0" w:color="auto"/>
              <w:left w:val="single" w:sz="4" w:space="0" w:color="auto"/>
              <w:bottom w:val="single" w:sz="4" w:space="0" w:color="auto"/>
              <w:right w:val="single" w:sz="4" w:space="0" w:color="auto"/>
            </w:tcBorders>
            <w:vAlign w:val="center"/>
          </w:tcPr>
          <w:p w:rsidR="004446DB" w:rsidRPr="00FE0525" w:rsidRDefault="004446DB" w:rsidP="00FE0525">
            <w:pPr>
              <w:rPr>
                <w:szCs w:val="20"/>
                <w:lang w:val="en-US"/>
              </w:rPr>
            </w:pPr>
            <w:r w:rsidRPr="00FE0525">
              <w:rPr>
                <w:szCs w:val="20"/>
                <w:lang w:val="en-US"/>
              </w:rPr>
              <w:t>Total</w:t>
            </w:r>
            <w:r>
              <w:rPr>
                <w:szCs w:val="20"/>
                <w:lang w:val="en-US"/>
              </w:rPr>
              <w:t xml:space="preserve"> estimated budget:</w:t>
            </w:r>
            <w:r w:rsidRPr="00FE0525">
              <w:rPr>
                <w:szCs w:val="20"/>
                <w:lang w:val="en-US"/>
              </w:rPr>
              <w:t xml:space="preserve"> </w:t>
            </w:r>
            <w:r>
              <w:rPr>
                <w:szCs w:val="20"/>
                <w:lang w:val="en-US"/>
              </w:rPr>
              <w:t xml:space="preserve"> </w:t>
            </w:r>
          </w:p>
        </w:tc>
        <w:tc>
          <w:tcPr>
            <w:tcW w:w="4474" w:type="dxa"/>
            <w:tcBorders>
              <w:top w:val="single" w:sz="4" w:space="0" w:color="auto"/>
              <w:left w:val="single" w:sz="4" w:space="0" w:color="auto"/>
              <w:bottom w:val="single" w:sz="4" w:space="0" w:color="auto"/>
              <w:right w:val="single" w:sz="4" w:space="0" w:color="auto"/>
            </w:tcBorders>
            <w:vAlign w:val="center"/>
          </w:tcPr>
          <w:p w:rsidR="004446DB" w:rsidRPr="00FE0525" w:rsidRDefault="004446DB" w:rsidP="00AC3F0D">
            <w:pPr>
              <w:rPr>
                <w:szCs w:val="20"/>
                <w:lang w:val="en-US"/>
              </w:rPr>
            </w:pPr>
            <w:r w:rsidRPr="00FE0525">
              <w:rPr>
                <w:szCs w:val="20"/>
                <w:lang w:val="en-US"/>
              </w:rPr>
              <w:t xml:space="preserve">$  </w:t>
            </w:r>
            <w:r>
              <w:rPr>
                <w:szCs w:val="20"/>
                <w:lang w:val="en-US"/>
              </w:rPr>
              <w:t>99 000</w:t>
            </w:r>
            <w:r w:rsidRPr="00FE0525">
              <w:rPr>
                <w:szCs w:val="20"/>
                <w:lang w:val="en-US"/>
              </w:rPr>
              <w:t xml:space="preserve">                </w:t>
            </w:r>
          </w:p>
        </w:tc>
      </w:tr>
      <w:tr w:rsidR="004446DB" w:rsidRPr="00810FFB" w:rsidTr="009F4AD1">
        <w:trPr>
          <w:trHeight w:val="1229"/>
          <w:jc w:val="center"/>
        </w:trPr>
        <w:tc>
          <w:tcPr>
            <w:tcW w:w="2341" w:type="dxa"/>
            <w:tcBorders>
              <w:top w:val="single" w:sz="4" w:space="0" w:color="auto"/>
              <w:left w:val="single" w:sz="4" w:space="0" w:color="auto"/>
              <w:bottom w:val="single" w:sz="4" w:space="0" w:color="auto"/>
              <w:right w:val="single" w:sz="4" w:space="0" w:color="auto"/>
            </w:tcBorders>
            <w:shd w:val="clear" w:color="auto" w:fill="FFCC00"/>
            <w:vAlign w:val="center"/>
          </w:tcPr>
          <w:p w:rsidR="004446DB" w:rsidRPr="00FE0525" w:rsidRDefault="004446DB" w:rsidP="000B6356">
            <w:pPr>
              <w:rPr>
                <w:b/>
                <w:szCs w:val="20"/>
                <w:lang w:val="en-US"/>
              </w:rPr>
            </w:pPr>
            <w:r>
              <w:rPr>
                <w:b/>
                <w:szCs w:val="20"/>
                <w:lang w:val="en-US"/>
              </w:rPr>
              <w:t xml:space="preserve">Potential </w:t>
            </w:r>
            <w:r w:rsidRPr="00FE0525">
              <w:rPr>
                <w:b/>
                <w:szCs w:val="20"/>
                <w:lang w:val="en-US"/>
              </w:rPr>
              <w:t>Sources of Funding</w:t>
            </w:r>
          </w:p>
        </w:tc>
        <w:tc>
          <w:tcPr>
            <w:tcW w:w="2466" w:type="dxa"/>
            <w:tcBorders>
              <w:top w:val="single" w:sz="4" w:space="0" w:color="auto"/>
              <w:left w:val="single" w:sz="4" w:space="0" w:color="auto"/>
              <w:bottom w:val="single" w:sz="4" w:space="0" w:color="auto"/>
              <w:right w:val="single" w:sz="4" w:space="0" w:color="auto"/>
            </w:tcBorders>
            <w:vAlign w:val="center"/>
          </w:tcPr>
          <w:p w:rsidR="004446DB" w:rsidRDefault="004446DB" w:rsidP="00FE0525">
            <w:pPr>
              <w:rPr>
                <w:szCs w:val="20"/>
                <w:lang w:val="en-US"/>
              </w:rPr>
            </w:pPr>
            <w:r w:rsidRPr="00FE0525">
              <w:rPr>
                <w:szCs w:val="20"/>
                <w:lang w:val="en-US"/>
              </w:rPr>
              <w:t>[Donor</w:t>
            </w:r>
            <w:r>
              <w:rPr>
                <w:szCs w:val="20"/>
                <w:lang w:val="en-US"/>
              </w:rPr>
              <w:t>(s)</w:t>
            </w:r>
            <w:r w:rsidRPr="00FE0525">
              <w:rPr>
                <w:szCs w:val="20"/>
                <w:lang w:val="en-US"/>
              </w:rPr>
              <w:t xml:space="preserve">]: </w:t>
            </w:r>
            <w:r>
              <w:rPr>
                <w:szCs w:val="20"/>
                <w:lang w:val="en-US"/>
              </w:rPr>
              <w:t xml:space="preserve">  </w:t>
            </w:r>
          </w:p>
          <w:p w:rsidR="004446DB" w:rsidRDefault="004446DB" w:rsidP="00FE0525">
            <w:pPr>
              <w:rPr>
                <w:szCs w:val="20"/>
                <w:lang w:val="en-US"/>
              </w:rPr>
            </w:pPr>
            <w:r>
              <w:rPr>
                <w:szCs w:val="20"/>
                <w:lang w:val="en-US"/>
              </w:rPr>
              <w:t xml:space="preserve">[Development Bank(s)]:    </w:t>
            </w:r>
          </w:p>
          <w:p w:rsidR="004446DB" w:rsidRPr="00FE0525" w:rsidRDefault="004446DB" w:rsidP="00FE0525">
            <w:pPr>
              <w:rPr>
                <w:szCs w:val="20"/>
                <w:lang w:val="en-US"/>
              </w:rPr>
            </w:pPr>
            <w:r w:rsidRPr="00FE0525">
              <w:rPr>
                <w:szCs w:val="20"/>
                <w:lang w:val="en-US"/>
              </w:rPr>
              <w:t>Other Resources:</w:t>
            </w:r>
          </w:p>
        </w:tc>
        <w:tc>
          <w:tcPr>
            <w:tcW w:w="4474" w:type="dxa"/>
            <w:tcBorders>
              <w:top w:val="single" w:sz="4" w:space="0" w:color="auto"/>
              <w:left w:val="single" w:sz="4" w:space="0" w:color="auto"/>
              <w:bottom w:val="single" w:sz="4" w:space="0" w:color="auto"/>
              <w:right w:val="single" w:sz="4" w:space="0" w:color="auto"/>
            </w:tcBorders>
            <w:vAlign w:val="center"/>
          </w:tcPr>
          <w:p w:rsidR="004446DB" w:rsidRDefault="004446DB" w:rsidP="00FE0525">
            <w:pPr>
              <w:rPr>
                <w:szCs w:val="20"/>
                <w:lang w:val="en-US"/>
              </w:rPr>
            </w:pPr>
            <w:r>
              <w:rPr>
                <w:szCs w:val="20"/>
                <w:lang w:val="en-US"/>
              </w:rPr>
              <w:t>NA</w:t>
            </w:r>
          </w:p>
          <w:p w:rsidR="004446DB" w:rsidRPr="00FE0525" w:rsidRDefault="004446DB" w:rsidP="00FE0525">
            <w:pPr>
              <w:rPr>
                <w:szCs w:val="20"/>
                <w:lang w:val="en-US"/>
              </w:rPr>
            </w:pPr>
            <w:r>
              <w:rPr>
                <w:szCs w:val="20"/>
                <w:lang w:val="en-US"/>
              </w:rPr>
              <w:t>NA</w:t>
            </w:r>
          </w:p>
        </w:tc>
      </w:tr>
      <w:tr w:rsidR="004446DB" w:rsidRPr="00810FFB" w:rsidTr="009F4AD1">
        <w:trPr>
          <w:trHeight w:val="267"/>
          <w:jc w:val="center"/>
        </w:trPr>
        <w:tc>
          <w:tcPr>
            <w:tcW w:w="2341" w:type="dxa"/>
            <w:tcBorders>
              <w:top w:val="single" w:sz="4" w:space="0" w:color="auto"/>
              <w:bottom w:val="single" w:sz="6" w:space="0" w:color="auto"/>
              <w:right w:val="single" w:sz="6" w:space="0" w:color="auto"/>
            </w:tcBorders>
            <w:shd w:val="clear" w:color="auto" w:fill="FFCC00"/>
            <w:vAlign w:val="center"/>
          </w:tcPr>
          <w:p w:rsidR="004446DB" w:rsidRPr="00FE0525" w:rsidRDefault="004446DB" w:rsidP="00FE0525">
            <w:pPr>
              <w:rPr>
                <w:b/>
                <w:szCs w:val="20"/>
                <w:lang w:val="en-US"/>
              </w:rPr>
            </w:pPr>
            <w:r w:rsidRPr="00FE0525">
              <w:rPr>
                <w:b/>
                <w:szCs w:val="20"/>
                <w:lang w:val="en-US"/>
              </w:rPr>
              <w:t>Expected start date</w:t>
            </w:r>
          </w:p>
        </w:tc>
        <w:tc>
          <w:tcPr>
            <w:tcW w:w="6940" w:type="dxa"/>
            <w:gridSpan w:val="2"/>
            <w:tcBorders>
              <w:top w:val="single" w:sz="4" w:space="0" w:color="auto"/>
              <w:left w:val="single" w:sz="6" w:space="0" w:color="auto"/>
              <w:bottom w:val="single" w:sz="6" w:space="0" w:color="auto"/>
            </w:tcBorders>
            <w:vAlign w:val="center"/>
          </w:tcPr>
          <w:p w:rsidR="004446DB" w:rsidRPr="00FE0525" w:rsidRDefault="004446DB" w:rsidP="00FE0525">
            <w:pPr>
              <w:rPr>
                <w:szCs w:val="20"/>
                <w:lang w:val="en-US"/>
              </w:rPr>
            </w:pPr>
            <w:r>
              <w:rPr>
                <w:szCs w:val="20"/>
                <w:lang w:val="en-US"/>
              </w:rPr>
              <w:t>June 2011</w:t>
            </w:r>
          </w:p>
        </w:tc>
      </w:tr>
      <w:tr w:rsidR="004446DB"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4446DB" w:rsidRPr="00FE0525" w:rsidRDefault="004446DB" w:rsidP="00FE0525">
            <w:pPr>
              <w:rPr>
                <w:b/>
                <w:szCs w:val="20"/>
                <w:lang w:val="en-US"/>
              </w:rPr>
            </w:pPr>
            <w:r w:rsidRPr="00FE0525">
              <w:rPr>
                <w:b/>
                <w:szCs w:val="20"/>
                <w:lang w:val="en-US"/>
              </w:rPr>
              <w:t>Expected Duration</w:t>
            </w:r>
          </w:p>
        </w:tc>
        <w:tc>
          <w:tcPr>
            <w:tcW w:w="6940" w:type="dxa"/>
            <w:gridSpan w:val="2"/>
            <w:tcBorders>
              <w:top w:val="single" w:sz="6" w:space="0" w:color="auto"/>
              <w:left w:val="single" w:sz="6" w:space="0" w:color="auto"/>
              <w:bottom w:val="single" w:sz="6" w:space="0" w:color="auto"/>
            </w:tcBorders>
            <w:vAlign w:val="center"/>
          </w:tcPr>
          <w:p w:rsidR="004446DB" w:rsidRPr="00FE0525" w:rsidRDefault="004446DB" w:rsidP="00FE0525">
            <w:pPr>
              <w:rPr>
                <w:szCs w:val="20"/>
                <w:lang w:val="en-US"/>
              </w:rPr>
            </w:pPr>
            <w:r>
              <w:rPr>
                <w:szCs w:val="20"/>
                <w:lang w:val="en-US"/>
              </w:rPr>
              <w:t>1,5 years</w:t>
            </w:r>
          </w:p>
        </w:tc>
      </w:tr>
      <w:tr w:rsidR="004446DB"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4446DB" w:rsidRPr="00FE0525" w:rsidRDefault="004446DB" w:rsidP="00FE0525">
            <w:pPr>
              <w:rPr>
                <w:b/>
                <w:szCs w:val="20"/>
                <w:lang w:val="en-US"/>
              </w:rPr>
            </w:pPr>
            <w:r w:rsidRPr="00FE0525">
              <w:rPr>
                <w:b/>
                <w:szCs w:val="20"/>
                <w:lang w:val="en-US"/>
              </w:rPr>
              <w:t xml:space="preserve">Implementing </w:t>
            </w:r>
            <w:r>
              <w:rPr>
                <w:b/>
                <w:szCs w:val="20"/>
                <w:lang w:val="en-US"/>
              </w:rPr>
              <w:t>Organisation(s)</w:t>
            </w:r>
          </w:p>
        </w:tc>
        <w:tc>
          <w:tcPr>
            <w:tcW w:w="6940" w:type="dxa"/>
            <w:gridSpan w:val="2"/>
            <w:tcBorders>
              <w:top w:val="single" w:sz="6" w:space="0" w:color="auto"/>
              <w:left w:val="single" w:sz="6" w:space="0" w:color="auto"/>
              <w:bottom w:val="single" w:sz="6" w:space="0" w:color="auto"/>
            </w:tcBorders>
            <w:vAlign w:val="center"/>
          </w:tcPr>
          <w:p w:rsidR="004446DB" w:rsidRPr="00FE0525" w:rsidRDefault="004446DB" w:rsidP="00FE0525">
            <w:pPr>
              <w:rPr>
                <w:szCs w:val="20"/>
                <w:lang w:val="en-US"/>
              </w:rPr>
            </w:pPr>
            <w:r>
              <w:rPr>
                <w:szCs w:val="20"/>
                <w:lang w:val="en-US"/>
              </w:rPr>
              <w:t>Center for Economic Research</w:t>
            </w:r>
          </w:p>
        </w:tc>
      </w:tr>
      <w:tr w:rsidR="004446DB"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4446DB" w:rsidRPr="00FE0525" w:rsidRDefault="004446DB" w:rsidP="00FE0525">
            <w:pPr>
              <w:rPr>
                <w:b/>
                <w:szCs w:val="20"/>
                <w:lang w:val="en-US"/>
              </w:rPr>
            </w:pPr>
            <w:r>
              <w:rPr>
                <w:b/>
                <w:szCs w:val="20"/>
                <w:lang w:val="en-US"/>
              </w:rPr>
              <w:t>Country/Countries</w:t>
            </w:r>
          </w:p>
        </w:tc>
        <w:tc>
          <w:tcPr>
            <w:tcW w:w="6940" w:type="dxa"/>
            <w:gridSpan w:val="2"/>
            <w:tcBorders>
              <w:top w:val="single" w:sz="6" w:space="0" w:color="auto"/>
              <w:left w:val="single" w:sz="6" w:space="0" w:color="auto"/>
              <w:bottom w:val="single" w:sz="6" w:space="0" w:color="auto"/>
            </w:tcBorders>
            <w:vAlign w:val="center"/>
          </w:tcPr>
          <w:p w:rsidR="004446DB" w:rsidRPr="00FE0525" w:rsidRDefault="004446DB" w:rsidP="00FE0525">
            <w:pPr>
              <w:rPr>
                <w:szCs w:val="20"/>
                <w:lang w:val="en-US"/>
              </w:rPr>
            </w:pPr>
            <w:smartTag w:uri="urn:schemas-microsoft-com:office:smarttags" w:element="country-region">
              <w:smartTag w:uri="urn:schemas-microsoft-com:office:smarttags" w:element="place">
                <w:r>
                  <w:rPr>
                    <w:szCs w:val="20"/>
                    <w:lang w:val="en-US"/>
                  </w:rPr>
                  <w:t>Uzbekistan</w:t>
                </w:r>
              </w:smartTag>
            </w:smartTag>
          </w:p>
        </w:tc>
      </w:tr>
      <w:tr w:rsidR="004446DB"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4446DB" w:rsidRPr="00FE0525" w:rsidRDefault="004446DB" w:rsidP="00FE0525">
            <w:pPr>
              <w:rPr>
                <w:b/>
                <w:szCs w:val="20"/>
                <w:lang w:val="en-US"/>
              </w:rPr>
            </w:pPr>
            <w:r w:rsidRPr="00FE0525">
              <w:rPr>
                <w:b/>
                <w:szCs w:val="20"/>
                <w:lang w:val="en-US"/>
              </w:rPr>
              <w:t>Submitted by</w:t>
            </w:r>
          </w:p>
        </w:tc>
        <w:tc>
          <w:tcPr>
            <w:tcW w:w="6940" w:type="dxa"/>
            <w:gridSpan w:val="2"/>
            <w:tcBorders>
              <w:top w:val="single" w:sz="6" w:space="0" w:color="auto"/>
              <w:left w:val="single" w:sz="6" w:space="0" w:color="auto"/>
              <w:bottom w:val="single" w:sz="6" w:space="0" w:color="auto"/>
            </w:tcBorders>
            <w:vAlign w:val="center"/>
          </w:tcPr>
          <w:p w:rsidR="004446DB" w:rsidRDefault="004446DB" w:rsidP="00C202B5">
            <w:pPr>
              <w:rPr>
                <w:szCs w:val="20"/>
                <w:lang w:val="en-US"/>
              </w:rPr>
            </w:pPr>
            <w:r>
              <w:rPr>
                <w:szCs w:val="20"/>
                <w:lang w:val="en-US"/>
              </w:rPr>
              <w:t xml:space="preserve">Center for Economic </w:t>
            </w:r>
            <w:smartTag w:uri="urn:schemas-microsoft-com:office:smarttags" w:element="place">
              <w:smartTag w:uri="urn:schemas-microsoft-com:office:smarttags" w:element="PlaceName">
                <w:r>
                  <w:rPr>
                    <w:szCs w:val="20"/>
                    <w:lang w:val="en-US"/>
                  </w:rPr>
                  <w:t>Research</w:t>
                </w:r>
              </w:smartTag>
              <w:r>
                <w:rPr>
                  <w:szCs w:val="20"/>
                  <w:lang w:val="en-US"/>
                </w:rPr>
                <w:t xml:space="preserve"> </w:t>
              </w:r>
              <w:smartTag w:uri="urn:schemas-microsoft-com:office:smarttags" w:element="place">
                <w:r>
                  <w:rPr>
                    <w:szCs w:val="20"/>
                    <w:lang w:val="en-US"/>
                  </w:rPr>
                  <w:t>Center</w:t>
                </w:r>
              </w:smartTag>
            </w:smartTag>
            <w:r>
              <w:rPr>
                <w:szCs w:val="20"/>
                <w:lang w:val="en-US"/>
              </w:rPr>
              <w:t xml:space="preserve"> for Economic Research </w:t>
            </w:r>
          </w:p>
          <w:p w:rsidR="004446DB" w:rsidRPr="00FE0525" w:rsidRDefault="004446DB" w:rsidP="00FE0525">
            <w:pPr>
              <w:rPr>
                <w:szCs w:val="20"/>
                <w:lang w:val="en-US"/>
              </w:rPr>
            </w:pPr>
            <w:r>
              <w:rPr>
                <w:szCs w:val="20"/>
                <w:lang w:val="en-US"/>
              </w:rPr>
              <w:t>Contact person: Senior Research Coordinator Nishanbay Sirajiddinov</w:t>
            </w:r>
            <w:r w:rsidRPr="00022234">
              <w:rPr>
                <w:lang w:val="en-US"/>
              </w:rPr>
              <w:t xml:space="preserve"> </w:t>
            </w:r>
            <w:hyperlink r:id="rId8" w:history="1">
              <w:r w:rsidRPr="00022234">
                <w:rPr>
                  <w:rStyle w:val="Hyperlink"/>
                  <w:lang w:val="en-US"/>
                </w:rPr>
                <w:t>info@cer.uz</w:t>
              </w:r>
            </w:hyperlink>
          </w:p>
        </w:tc>
      </w:tr>
    </w:tbl>
    <w:p w:rsidR="004446DB" w:rsidRDefault="004446DB" w:rsidP="00993610">
      <w:pPr>
        <w:rPr>
          <w:rFonts w:ascii="Book Antiqua" w:hAnsi="Book Antiqua"/>
          <w:b/>
          <w:bCs/>
          <w:szCs w:val="22"/>
          <w:lang w:val="en-US"/>
        </w:rPr>
      </w:pPr>
    </w:p>
    <w:p w:rsidR="004446DB" w:rsidRDefault="004446DB" w:rsidP="00993610">
      <w:pPr>
        <w:rPr>
          <w:rFonts w:ascii="Book Antiqua" w:hAnsi="Book Antiqua"/>
          <w:b/>
          <w:bCs/>
          <w:szCs w:val="22"/>
          <w:lang w:val="en-US"/>
        </w:rPr>
      </w:pPr>
    </w:p>
    <w:p w:rsidR="004446DB" w:rsidRDefault="004446DB" w:rsidP="001130E8">
      <w:pPr>
        <w:pStyle w:val="Heading1"/>
      </w:pPr>
      <w:r>
        <w:t>Background</w:t>
      </w:r>
    </w:p>
    <w:p w:rsidR="004446DB" w:rsidRPr="00B2144E" w:rsidRDefault="004446DB" w:rsidP="00B2144E">
      <w:pPr>
        <w:rPr>
          <w:lang w:val="en-US"/>
        </w:rPr>
      </w:pPr>
    </w:p>
    <w:p w:rsidR="004446DB" w:rsidRPr="00C82308" w:rsidRDefault="004446DB" w:rsidP="00F336DC">
      <w:pPr>
        <w:autoSpaceDE w:val="0"/>
        <w:autoSpaceDN w:val="0"/>
        <w:adjustRightInd w:val="0"/>
        <w:jc w:val="both"/>
      </w:pPr>
      <w:r w:rsidRPr="00C82308">
        <w:t xml:space="preserve">During recent years increasing exports were one of the key factors in maintaining high economic development rates in the Republic of Uzbekistan: Average annual growth in exports during 2004–2008 was 25.3 percent, while GDP grew on average at 8.1 percent per annum. This fact indicates, that trade policy could become an important factor in achieving sustainable long-term economic growth. In particular, the improvement of the country’s trade regime could become one of the factors stimulating non-commodity exports with high value addition and contributing to the economic growth. </w:t>
      </w:r>
    </w:p>
    <w:p w:rsidR="004446DB" w:rsidRPr="00C82308" w:rsidRDefault="004446DB" w:rsidP="00F336DC">
      <w:pPr>
        <w:autoSpaceDE w:val="0"/>
        <w:autoSpaceDN w:val="0"/>
        <w:adjustRightInd w:val="0"/>
        <w:jc w:val="both"/>
      </w:pPr>
    </w:p>
    <w:p w:rsidR="004446DB" w:rsidRPr="00C82308" w:rsidRDefault="004446DB" w:rsidP="00F336DC">
      <w:pPr>
        <w:autoSpaceDE w:val="0"/>
        <w:autoSpaceDN w:val="0"/>
        <w:adjustRightInd w:val="0"/>
        <w:jc w:val="both"/>
      </w:pPr>
      <w:r w:rsidRPr="00C82308">
        <w:t>The ultimate goal of developing and implementing the strategy of the trade regime is to ensure a more efficient distribution and utilization of resources in order to achieve sustainable economic growth and improvements in the nation’s welfare. As illustrated by the results of an opinion poll of entities participating in foreign economic activities and an analysis of the current regulatory and legal base, an entity involved in foreign trade in Uzbekistan has to go through a lengthy and complicated process, while in the process of carrying out foreign economic activities, exporters bear high transactional costs.</w:t>
      </w:r>
    </w:p>
    <w:p w:rsidR="004446DB" w:rsidRDefault="004446DB" w:rsidP="00E938FD">
      <w:pPr>
        <w:rPr>
          <w:lang w:val="en-US"/>
        </w:rPr>
      </w:pPr>
    </w:p>
    <w:p w:rsidR="004446DB" w:rsidRPr="00E938FD" w:rsidRDefault="004446DB" w:rsidP="00E938FD">
      <w:pPr>
        <w:autoSpaceDE w:val="0"/>
        <w:autoSpaceDN w:val="0"/>
        <w:adjustRightInd w:val="0"/>
        <w:rPr>
          <w:rFonts w:ascii="MyriadPro-Regular" w:eastAsia="MyriadPro-Regular" w:hAnsi="Times New Roman" w:cs="MyriadPro-Regular"/>
          <w:sz w:val="22"/>
          <w:szCs w:val="22"/>
          <w:lang w:val="en-US" w:eastAsia="ru-RU"/>
        </w:rPr>
      </w:pPr>
    </w:p>
    <w:p w:rsidR="004446DB" w:rsidRDefault="004446DB" w:rsidP="00FE0525">
      <w:pPr>
        <w:pStyle w:val="Heading1"/>
      </w:pPr>
      <w:r>
        <w:t>Justification</w:t>
      </w:r>
    </w:p>
    <w:p w:rsidR="004446DB" w:rsidRPr="00B2144E" w:rsidRDefault="004446DB" w:rsidP="00B2144E">
      <w:pPr>
        <w:rPr>
          <w:lang w:val="en-US"/>
        </w:rPr>
      </w:pPr>
    </w:p>
    <w:p w:rsidR="004446DB" w:rsidRPr="00C82308" w:rsidRDefault="004446DB" w:rsidP="00361EDE">
      <w:pPr>
        <w:autoSpaceDE w:val="0"/>
        <w:autoSpaceDN w:val="0"/>
        <w:adjustRightInd w:val="0"/>
        <w:jc w:val="both"/>
      </w:pPr>
      <w:r w:rsidRPr="00C82308">
        <w:t>According to the World Bank, the average time for exporting procedures in Uzbekistan is 44 days, which is high, particularly in comparison with foreign practices: for instance, in Denmark and Estonia, export procedures take only five days, while in Belgium, Canada, Germany and Switzerland, it is seven days. The total average time for compulsory procedures related to items imported into Uzbekistan is 92 days, a figure which is one of the highest in global practice. The presence of considerable and costly barriers for importers means a high cost of import transactions, resulting in inflated prices for imported goods in Uzbekistan, and also increased smuggling and corruption in state bodies. To reduce the total time spent on foreign trade operations in Uzbekistan, the foreign trade procedures should be simplified, the number of bureaucratic procedures needs to be reduced, and the system of customs regulation has to be improved.</w:t>
      </w:r>
    </w:p>
    <w:p w:rsidR="004446DB" w:rsidRPr="00361EDE" w:rsidRDefault="004446DB" w:rsidP="00F838E0">
      <w:pPr>
        <w:rPr>
          <w:rFonts w:ascii="Times New Roman" w:hAnsi="Times New Roman"/>
          <w:sz w:val="24"/>
          <w:lang w:val="en-US"/>
        </w:rPr>
      </w:pPr>
    </w:p>
    <w:p w:rsidR="004446DB" w:rsidRDefault="004446DB" w:rsidP="00F838E0">
      <w:pPr>
        <w:rPr>
          <w:lang w:val="en-US"/>
        </w:rPr>
      </w:pPr>
    </w:p>
    <w:p w:rsidR="004446DB" w:rsidRDefault="004446DB" w:rsidP="00FE0525">
      <w:pPr>
        <w:pStyle w:val="Heading1"/>
        <w:rPr>
          <w:szCs w:val="22"/>
        </w:rPr>
      </w:pPr>
      <w:r w:rsidRPr="00FE0525">
        <w:rPr>
          <w:szCs w:val="22"/>
        </w:rPr>
        <w:t>Expected Output</w:t>
      </w:r>
      <w:r>
        <w:rPr>
          <w:szCs w:val="22"/>
        </w:rPr>
        <w:t>(</w:t>
      </w:r>
      <w:r w:rsidRPr="00FE0525">
        <w:rPr>
          <w:szCs w:val="22"/>
        </w:rPr>
        <w:t>s</w:t>
      </w:r>
      <w:r>
        <w:rPr>
          <w:szCs w:val="22"/>
        </w:rPr>
        <w:t>)</w:t>
      </w:r>
    </w:p>
    <w:p w:rsidR="004446DB" w:rsidRPr="00B2144E" w:rsidRDefault="004446DB" w:rsidP="00B2144E">
      <w:pPr>
        <w:rPr>
          <w:lang w:val="en-US"/>
        </w:rPr>
      </w:pPr>
    </w:p>
    <w:p w:rsidR="004446DB" w:rsidRPr="00C82308" w:rsidRDefault="004446DB" w:rsidP="00361EDE">
      <w:pPr>
        <w:autoSpaceDE w:val="0"/>
        <w:autoSpaceDN w:val="0"/>
        <w:adjustRightInd w:val="0"/>
        <w:jc w:val="both"/>
      </w:pPr>
      <w:r w:rsidRPr="00C82308">
        <w:t>To implement the set tasks, efforts need to be focused on major directions in simplifying foreign trade procedures and upgrading the customs system. Therefore, the planned outputs include the following:</w:t>
      </w:r>
    </w:p>
    <w:p w:rsidR="004446DB" w:rsidRPr="00C82308" w:rsidRDefault="004446DB" w:rsidP="00361EDE">
      <w:pPr>
        <w:autoSpaceDE w:val="0"/>
        <w:autoSpaceDN w:val="0"/>
        <w:adjustRightInd w:val="0"/>
        <w:jc w:val="both"/>
      </w:pPr>
    </w:p>
    <w:p w:rsidR="004446DB" w:rsidRPr="00C82308" w:rsidRDefault="004446DB" w:rsidP="00361EDE">
      <w:pPr>
        <w:autoSpaceDE w:val="0"/>
        <w:autoSpaceDN w:val="0"/>
        <w:adjustRightInd w:val="0"/>
        <w:jc w:val="both"/>
      </w:pPr>
      <w:r w:rsidRPr="00C82308">
        <w:t xml:space="preserve">1. The concept of implementing  a ‘One Window’ mechanism. </w:t>
      </w:r>
    </w:p>
    <w:p w:rsidR="004446DB" w:rsidRPr="00C82308" w:rsidRDefault="004446DB" w:rsidP="00361EDE">
      <w:pPr>
        <w:autoSpaceDE w:val="0"/>
        <w:autoSpaceDN w:val="0"/>
        <w:adjustRightInd w:val="0"/>
        <w:jc w:val="both"/>
      </w:pPr>
      <w:r w:rsidRPr="00C82308">
        <w:t>This mechanism would allow the parties participating in trading and shipping operations to present standardized information and documents using a single channel to complete all regulatory requirements concerning imports, exports and transit;</w:t>
      </w:r>
    </w:p>
    <w:p w:rsidR="004446DB" w:rsidRPr="00C82308" w:rsidRDefault="004446DB" w:rsidP="00361EDE">
      <w:pPr>
        <w:autoSpaceDE w:val="0"/>
        <w:autoSpaceDN w:val="0"/>
        <w:adjustRightInd w:val="0"/>
        <w:jc w:val="both"/>
      </w:pPr>
    </w:p>
    <w:p w:rsidR="004446DB" w:rsidRPr="00C82308" w:rsidRDefault="004446DB" w:rsidP="00361EDE">
      <w:pPr>
        <w:autoSpaceDE w:val="0"/>
        <w:autoSpaceDN w:val="0"/>
        <w:adjustRightInd w:val="0"/>
        <w:jc w:val="both"/>
      </w:pPr>
      <w:r w:rsidRPr="00C82308">
        <w:t>2. The concept of automatization of customs regulation and implementing the mechanism of preliminary and electronic declaration.  This measure would allow to reduce the transaction costs. Introduction of preliminary and electronic declaration would allow for the documentary audit of information presented in CCD’s prior to actual presentation of the goods to the customs body;</w:t>
      </w:r>
    </w:p>
    <w:p w:rsidR="004446DB" w:rsidRPr="00C82308" w:rsidRDefault="004446DB" w:rsidP="00361EDE">
      <w:pPr>
        <w:autoSpaceDE w:val="0"/>
        <w:autoSpaceDN w:val="0"/>
        <w:adjustRightInd w:val="0"/>
        <w:jc w:val="both"/>
      </w:pPr>
    </w:p>
    <w:p w:rsidR="004446DB" w:rsidRPr="00C82308" w:rsidRDefault="004446DB" w:rsidP="00361EDE">
      <w:pPr>
        <w:autoSpaceDE w:val="0"/>
        <w:autoSpaceDN w:val="0"/>
        <w:adjustRightInd w:val="0"/>
        <w:jc w:val="both"/>
      </w:pPr>
      <w:r w:rsidRPr="00C82308">
        <w:t>3. The concept of harmonization of declaration forms with international standards, which primarily aims to improve the procedure for declaring goods moved through a customs border and to unify customs documents. This would allow harmonizing customs formalities with those of the European Union, simplifying customs procedures and accelerating customs clearance.</w:t>
      </w:r>
    </w:p>
    <w:p w:rsidR="004446DB" w:rsidRDefault="004446DB" w:rsidP="00F838E0">
      <w:pPr>
        <w:rPr>
          <w:lang w:val="en-US"/>
        </w:rPr>
      </w:pPr>
    </w:p>
    <w:p w:rsidR="004446DB" w:rsidRDefault="004446DB" w:rsidP="00FE0525">
      <w:pPr>
        <w:pStyle w:val="Heading1"/>
        <w:rPr>
          <w:szCs w:val="22"/>
        </w:rPr>
      </w:pPr>
      <w:r>
        <w:rPr>
          <w:szCs w:val="22"/>
        </w:rPr>
        <w:t>Proposed Approach &amp;</w:t>
      </w:r>
      <w:r w:rsidRPr="00FE0525">
        <w:rPr>
          <w:szCs w:val="22"/>
        </w:rPr>
        <w:t xml:space="preserve"> Strategy, including Capacity Development </w:t>
      </w:r>
      <w:r>
        <w:rPr>
          <w:szCs w:val="22"/>
        </w:rPr>
        <w:t>Response</w:t>
      </w:r>
    </w:p>
    <w:p w:rsidR="004446DB" w:rsidRPr="00B2144E" w:rsidRDefault="004446DB" w:rsidP="00B2144E">
      <w:pPr>
        <w:rPr>
          <w:lang w:val="en-US"/>
        </w:rPr>
      </w:pPr>
    </w:p>
    <w:p w:rsidR="004446DB" w:rsidRPr="00C82308" w:rsidRDefault="004446DB" w:rsidP="00361EDE">
      <w:pPr>
        <w:autoSpaceDE w:val="0"/>
        <w:autoSpaceDN w:val="0"/>
        <w:adjustRightInd w:val="0"/>
        <w:jc w:val="both"/>
      </w:pPr>
      <w:r w:rsidRPr="00C82308">
        <w:t xml:space="preserve">Realization of the concepts mentioned above and implementation of the mechanisms being considered will lead to the transition to the new system of organizing customs control and customs formalities. This, in turn, will enable an optimal correlation between the time spent on customs control and its efficiency, and will ensure the swift completion of customs declaration of goods and vehicles, transported through the borders. </w:t>
      </w:r>
    </w:p>
    <w:p w:rsidR="004446DB" w:rsidRPr="00C82308" w:rsidRDefault="004446DB" w:rsidP="00361EDE">
      <w:pPr>
        <w:autoSpaceDE w:val="0"/>
        <w:autoSpaceDN w:val="0"/>
        <w:adjustRightInd w:val="0"/>
        <w:jc w:val="both"/>
      </w:pPr>
    </w:p>
    <w:p w:rsidR="004446DB" w:rsidRPr="00C82308" w:rsidRDefault="004446DB" w:rsidP="00361EDE">
      <w:pPr>
        <w:autoSpaceDE w:val="0"/>
        <w:autoSpaceDN w:val="0"/>
        <w:adjustRightInd w:val="0"/>
        <w:jc w:val="both"/>
      </w:pPr>
      <w:r w:rsidRPr="00C82308">
        <w:t>This will become a key element in improving customs administration system. The procedures and conditions of customs formalities and customs control will become as clear and ‘transparent’ as possible, and have a common information space, and efficient information, technical, and legal support. As a result, improving the current customs administration will be an important factor in creating favourable conditions for foreign economic activities, and, hence, establishing a favourable business climate in the Republic of Uzbekistan.</w:t>
      </w:r>
    </w:p>
    <w:p w:rsidR="004446DB" w:rsidRPr="00EF4E17" w:rsidRDefault="004446DB" w:rsidP="00361EDE">
      <w:pPr>
        <w:autoSpaceDE w:val="0"/>
        <w:autoSpaceDN w:val="0"/>
        <w:adjustRightInd w:val="0"/>
        <w:jc w:val="both"/>
        <w:rPr>
          <w:rFonts w:ascii="Times New Roman" w:eastAsia="MyriadPro-Regular" w:hAnsi="Times New Roman"/>
          <w:color w:val="000000"/>
          <w:sz w:val="24"/>
          <w:lang w:val="en-US" w:eastAsia="ru-RU"/>
        </w:rPr>
      </w:pPr>
    </w:p>
    <w:p w:rsidR="004446DB" w:rsidRPr="00EF4E17" w:rsidRDefault="004446DB" w:rsidP="00361EDE">
      <w:pPr>
        <w:autoSpaceDE w:val="0"/>
        <w:autoSpaceDN w:val="0"/>
        <w:adjustRightInd w:val="0"/>
        <w:jc w:val="both"/>
        <w:rPr>
          <w:rFonts w:ascii="Times New Roman" w:eastAsia="MyriadPro-Regular" w:hAnsi="Times New Roman"/>
          <w:color w:val="000000"/>
          <w:sz w:val="24"/>
          <w:lang w:val="en-US" w:eastAsia="ru-RU"/>
        </w:rPr>
      </w:pPr>
    </w:p>
    <w:p w:rsidR="004446DB" w:rsidRPr="00EF4E17" w:rsidRDefault="004446DB" w:rsidP="00361EDE">
      <w:pPr>
        <w:autoSpaceDE w:val="0"/>
        <w:autoSpaceDN w:val="0"/>
        <w:adjustRightInd w:val="0"/>
        <w:jc w:val="both"/>
        <w:rPr>
          <w:rFonts w:ascii="Times New Roman" w:eastAsia="MyriadPro-Regular" w:hAnsi="Times New Roman"/>
          <w:color w:val="000000"/>
          <w:sz w:val="24"/>
          <w:lang w:val="en-US" w:eastAsia="ru-RU"/>
        </w:rPr>
      </w:pPr>
    </w:p>
    <w:p w:rsidR="004446DB" w:rsidRDefault="004446DB" w:rsidP="00361EDE">
      <w:pPr>
        <w:autoSpaceDE w:val="0"/>
        <w:autoSpaceDN w:val="0"/>
        <w:adjustRightInd w:val="0"/>
        <w:jc w:val="both"/>
        <w:rPr>
          <w:rFonts w:ascii="Times New Roman" w:eastAsia="MyriadPro-Regular" w:hAnsi="Times New Roman"/>
          <w:color w:val="000000"/>
          <w:sz w:val="24"/>
          <w:lang w:val="en-US" w:eastAsia="ru-RU"/>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Default="004446DB" w:rsidP="00361EDE">
      <w:pPr>
        <w:autoSpaceDE w:val="0"/>
        <w:autoSpaceDN w:val="0"/>
        <w:adjustRightInd w:val="0"/>
        <w:jc w:val="both"/>
        <w:rPr>
          <w:rFonts w:ascii="Times New Roman" w:hAnsi="Times New Roman"/>
          <w:sz w:val="24"/>
          <w:lang w:val="en-US"/>
        </w:rPr>
      </w:pPr>
    </w:p>
    <w:p w:rsidR="004446DB" w:rsidRPr="00361EDE" w:rsidRDefault="004446DB" w:rsidP="00361EDE">
      <w:pPr>
        <w:autoSpaceDE w:val="0"/>
        <w:autoSpaceDN w:val="0"/>
        <w:adjustRightInd w:val="0"/>
        <w:jc w:val="both"/>
        <w:rPr>
          <w:rFonts w:ascii="Times New Roman" w:hAnsi="Times New Roman"/>
          <w:sz w:val="24"/>
          <w:lang w:val="en-US"/>
        </w:rPr>
      </w:pPr>
    </w:p>
    <w:p w:rsidR="004446DB" w:rsidRDefault="004446DB" w:rsidP="00993610">
      <w:pPr>
        <w:rPr>
          <w:rFonts w:ascii="Book Antiqua" w:hAnsi="Book Antiqua"/>
          <w:b/>
          <w:bCs/>
          <w:szCs w:val="22"/>
          <w:lang w:val="en-US"/>
        </w:rPr>
      </w:pPr>
    </w:p>
    <w:p w:rsidR="004446DB" w:rsidRDefault="004446DB" w:rsidP="009F4AD1">
      <w:pPr>
        <w:pStyle w:val="Heading1"/>
      </w:pPr>
      <w:r>
        <w:t>Annual Work Plan</w:t>
      </w:r>
    </w:p>
    <w:p w:rsidR="004446DB" w:rsidRPr="00B2144E" w:rsidRDefault="004446DB" w:rsidP="00B2144E">
      <w:pPr>
        <w:rPr>
          <w:lang w:val="en-US"/>
        </w:rPr>
      </w:pPr>
    </w:p>
    <w:p w:rsidR="004446DB" w:rsidRDefault="004446DB" w:rsidP="00B63B9E">
      <w:pPr>
        <w:rPr>
          <w:lang w:val="en-US"/>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2575"/>
        <w:gridCol w:w="406"/>
        <w:gridCol w:w="404"/>
        <w:gridCol w:w="404"/>
        <w:gridCol w:w="404"/>
        <w:gridCol w:w="1347"/>
        <w:gridCol w:w="269"/>
        <w:gridCol w:w="485"/>
        <w:gridCol w:w="433"/>
        <w:gridCol w:w="503"/>
        <w:gridCol w:w="427"/>
        <w:gridCol w:w="1275"/>
      </w:tblGrid>
      <w:tr w:rsidR="004446DB" w:rsidTr="00A26B33">
        <w:trPr>
          <w:cantSplit/>
          <w:trHeight w:val="70"/>
        </w:trPr>
        <w:tc>
          <w:tcPr>
            <w:tcW w:w="3398" w:type="pct"/>
            <w:gridSpan w:val="8"/>
            <w:vMerge w:val="restart"/>
            <w:shd w:val="clear" w:color="auto" w:fill="FFFF99"/>
          </w:tcPr>
          <w:p w:rsidR="004446DB" w:rsidRDefault="004446DB" w:rsidP="00B10641">
            <w:pPr>
              <w:jc w:val="center"/>
              <w:rPr>
                <w:b/>
                <w:bCs/>
                <w:sz w:val="18"/>
              </w:rPr>
            </w:pPr>
          </w:p>
          <w:p w:rsidR="004446DB" w:rsidRDefault="004446DB" w:rsidP="00B10641">
            <w:pPr>
              <w:jc w:val="center"/>
              <w:rPr>
                <w:b/>
                <w:bCs/>
                <w:sz w:val="18"/>
              </w:rPr>
            </w:pPr>
            <w:r>
              <w:rPr>
                <w:b/>
                <w:bCs/>
                <w:sz w:val="18"/>
              </w:rPr>
              <w:t>PLANNED ACTIVITIES</w:t>
            </w:r>
          </w:p>
          <w:p w:rsidR="004446DB" w:rsidRPr="007878A9" w:rsidRDefault="004446DB" w:rsidP="00B10641">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948" w:type="pct"/>
            <w:gridSpan w:val="4"/>
            <w:shd w:val="clear" w:color="auto" w:fill="FFFF99"/>
            <w:vAlign w:val="center"/>
          </w:tcPr>
          <w:p w:rsidR="004446DB" w:rsidRDefault="004446DB" w:rsidP="00B10641">
            <w:pPr>
              <w:jc w:val="center"/>
              <w:rPr>
                <w:b/>
                <w:bCs/>
                <w:sz w:val="18"/>
              </w:rPr>
            </w:pPr>
            <w:r>
              <w:rPr>
                <w:b/>
                <w:bCs/>
                <w:sz w:val="18"/>
              </w:rPr>
              <w:t>Timeframe</w:t>
            </w:r>
          </w:p>
        </w:tc>
        <w:tc>
          <w:tcPr>
            <w:tcW w:w="654" w:type="pct"/>
            <w:shd w:val="clear" w:color="auto" w:fill="FFFF99"/>
            <w:vAlign w:val="center"/>
          </w:tcPr>
          <w:p w:rsidR="004446DB" w:rsidRPr="00894D47" w:rsidRDefault="004446DB" w:rsidP="00B10641">
            <w:pPr>
              <w:jc w:val="center"/>
              <w:rPr>
                <w:b/>
                <w:bCs/>
                <w:sz w:val="18"/>
              </w:rPr>
            </w:pPr>
            <w:r>
              <w:rPr>
                <w:b/>
                <w:bCs/>
                <w:sz w:val="18"/>
              </w:rPr>
              <w:t>Planned Budget</w:t>
            </w:r>
          </w:p>
        </w:tc>
      </w:tr>
      <w:tr w:rsidR="004446DB" w:rsidTr="00A26B33">
        <w:trPr>
          <w:cantSplit/>
          <w:trHeight w:val="467"/>
        </w:trPr>
        <w:tc>
          <w:tcPr>
            <w:tcW w:w="3398" w:type="pct"/>
            <w:gridSpan w:val="8"/>
            <w:vMerge/>
            <w:shd w:val="clear" w:color="auto" w:fill="CCCCCC"/>
            <w:vAlign w:val="center"/>
          </w:tcPr>
          <w:p w:rsidR="004446DB" w:rsidRDefault="004446DB" w:rsidP="00B10641">
            <w:pPr>
              <w:jc w:val="center"/>
              <w:rPr>
                <w:sz w:val="18"/>
              </w:rPr>
            </w:pPr>
          </w:p>
        </w:tc>
        <w:tc>
          <w:tcPr>
            <w:tcW w:w="249" w:type="pct"/>
            <w:shd w:val="clear" w:color="auto" w:fill="FFFF99"/>
            <w:vAlign w:val="center"/>
          </w:tcPr>
          <w:p w:rsidR="004446DB" w:rsidRDefault="004446DB" w:rsidP="00B10641">
            <w:pPr>
              <w:jc w:val="center"/>
              <w:rPr>
                <w:sz w:val="16"/>
              </w:rPr>
            </w:pPr>
            <w:r>
              <w:rPr>
                <w:sz w:val="16"/>
              </w:rPr>
              <w:t>Q1</w:t>
            </w:r>
          </w:p>
        </w:tc>
        <w:tc>
          <w:tcPr>
            <w:tcW w:w="222" w:type="pct"/>
            <w:shd w:val="clear" w:color="auto" w:fill="FFFF99"/>
            <w:vAlign w:val="center"/>
          </w:tcPr>
          <w:p w:rsidR="004446DB" w:rsidRDefault="004446DB" w:rsidP="00B10641">
            <w:pPr>
              <w:jc w:val="center"/>
              <w:rPr>
                <w:sz w:val="16"/>
              </w:rPr>
            </w:pPr>
            <w:r>
              <w:rPr>
                <w:sz w:val="16"/>
              </w:rPr>
              <w:t>Q2</w:t>
            </w:r>
          </w:p>
        </w:tc>
        <w:tc>
          <w:tcPr>
            <w:tcW w:w="258" w:type="pct"/>
            <w:shd w:val="clear" w:color="auto" w:fill="FFFF99"/>
            <w:vAlign w:val="center"/>
          </w:tcPr>
          <w:p w:rsidR="004446DB" w:rsidRDefault="004446DB" w:rsidP="00B10641">
            <w:pPr>
              <w:jc w:val="center"/>
              <w:rPr>
                <w:sz w:val="16"/>
              </w:rPr>
            </w:pPr>
            <w:r>
              <w:rPr>
                <w:sz w:val="16"/>
              </w:rPr>
              <w:t>Q3</w:t>
            </w:r>
          </w:p>
        </w:tc>
        <w:tc>
          <w:tcPr>
            <w:tcW w:w="219" w:type="pct"/>
            <w:shd w:val="clear" w:color="auto" w:fill="FFFF99"/>
            <w:vAlign w:val="center"/>
          </w:tcPr>
          <w:p w:rsidR="004446DB" w:rsidRDefault="004446DB" w:rsidP="00B10641">
            <w:pPr>
              <w:jc w:val="center"/>
              <w:rPr>
                <w:sz w:val="16"/>
              </w:rPr>
            </w:pPr>
            <w:r>
              <w:rPr>
                <w:sz w:val="16"/>
              </w:rPr>
              <w:t>Q4</w:t>
            </w:r>
          </w:p>
        </w:tc>
        <w:tc>
          <w:tcPr>
            <w:tcW w:w="654" w:type="pct"/>
            <w:shd w:val="clear" w:color="auto" w:fill="FFFF99"/>
            <w:vAlign w:val="center"/>
          </w:tcPr>
          <w:p w:rsidR="004446DB" w:rsidRDefault="004446DB" w:rsidP="00B10641">
            <w:pPr>
              <w:jc w:val="center"/>
              <w:rPr>
                <w:sz w:val="16"/>
              </w:rPr>
            </w:pPr>
            <w:r>
              <w:rPr>
                <w:sz w:val="16"/>
              </w:rPr>
              <w:t>Amount</w:t>
            </w:r>
          </w:p>
        </w:tc>
      </w:tr>
      <w:tr w:rsidR="004446DB" w:rsidTr="00A26B33">
        <w:trPr>
          <w:cantSplit/>
          <w:trHeight w:val="135"/>
        </w:trPr>
        <w:tc>
          <w:tcPr>
            <w:tcW w:w="3398" w:type="pct"/>
            <w:gridSpan w:val="8"/>
            <w:vAlign w:val="bottom"/>
          </w:tcPr>
          <w:p w:rsidR="004446DB" w:rsidRPr="00A26B33" w:rsidRDefault="004446DB" w:rsidP="00B10641">
            <w:pPr>
              <w:rPr>
                <w:rFonts w:ascii="Calibri" w:hAnsi="Calibri" w:cs="Calibri"/>
                <w:iCs/>
                <w:sz w:val="24"/>
              </w:rPr>
            </w:pPr>
            <w:r>
              <w:rPr>
                <w:iCs/>
                <w:sz w:val="16"/>
              </w:rPr>
              <w:t xml:space="preserve">1. Activity </w:t>
            </w:r>
          </w:p>
          <w:p w:rsidR="004446DB" w:rsidRPr="00A26B33" w:rsidRDefault="004446DB" w:rsidP="00B90C84">
            <w:pPr>
              <w:ind w:left="129"/>
              <w:rPr>
                <w:rFonts w:ascii="Calibri" w:hAnsi="Calibri" w:cs="Calibri"/>
                <w:iCs/>
                <w:sz w:val="18"/>
                <w:szCs w:val="18"/>
              </w:rPr>
            </w:pPr>
            <w:r>
              <w:rPr>
                <w:rFonts w:ascii="Calibri" w:hAnsi="Calibri" w:cs="Calibri"/>
                <w:iCs/>
                <w:sz w:val="18"/>
                <w:szCs w:val="18"/>
              </w:rPr>
              <w:t>Setting the project by the coordinators</w:t>
            </w:r>
          </w:p>
        </w:tc>
        <w:tc>
          <w:tcPr>
            <w:tcW w:w="249" w:type="pct"/>
            <w:vAlign w:val="center"/>
          </w:tcPr>
          <w:p w:rsidR="004446DB" w:rsidRDefault="004446DB" w:rsidP="00B10641">
            <w:r>
              <w:t xml:space="preserve"> X</w:t>
            </w:r>
          </w:p>
        </w:tc>
        <w:tc>
          <w:tcPr>
            <w:tcW w:w="222" w:type="pct"/>
            <w:vAlign w:val="center"/>
          </w:tcPr>
          <w:p w:rsidR="004446DB" w:rsidRDefault="004446DB" w:rsidP="00B10641"/>
        </w:tc>
        <w:tc>
          <w:tcPr>
            <w:tcW w:w="258" w:type="pct"/>
            <w:vAlign w:val="center"/>
          </w:tcPr>
          <w:p w:rsidR="004446DB" w:rsidRDefault="004446DB" w:rsidP="00B10641"/>
        </w:tc>
        <w:tc>
          <w:tcPr>
            <w:tcW w:w="219" w:type="pct"/>
            <w:vAlign w:val="center"/>
          </w:tcPr>
          <w:p w:rsidR="004446DB" w:rsidRDefault="004446DB" w:rsidP="00B10641"/>
        </w:tc>
        <w:tc>
          <w:tcPr>
            <w:tcW w:w="654" w:type="pct"/>
          </w:tcPr>
          <w:p w:rsidR="004446DB" w:rsidRPr="00A26B33" w:rsidRDefault="004446DB" w:rsidP="00B10641">
            <w:pPr>
              <w:rPr>
                <w:rFonts w:ascii="Calibri" w:hAnsi="Calibri" w:cs="Calibri"/>
                <w:sz w:val="18"/>
                <w:szCs w:val="18"/>
              </w:rPr>
            </w:pPr>
            <w:r>
              <w:rPr>
                <w:rFonts w:ascii="Calibri" w:hAnsi="Calibri" w:cs="Calibri"/>
                <w:sz w:val="18"/>
                <w:szCs w:val="18"/>
              </w:rPr>
              <w:t>30 000</w:t>
            </w:r>
            <w:r w:rsidRPr="00A26B33">
              <w:rPr>
                <w:rFonts w:ascii="Calibri" w:hAnsi="Calibri" w:cs="Calibri"/>
                <w:sz w:val="18"/>
                <w:szCs w:val="18"/>
              </w:rPr>
              <w:t xml:space="preserve"> USD</w:t>
            </w:r>
          </w:p>
        </w:tc>
      </w:tr>
      <w:tr w:rsidR="004446DB" w:rsidTr="00014B6D">
        <w:trPr>
          <w:cantSplit/>
          <w:trHeight w:val="135"/>
        </w:trPr>
        <w:tc>
          <w:tcPr>
            <w:tcW w:w="3398" w:type="pct"/>
            <w:gridSpan w:val="8"/>
            <w:vAlign w:val="bottom"/>
          </w:tcPr>
          <w:p w:rsidR="004446DB" w:rsidRPr="00A26B33" w:rsidRDefault="004446DB" w:rsidP="00014B6D">
            <w:pPr>
              <w:rPr>
                <w:rFonts w:ascii="Calibri" w:hAnsi="Calibri" w:cs="Calibri"/>
                <w:iCs/>
                <w:sz w:val="24"/>
              </w:rPr>
            </w:pPr>
            <w:r>
              <w:rPr>
                <w:iCs/>
                <w:sz w:val="16"/>
              </w:rPr>
              <w:t xml:space="preserve">2. Activity </w:t>
            </w:r>
          </w:p>
          <w:p w:rsidR="004446DB" w:rsidRPr="00A26B33" w:rsidRDefault="004446DB" w:rsidP="00D14F92">
            <w:pPr>
              <w:ind w:left="129"/>
              <w:rPr>
                <w:rFonts w:ascii="Calibri" w:hAnsi="Calibri" w:cs="Calibri"/>
                <w:iCs/>
                <w:sz w:val="18"/>
                <w:szCs w:val="18"/>
              </w:rPr>
            </w:pPr>
            <w:r w:rsidRPr="00A26B33">
              <w:rPr>
                <w:rFonts w:ascii="Calibri" w:hAnsi="Calibri" w:cs="Calibri"/>
                <w:iCs/>
                <w:sz w:val="18"/>
                <w:szCs w:val="18"/>
              </w:rPr>
              <w:t xml:space="preserve">The survey </w:t>
            </w:r>
            <w:r>
              <w:rPr>
                <w:rFonts w:ascii="Calibri" w:hAnsi="Calibri" w:cs="Calibri"/>
                <w:iCs/>
                <w:sz w:val="18"/>
                <w:szCs w:val="18"/>
              </w:rPr>
              <w:t xml:space="preserve">on identification of </w:t>
            </w:r>
            <w:r w:rsidRPr="00A26B33">
              <w:rPr>
                <w:rFonts w:ascii="Calibri" w:hAnsi="Calibri" w:cs="Calibri"/>
                <w:iCs/>
                <w:sz w:val="18"/>
                <w:szCs w:val="18"/>
              </w:rPr>
              <w:t xml:space="preserve"> the effective ways of implementing the project is conducted</w:t>
            </w:r>
          </w:p>
        </w:tc>
        <w:tc>
          <w:tcPr>
            <w:tcW w:w="249" w:type="pct"/>
            <w:vAlign w:val="center"/>
          </w:tcPr>
          <w:p w:rsidR="004446DB" w:rsidRDefault="004446DB" w:rsidP="00014B6D">
            <w:r>
              <w:t xml:space="preserve"> X</w:t>
            </w:r>
          </w:p>
        </w:tc>
        <w:tc>
          <w:tcPr>
            <w:tcW w:w="222" w:type="pct"/>
            <w:vAlign w:val="center"/>
          </w:tcPr>
          <w:p w:rsidR="004446DB" w:rsidRDefault="004446DB" w:rsidP="00014B6D"/>
        </w:tc>
        <w:tc>
          <w:tcPr>
            <w:tcW w:w="258" w:type="pct"/>
            <w:vAlign w:val="center"/>
          </w:tcPr>
          <w:p w:rsidR="004446DB" w:rsidRDefault="004446DB" w:rsidP="00014B6D"/>
        </w:tc>
        <w:tc>
          <w:tcPr>
            <w:tcW w:w="219" w:type="pct"/>
            <w:vAlign w:val="center"/>
          </w:tcPr>
          <w:p w:rsidR="004446DB" w:rsidRDefault="004446DB" w:rsidP="00014B6D"/>
        </w:tc>
        <w:tc>
          <w:tcPr>
            <w:tcW w:w="654" w:type="pct"/>
          </w:tcPr>
          <w:p w:rsidR="004446DB" w:rsidRPr="00A26B33" w:rsidRDefault="004446DB" w:rsidP="00014B6D">
            <w:pPr>
              <w:rPr>
                <w:rFonts w:ascii="Calibri" w:hAnsi="Calibri" w:cs="Calibri"/>
                <w:sz w:val="18"/>
                <w:szCs w:val="18"/>
              </w:rPr>
            </w:pPr>
            <w:r>
              <w:rPr>
                <w:rFonts w:ascii="Calibri" w:hAnsi="Calibri" w:cs="Calibri"/>
                <w:sz w:val="18"/>
                <w:szCs w:val="18"/>
              </w:rPr>
              <w:t>25 000</w:t>
            </w:r>
            <w:r w:rsidRPr="00A26B33">
              <w:rPr>
                <w:rFonts w:ascii="Calibri" w:hAnsi="Calibri" w:cs="Calibri"/>
                <w:sz w:val="18"/>
                <w:szCs w:val="18"/>
              </w:rPr>
              <w:t xml:space="preserve"> USD</w:t>
            </w:r>
          </w:p>
        </w:tc>
      </w:tr>
      <w:tr w:rsidR="004446DB" w:rsidTr="00A26B33">
        <w:trPr>
          <w:cantSplit/>
          <w:trHeight w:val="135"/>
        </w:trPr>
        <w:tc>
          <w:tcPr>
            <w:tcW w:w="3398" w:type="pct"/>
            <w:gridSpan w:val="8"/>
            <w:vAlign w:val="center"/>
          </w:tcPr>
          <w:p w:rsidR="004446DB" w:rsidRDefault="004446DB" w:rsidP="00014B6D">
            <w:pPr>
              <w:rPr>
                <w:iCs/>
                <w:sz w:val="16"/>
              </w:rPr>
            </w:pPr>
            <w:r>
              <w:rPr>
                <w:iCs/>
                <w:sz w:val="16"/>
              </w:rPr>
              <w:t>2. Activity</w:t>
            </w:r>
          </w:p>
          <w:p w:rsidR="004446DB" w:rsidRPr="00A26B33" w:rsidRDefault="004446DB" w:rsidP="00D14F92">
            <w:pPr>
              <w:rPr>
                <w:rFonts w:ascii="Calibri" w:hAnsi="Calibri" w:cs="Calibri"/>
                <w:i/>
                <w:iCs/>
                <w:sz w:val="18"/>
                <w:szCs w:val="18"/>
              </w:rPr>
            </w:pPr>
            <w:r>
              <w:rPr>
                <w:rFonts w:ascii="Calibri" w:hAnsi="Calibri" w:cs="Calibri"/>
                <w:iCs/>
                <w:sz w:val="18"/>
                <w:szCs w:val="18"/>
              </w:rPr>
              <w:t xml:space="preserve">    Conducting analytical studies and preparing the analytical documents by the groups       of experts on each of the conceopts </w:t>
            </w:r>
          </w:p>
        </w:tc>
        <w:tc>
          <w:tcPr>
            <w:tcW w:w="249" w:type="pct"/>
            <w:vAlign w:val="center"/>
          </w:tcPr>
          <w:p w:rsidR="004446DB" w:rsidRDefault="004446DB" w:rsidP="00014B6D">
            <w:r>
              <w:t xml:space="preserve"> X</w:t>
            </w:r>
          </w:p>
        </w:tc>
        <w:tc>
          <w:tcPr>
            <w:tcW w:w="222" w:type="pct"/>
            <w:vAlign w:val="center"/>
          </w:tcPr>
          <w:p w:rsidR="004446DB" w:rsidRDefault="004446DB" w:rsidP="00014B6D"/>
        </w:tc>
        <w:tc>
          <w:tcPr>
            <w:tcW w:w="258" w:type="pct"/>
            <w:vAlign w:val="center"/>
          </w:tcPr>
          <w:p w:rsidR="004446DB" w:rsidRDefault="004446DB" w:rsidP="00014B6D"/>
        </w:tc>
        <w:tc>
          <w:tcPr>
            <w:tcW w:w="219" w:type="pct"/>
            <w:vAlign w:val="center"/>
          </w:tcPr>
          <w:p w:rsidR="004446DB" w:rsidRDefault="004446DB" w:rsidP="00014B6D"/>
        </w:tc>
        <w:tc>
          <w:tcPr>
            <w:tcW w:w="654" w:type="pct"/>
          </w:tcPr>
          <w:p w:rsidR="004446DB" w:rsidRPr="00A26B33" w:rsidRDefault="004446DB" w:rsidP="00014B6D">
            <w:pPr>
              <w:rPr>
                <w:rFonts w:ascii="Calibri" w:hAnsi="Calibri" w:cs="Calibri"/>
                <w:sz w:val="18"/>
                <w:szCs w:val="18"/>
              </w:rPr>
            </w:pPr>
            <w:r>
              <w:rPr>
                <w:rFonts w:ascii="Calibri" w:hAnsi="Calibri" w:cs="Calibri"/>
                <w:sz w:val="18"/>
                <w:szCs w:val="18"/>
              </w:rPr>
              <w:t xml:space="preserve">40 </w:t>
            </w:r>
            <w:r w:rsidRPr="00A26B33">
              <w:rPr>
                <w:rFonts w:ascii="Calibri" w:hAnsi="Calibri" w:cs="Calibri"/>
                <w:sz w:val="18"/>
                <w:szCs w:val="18"/>
              </w:rPr>
              <w:t>000 USD</w:t>
            </w:r>
          </w:p>
        </w:tc>
      </w:tr>
      <w:tr w:rsidR="004446DB" w:rsidTr="00A26B33">
        <w:trPr>
          <w:cantSplit/>
          <w:trHeight w:val="90"/>
        </w:trPr>
        <w:tc>
          <w:tcPr>
            <w:tcW w:w="3398" w:type="pct"/>
            <w:gridSpan w:val="8"/>
            <w:vAlign w:val="center"/>
          </w:tcPr>
          <w:p w:rsidR="004446DB" w:rsidRDefault="004446DB" w:rsidP="00B10641">
            <w:pPr>
              <w:rPr>
                <w:iCs/>
                <w:sz w:val="16"/>
              </w:rPr>
            </w:pPr>
            <w:r>
              <w:rPr>
                <w:iCs/>
                <w:sz w:val="16"/>
              </w:rPr>
              <w:t>4. Activity</w:t>
            </w:r>
          </w:p>
          <w:p w:rsidR="004446DB" w:rsidRPr="00A26B33" w:rsidRDefault="004446DB" w:rsidP="00A26B33">
            <w:pPr>
              <w:ind w:left="129"/>
              <w:rPr>
                <w:rFonts w:ascii="Calibri" w:hAnsi="Calibri" w:cs="Calibri"/>
                <w:sz w:val="18"/>
                <w:szCs w:val="18"/>
              </w:rPr>
            </w:pPr>
            <w:r w:rsidRPr="00A26B33">
              <w:rPr>
                <w:rFonts w:ascii="Calibri" w:hAnsi="Calibri" w:cs="Calibri"/>
                <w:sz w:val="18"/>
                <w:szCs w:val="18"/>
              </w:rPr>
              <w:t>The round table on the main results of the research is carried out</w:t>
            </w:r>
          </w:p>
        </w:tc>
        <w:tc>
          <w:tcPr>
            <w:tcW w:w="249" w:type="pct"/>
            <w:vAlign w:val="center"/>
          </w:tcPr>
          <w:p w:rsidR="004446DB" w:rsidRDefault="004446DB" w:rsidP="00B10641"/>
        </w:tc>
        <w:tc>
          <w:tcPr>
            <w:tcW w:w="222" w:type="pct"/>
            <w:vAlign w:val="center"/>
          </w:tcPr>
          <w:p w:rsidR="004446DB" w:rsidRDefault="004446DB" w:rsidP="00B10641"/>
        </w:tc>
        <w:tc>
          <w:tcPr>
            <w:tcW w:w="258" w:type="pct"/>
            <w:vAlign w:val="center"/>
          </w:tcPr>
          <w:p w:rsidR="004446DB" w:rsidRDefault="004446DB" w:rsidP="00B10641">
            <w:r>
              <w:t>X</w:t>
            </w:r>
          </w:p>
        </w:tc>
        <w:tc>
          <w:tcPr>
            <w:tcW w:w="219" w:type="pct"/>
            <w:vAlign w:val="center"/>
          </w:tcPr>
          <w:p w:rsidR="004446DB" w:rsidRDefault="004446DB" w:rsidP="00B10641"/>
        </w:tc>
        <w:tc>
          <w:tcPr>
            <w:tcW w:w="654" w:type="pct"/>
          </w:tcPr>
          <w:p w:rsidR="004446DB" w:rsidRPr="00A26B33" w:rsidRDefault="004446DB" w:rsidP="00B10641">
            <w:pPr>
              <w:rPr>
                <w:rFonts w:ascii="Calibri" w:hAnsi="Calibri" w:cs="Calibri"/>
                <w:sz w:val="18"/>
                <w:szCs w:val="18"/>
              </w:rPr>
            </w:pPr>
            <w:r>
              <w:rPr>
                <w:rFonts w:ascii="Calibri" w:hAnsi="Calibri" w:cs="Calibri"/>
                <w:sz w:val="18"/>
                <w:szCs w:val="18"/>
              </w:rPr>
              <w:t>3</w:t>
            </w:r>
            <w:r w:rsidRPr="00A26B33">
              <w:rPr>
                <w:rFonts w:ascii="Calibri" w:hAnsi="Calibri" w:cs="Calibri"/>
                <w:sz w:val="18"/>
                <w:szCs w:val="18"/>
              </w:rPr>
              <w:t>000 USD</w:t>
            </w:r>
          </w:p>
        </w:tc>
      </w:tr>
      <w:tr w:rsidR="004446DB" w:rsidTr="00A26B33">
        <w:trPr>
          <w:cantSplit/>
          <w:trHeight w:val="90"/>
        </w:trPr>
        <w:tc>
          <w:tcPr>
            <w:tcW w:w="3398" w:type="pct"/>
            <w:gridSpan w:val="8"/>
            <w:vAlign w:val="center"/>
          </w:tcPr>
          <w:p w:rsidR="004446DB" w:rsidRDefault="004446DB" w:rsidP="00B10641">
            <w:pPr>
              <w:rPr>
                <w:iCs/>
                <w:sz w:val="16"/>
              </w:rPr>
            </w:pPr>
            <w:r>
              <w:rPr>
                <w:iCs/>
                <w:sz w:val="16"/>
              </w:rPr>
              <w:t xml:space="preserve">5. Activity </w:t>
            </w:r>
          </w:p>
          <w:p w:rsidR="004446DB" w:rsidRPr="00A26B33" w:rsidRDefault="004446DB" w:rsidP="00D14F92">
            <w:pPr>
              <w:ind w:left="129"/>
              <w:rPr>
                <w:rFonts w:ascii="Calibri" w:hAnsi="Calibri" w:cs="Calibri"/>
                <w:iCs/>
                <w:sz w:val="18"/>
                <w:szCs w:val="18"/>
              </w:rPr>
            </w:pPr>
            <w:r>
              <w:rPr>
                <w:rFonts w:ascii="Calibri" w:hAnsi="Calibri" w:cs="Calibri"/>
                <w:iCs/>
                <w:sz w:val="18"/>
                <w:szCs w:val="18"/>
              </w:rPr>
              <w:t xml:space="preserve">Development of presentation of the prepared concept notes. </w:t>
            </w:r>
          </w:p>
        </w:tc>
        <w:tc>
          <w:tcPr>
            <w:tcW w:w="249" w:type="pct"/>
            <w:vAlign w:val="center"/>
          </w:tcPr>
          <w:p w:rsidR="004446DB" w:rsidRDefault="004446DB" w:rsidP="00B10641"/>
        </w:tc>
        <w:tc>
          <w:tcPr>
            <w:tcW w:w="222" w:type="pct"/>
            <w:vAlign w:val="center"/>
          </w:tcPr>
          <w:p w:rsidR="004446DB" w:rsidRDefault="004446DB" w:rsidP="00B10641"/>
        </w:tc>
        <w:tc>
          <w:tcPr>
            <w:tcW w:w="258" w:type="pct"/>
            <w:vAlign w:val="center"/>
          </w:tcPr>
          <w:p w:rsidR="004446DB" w:rsidRDefault="004446DB" w:rsidP="00B10641"/>
        </w:tc>
        <w:tc>
          <w:tcPr>
            <w:tcW w:w="219" w:type="pct"/>
            <w:vAlign w:val="center"/>
          </w:tcPr>
          <w:p w:rsidR="004446DB" w:rsidRDefault="004446DB" w:rsidP="00B10641">
            <w:r>
              <w:t>X</w:t>
            </w:r>
          </w:p>
        </w:tc>
        <w:tc>
          <w:tcPr>
            <w:tcW w:w="654" w:type="pct"/>
          </w:tcPr>
          <w:p w:rsidR="004446DB" w:rsidRPr="00A26B33" w:rsidRDefault="004446DB" w:rsidP="00B10641">
            <w:pPr>
              <w:rPr>
                <w:rFonts w:ascii="Calibri" w:hAnsi="Calibri" w:cs="Calibri"/>
                <w:sz w:val="18"/>
                <w:szCs w:val="18"/>
              </w:rPr>
            </w:pPr>
            <w:r>
              <w:rPr>
                <w:rFonts w:ascii="Calibri" w:hAnsi="Calibri" w:cs="Calibri"/>
                <w:sz w:val="18"/>
                <w:szCs w:val="18"/>
              </w:rPr>
              <w:t>1</w:t>
            </w:r>
            <w:r w:rsidRPr="00A26B33">
              <w:rPr>
                <w:rFonts w:ascii="Calibri" w:hAnsi="Calibri" w:cs="Calibri"/>
                <w:sz w:val="18"/>
                <w:szCs w:val="18"/>
              </w:rPr>
              <w:t>000 USD</w:t>
            </w:r>
          </w:p>
        </w:tc>
      </w:tr>
      <w:tr w:rsidR="004446DB" w:rsidTr="00A26B33">
        <w:trPr>
          <w:cantSplit/>
          <w:trHeight w:val="90"/>
        </w:trPr>
        <w:tc>
          <w:tcPr>
            <w:tcW w:w="419" w:type="pct"/>
            <w:shd w:val="clear" w:color="auto" w:fill="CCCCCC"/>
          </w:tcPr>
          <w:p w:rsidR="004446DB" w:rsidRDefault="004446DB" w:rsidP="00B10641">
            <w:r>
              <w:t>TOTAL</w:t>
            </w:r>
          </w:p>
        </w:tc>
        <w:tc>
          <w:tcPr>
            <w:tcW w:w="1321" w:type="pct"/>
            <w:tcBorders>
              <w:right w:val="nil"/>
            </w:tcBorders>
            <w:shd w:val="thinDiagCross" w:color="auto" w:fill="CCCCCC"/>
          </w:tcPr>
          <w:p w:rsidR="004446DB" w:rsidRDefault="004446DB" w:rsidP="00B10641"/>
        </w:tc>
        <w:tc>
          <w:tcPr>
            <w:tcW w:w="208" w:type="pct"/>
            <w:tcBorders>
              <w:left w:val="nil"/>
              <w:right w:val="nil"/>
            </w:tcBorders>
            <w:shd w:val="thinDiagCross" w:color="auto" w:fill="CCCCCC"/>
          </w:tcPr>
          <w:p w:rsidR="004446DB" w:rsidRDefault="004446DB" w:rsidP="00B10641"/>
        </w:tc>
        <w:tc>
          <w:tcPr>
            <w:tcW w:w="207" w:type="pct"/>
            <w:tcBorders>
              <w:left w:val="nil"/>
              <w:right w:val="nil"/>
            </w:tcBorders>
            <w:shd w:val="thinDiagCross" w:color="auto" w:fill="CCCCCC"/>
          </w:tcPr>
          <w:p w:rsidR="004446DB" w:rsidRDefault="004446DB" w:rsidP="00B10641"/>
        </w:tc>
        <w:tc>
          <w:tcPr>
            <w:tcW w:w="207" w:type="pct"/>
            <w:tcBorders>
              <w:left w:val="nil"/>
              <w:right w:val="nil"/>
            </w:tcBorders>
            <w:shd w:val="thinDiagCross" w:color="auto" w:fill="CCCCCC"/>
          </w:tcPr>
          <w:p w:rsidR="004446DB" w:rsidRDefault="004446DB" w:rsidP="00B10641"/>
        </w:tc>
        <w:tc>
          <w:tcPr>
            <w:tcW w:w="207" w:type="pct"/>
            <w:tcBorders>
              <w:left w:val="nil"/>
              <w:right w:val="nil"/>
            </w:tcBorders>
            <w:shd w:val="thinDiagCross" w:color="auto" w:fill="CCCCCC"/>
          </w:tcPr>
          <w:p w:rsidR="004446DB" w:rsidRDefault="004446DB" w:rsidP="00B10641"/>
        </w:tc>
        <w:tc>
          <w:tcPr>
            <w:tcW w:w="691" w:type="pct"/>
            <w:tcBorders>
              <w:left w:val="nil"/>
              <w:right w:val="nil"/>
            </w:tcBorders>
            <w:shd w:val="thinDiagCross" w:color="auto" w:fill="CCCCCC"/>
          </w:tcPr>
          <w:p w:rsidR="004446DB" w:rsidRDefault="004446DB" w:rsidP="00B10641"/>
        </w:tc>
        <w:tc>
          <w:tcPr>
            <w:tcW w:w="138" w:type="pct"/>
            <w:tcBorders>
              <w:left w:val="nil"/>
            </w:tcBorders>
            <w:shd w:val="thinDiagCross" w:color="auto" w:fill="CCCCCC"/>
          </w:tcPr>
          <w:p w:rsidR="004446DB" w:rsidRDefault="004446DB" w:rsidP="00B10641"/>
        </w:tc>
        <w:tc>
          <w:tcPr>
            <w:tcW w:w="948" w:type="pct"/>
            <w:gridSpan w:val="4"/>
            <w:shd w:val="clear" w:color="auto" w:fill="CCCCCC"/>
          </w:tcPr>
          <w:p w:rsidR="004446DB" w:rsidRDefault="004446DB" w:rsidP="00B10641"/>
        </w:tc>
        <w:tc>
          <w:tcPr>
            <w:tcW w:w="654" w:type="pct"/>
            <w:shd w:val="clear" w:color="auto" w:fill="CCCCCC"/>
          </w:tcPr>
          <w:p w:rsidR="004446DB" w:rsidRPr="00A26B33" w:rsidRDefault="004446DB" w:rsidP="00C75783">
            <w:pPr>
              <w:rPr>
                <w:rFonts w:ascii="Calibri" w:hAnsi="Calibri" w:cs="Calibri"/>
                <w:sz w:val="18"/>
                <w:szCs w:val="18"/>
              </w:rPr>
            </w:pPr>
            <w:r>
              <w:rPr>
                <w:rFonts w:ascii="Calibri" w:hAnsi="Calibri" w:cs="Calibri"/>
                <w:sz w:val="18"/>
                <w:szCs w:val="18"/>
              </w:rPr>
              <w:t>99 000</w:t>
            </w:r>
            <w:r w:rsidRPr="00A26B33">
              <w:rPr>
                <w:rFonts w:ascii="Calibri" w:hAnsi="Calibri" w:cs="Calibri"/>
                <w:sz w:val="18"/>
                <w:szCs w:val="18"/>
              </w:rPr>
              <w:t xml:space="preserve"> USD</w:t>
            </w:r>
          </w:p>
        </w:tc>
      </w:tr>
      <w:bookmarkEnd w:id="0"/>
      <w:bookmarkEnd w:id="1"/>
    </w:tbl>
    <w:p w:rsidR="004446DB" w:rsidRDefault="004446DB" w:rsidP="00F26F50">
      <w:pPr>
        <w:rPr>
          <w:lang w:val="en-US"/>
        </w:rPr>
      </w:pPr>
    </w:p>
    <w:p w:rsidR="004446DB" w:rsidRDefault="004446DB" w:rsidP="00F26F50">
      <w:pPr>
        <w:rPr>
          <w:lang w:val="en-US"/>
        </w:rPr>
      </w:pPr>
    </w:p>
    <w:p w:rsidR="004446DB" w:rsidRDefault="004446DB" w:rsidP="00F26F50">
      <w:pPr>
        <w:rPr>
          <w:lang w:val="en-US"/>
        </w:rPr>
      </w:pPr>
    </w:p>
    <w:p w:rsidR="004446DB" w:rsidRDefault="004446DB" w:rsidP="00F26F50">
      <w:pPr>
        <w:rPr>
          <w:lang w:val="en-US"/>
        </w:rPr>
      </w:pPr>
    </w:p>
    <w:sectPr w:rsidR="004446DB" w:rsidSect="004A379F">
      <w:headerReference w:type="first" r:id="rId9"/>
      <w:pgSz w:w="11907" w:h="16840" w:code="9"/>
      <w:pgMar w:top="850" w:right="1440" w:bottom="850" w:left="1440" w:header="677"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DB" w:rsidRDefault="004446DB">
      <w:r>
        <w:separator/>
      </w:r>
    </w:p>
  </w:endnote>
  <w:endnote w:type="continuationSeparator" w:id="0">
    <w:p w:rsidR="004446DB" w:rsidRDefault="004446D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DB" w:rsidRDefault="004446DB">
      <w:r>
        <w:separator/>
      </w:r>
    </w:p>
  </w:footnote>
  <w:footnote w:type="continuationSeparator" w:id="0">
    <w:p w:rsidR="004446DB" w:rsidRDefault="00444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DB" w:rsidRPr="004A7FA6" w:rsidRDefault="004446DB" w:rsidP="004A7FA6">
    <w:pPr>
      <w:pStyle w:val="Header"/>
    </w:pPr>
    <w:r>
      <w:t>Aid for Trade Project Concept Notes for the SPECA Region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abstractNum w:abstractNumId="0">
    <w:nsid w:val="0B37670F"/>
    <w:multiLevelType w:val="multilevel"/>
    <w:tmpl w:val="E550E2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076A76"/>
    <w:multiLevelType w:val="multilevel"/>
    <w:tmpl w:val="9D206D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00C3DD5"/>
    <w:multiLevelType w:val="multilevel"/>
    <w:tmpl w:val="CF1ACF2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019C6"/>
    <w:multiLevelType w:val="hybridMultilevel"/>
    <w:tmpl w:val="3F4C9114"/>
    <w:lvl w:ilvl="0" w:tplc="FFFFFFFF">
      <w:start w:val="1"/>
      <w:numFmt w:val="decimal"/>
      <w:lvlText w:val="%1."/>
      <w:lvlJc w:val="left"/>
      <w:pPr>
        <w:tabs>
          <w:tab w:val="num" w:pos="1065"/>
        </w:tabs>
        <w:ind w:left="1065" w:hanging="705"/>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83679CA"/>
    <w:multiLevelType w:val="hybridMultilevel"/>
    <w:tmpl w:val="35764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63949"/>
    <w:multiLevelType w:val="hybridMultilevel"/>
    <w:tmpl w:val="81B69A7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C23EB"/>
    <w:multiLevelType w:val="hybridMultilevel"/>
    <w:tmpl w:val="48F8B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B32ED"/>
    <w:multiLevelType w:val="hybridMultilevel"/>
    <w:tmpl w:val="A2C83C8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870115"/>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nsid w:val="37847F77"/>
    <w:multiLevelType w:val="hybridMultilevel"/>
    <w:tmpl w:val="C16A9E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F2871"/>
    <w:multiLevelType w:val="hybridMultilevel"/>
    <w:tmpl w:val="5E6A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604D5C"/>
    <w:multiLevelType w:val="hybridMultilevel"/>
    <w:tmpl w:val="F912BF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4A67B3"/>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DC29D2"/>
    <w:multiLevelType w:val="hybridMultilevel"/>
    <w:tmpl w:val="E76EE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543623"/>
    <w:multiLevelType w:val="multilevel"/>
    <w:tmpl w:val="2420619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421CF"/>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ECE5FFB"/>
    <w:multiLevelType w:val="hybridMultilevel"/>
    <w:tmpl w:val="F294D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FC560B"/>
    <w:multiLevelType w:val="hybridMultilevel"/>
    <w:tmpl w:val="997A5BD0"/>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381421"/>
    <w:multiLevelType w:val="hybridMultilevel"/>
    <w:tmpl w:val="DF844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496D3B"/>
    <w:multiLevelType w:val="hybridMultilevel"/>
    <w:tmpl w:val="82C8900C"/>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20">
    <w:nsid w:val="79323D38"/>
    <w:multiLevelType w:val="hybridMultilevel"/>
    <w:tmpl w:val="BF940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390E6E"/>
    <w:multiLevelType w:val="hybridMultilevel"/>
    <w:tmpl w:val="763E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900D34"/>
    <w:multiLevelType w:val="multilevel"/>
    <w:tmpl w:val="7FC2A25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BE789A"/>
    <w:multiLevelType w:val="hybridMultilevel"/>
    <w:tmpl w:val="07CA4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5"/>
  </w:num>
  <w:num w:numId="4">
    <w:abstractNumId w:val="9"/>
  </w:num>
  <w:num w:numId="5">
    <w:abstractNumId w:val="6"/>
  </w:num>
  <w:num w:numId="6">
    <w:abstractNumId w:val="8"/>
  </w:num>
  <w:num w:numId="7">
    <w:abstractNumId w:val="18"/>
  </w:num>
  <w:num w:numId="8">
    <w:abstractNumId w:val="21"/>
  </w:num>
  <w:num w:numId="9">
    <w:abstractNumId w:val="23"/>
  </w:num>
  <w:num w:numId="10">
    <w:abstractNumId w:val="11"/>
  </w:num>
  <w:num w:numId="11">
    <w:abstractNumId w:val="16"/>
  </w:num>
  <w:num w:numId="12">
    <w:abstractNumId w:val="19"/>
  </w:num>
  <w:num w:numId="13">
    <w:abstractNumId w:val="22"/>
  </w:num>
  <w:num w:numId="14">
    <w:abstractNumId w:val="14"/>
  </w:num>
  <w:num w:numId="15">
    <w:abstractNumId w:val="2"/>
  </w:num>
  <w:num w:numId="16">
    <w:abstractNumId w:val="1"/>
  </w:num>
  <w:num w:numId="17">
    <w:abstractNumId w:val="8"/>
  </w:num>
  <w:num w:numId="18">
    <w:abstractNumId w:val="8"/>
  </w:num>
  <w:num w:numId="19">
    <w:abstractNumId w:val="8"/>
  </w:num>
  <w:num w:numId="20">
    <w:abstractNumId w:val="3"/>
  </w:num>
  <w:num w:numId="21">
    <w:abstractNumId w:val="13"/>
  </w:num>
  <w:num w:numId="22">
    <w:abstractNumId w:val="20"/>
  </w:num>
  <w:num w:numId="23">
    <w:abstractNumId w:val="4"/>
  </w:num>
  <w:num w:numId="24">
    <w:abstractNumId w:val="10"/>
  </w:num>
  <w:num w:numId="25">
    <w:abstractNumId w:val="8"/>
  </w:num>
  <w:num w:numId="26">
    <w:abstractNumId w:val="8"/>
  </w:num>
  <w:num w:numId="27">
    <w:abstractNumId w:val="8"/>
  </w:num>
  <w:num w:numId="28">
    <w:abstractNumId w:val="0"/>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15"/>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72D"/>
    <w:rsid w:val="00002AB3"/>
    <w:rsid w:val="00002CCB"/>
    <w:rsid w:val="000047C0"/>
    <w:rsid w:val="00005AF7"/>
    <w:rsid w:val="00014364"/>
    <w:rsid w:val="00014B6D"/>
    <w:rsid w:val="00016A9F"/>
    <w:rsid w:val="00016D27"/>
    <w:rsid w:val="00017B02"/>
    <w:rsid w:val="00022234"/>
    <w:rsid w:val="00023D78"/>
    <w:rsid w:val="00026687"/>
    <w:rsid w:val="000300A5"/>
    <w:rsid w:val="00033F4E"/>
    <w:rsid w:val="000344B7"/>
    <w:rsid w:val="000371EE"/>
    <w:rsid w:val="00041DEC"/>
    <w:rsid w:val="00044960"/>
    <w:rsid w:val="000471B5"/>
    <w:rsid w:val="0005206C"/>
    <w:rsid w:val="00052551"/>
    <w:rsid w:val="00061CF3"/>
    <w:rsid w:val="00062186"/>
    <w:rsid w:val="00067CA6"/>
    <w:rsid w:val="00070F42"/>
    <w:rsid w:val="00074CB4"/>
    <w:rsid w:val="00083BC9"/>
    <w:rsid w:val="00085286"/>
    <w:rsid w:val="00085D82"/>
    <w:rsid w:val="0009304D"/>
    <w:rsid w:val="00093525"/>
    <w:rsid w:val="00096C15"/>
    <w:rsid w:val="000A17AE"/>
    <w:rsid w:val="000A3F76"/>
    <w:rsid w:val="000A4F3D"/>
    <w:rsid w:val="000A7995"/>
    <w:rsid w:val="000B6356"/>
    <w:rsid w:val="000C1F12"/>
    <w:rsid w:val="000C5953"/>
    <w:rsid w:val="000E77B9"/>
    <w:rsid w:val="000F0EF7"/>
    <w:rsid w:val="000F3777"/>
    <w:rsid w:val="000F6C19"/>
    <w:rsid w:val="000F7AD0"/>
    <w:rsid w:val="00103E58"/>
    <w:rsid w:val="00112357"/>
    <w:rsid w:val="001130E8"/>
    <w:rsid w:val="00130099"/>
    <w:rsid w:val="001350D6"/>
    <w:rsid w:val="0013723C"/>
    <w:rsid w:val="00137C6D"/>
    <w:rsid w:val="0014072D"/>
    <w:rsid w:val="001412BF"/>
    <w:rsid w:val="001460BA"/>
    <w:rsid w:val="00151F84"/>
    <w:rsid w:val="001607B9"/>
    <w:rsid w:val="0016330F"/>
    <w:rsid w:val="00163602"/>
    <w:rsid w:val="001739F8"/>
    <w:rsid w:val="00176B6B"/>
    <w:rsid w:val="00185E2A"/>
    <w:rsid w:val="00193482"/>
    <w:rsid w:val="001A3734"/>
    <w:rsid w:val="001A7D4F"/>
    <w:rsid w:val="001B0E88"/>
    <w:rsid w:val="001C226F"/>
    <w:rsid w:val="001C549A"/>
    <w:rsid w:val="001C54A0"/>
    <w:rsid w:val="001D2B7F"/>
    <w:rsid w:val="001D5106"/>
    <w:rsid w:val="001D5908"/>
    <w:rsid w:val="001E7B97"/>
    <w:rsid w:val="001F5679"/>
    <w:rsid w:val="00203C86"/>
    <w:rsid w:val="00210C0F"/>
    <w:rsid w:val="002140C9"/>
    <w:rsid w:val="0022001A"/>
    <w:rsid w:val="0022235C"/>
    <w:rsid w:val="00222815"/>
    <w:rsid w:val="00225EC1"/>
    <w:rsid w:val="0023356F"/>
    <w:rsid w:val="0024086C"/>
    <w:rsid w:val="002439B8"/>
    <w:rsid w:val="00244842"/>
    <w:rsid w:val="00245319"/>
    <w:rsid w:val="002454B5"/>
    <w:rsid w:val="00252C81"/>
    <w:rsid w:val="00253AA8"/>
    <w:rsid w:val="00254AC9"/>
    <w:rsid w:val="00261665"/>
    <w:rsid w:val="00261B05"/>
    <w:rsid w:val="00262FC8"/>
    <w:rsid w:val="00271A77"/>
    <w:rsid w:val="0027774C"/>
    <w:rsid w:val="002777EE"/>
    <w:rsid w:val="00277A94"/>
    <w:rsid w:val="00283E13"/>
    <w:rsid w:val="00283EF4"/>
    <w:rsid w:val="0028437B"/>
    <w:rsid w:val="0029637C"/>
    <w:rsid w:val="002A6C54"/>
    <w:rsid w:val="002B1D0D"/>
    <w:rsid w:val="002D00BB"/>
    <w:rsid w:val="002D0397"/>
    <w:rsid w:val="002D04D9"/>
    <w:rsid w:val="002D2377"/>
    <w:rsid w:val="002E00B2"/>
    <w:rsid w:val="002E0BCE"/>
    <w:rsid w:val="002F026A"/>
    <w:rsid w:val="002F2152"/>
    <w:rsid w:val="002F3E26"/>
    <w:rsid w:val="002F7CCD"/>
    <w:rsid w:val="003043CF"/>
    <w:rsid w:val="0031106A"/>
    <w:rsid w:val="00311D9E"/>
    <w:rsid w:val="00330453"/>
    <w:rsid w:val="003339B9"/>
    <w:rsid w:val="003344A2"/>
    <w:rsid w:val="00336F2E"/>
    <w:rsid w:val="00342395"/>
    <w:rsid w:val="00344F7E"/>
    <w:rsid w:val="00345F6F"/>
    <w:rsid w:val="0035403A"/>
    <w:rsid w:val="00357143"/>
    <w:rsid w:val="00357F2E"/>
    <w:rsid w:val="003614A6"/>
    <w:rsid w:val="00361EDE"/>
    <w:rsid w:val="00361EEB"/>
    <w:rsid w:val="0036486D"/>
    <w:rsid w:val="003726C4"/>
    <w:rsid w:val="00386662"/>
    <w:rsid w:val="003877C6"/>
    <w:rsid w:val="003946FB"/>
    <w:rsid w:val="003A6D65"/>
    <w:rsid w:val="003A7007"/>
    <w:rsid w:val="003B0253"/>
    <w:rsid w:val="003B2A0D"/>
    <w:rsid w:val="003C1E4C"/>
    <w:rsid w:val="003C3848"/>
    <w:rsid w:val="003C3E6D"/>
    <w:rsid w:val="003E0288"/>
    <w:rsid w:val="003F05CB"/>
    <w:rsid w:val="003F3673"/>
    <w:rsid w:val="003F4A2A"/>
    <w:rsid w:val="003F61C5"/>
    <w:rsid w:val="004073E5"/>
    <w:rsid w:val="00410CB3"/>
    <w:rsid w:val="00411D11"/>
    <w:rsid w:val="004157DB"/>
    <w:rsid w:val="00416E8B"/>
    <w:rsid w:val="004211C6"/>
    <w:rsid w:val="0042307B"/>
    <w:rsid w:val="004244E4"/>
    <w:rsid w:val="00427A8F"/>
    <w:rsid w:val="00432B1C"/>
    <w:rsid w:val="00435F2B"/>
    <w:rsid w:val="00440690"/>
    <w:rsid w:val="00442885"/>
    <w:rsid w:val="00443DAA"/>
    <w:rsid w:val="004446DB"/>
    <w:rsid w:val="00452FE5"/>
    <w:rsid w:val="0047232D"/>
    <w:rsid w:val="00486D0F"/>
    <w:rsid w:val="00492DE7"/>
    <w:rsid w:val="00497C96"/>
    <w:rsid w:val="004A09EF"/>
    <w:rsid w:val="004A379F"/>
    <w:rsid w:val="004A3E84"/>
    <w:rsid w:val="004A70E9"/>
    <w:rsid w:val="004A7FA6"/>
    <w:rsid w:val="004B3B6E"/>
    <w:rsid w:val="004B4E63"/>
    <w:rsid w:val="004B6936"/>
    <w:rsid w:val="004C16B4"/>
    <w:rsid w:val="004C2201"/>
    <w:rsid w:val="004C3047"/>
    <w:rsid w:val="004C6A39"/>
    <w:rsid w:val="004C7830"/>
    <w:rsid w:val="004D1227"/>
    <w:rsid w:val="004D2E5D"/>
    <w:rsid w:val="004D3A1B"/>
    <w:rsid w:val="004D5DAF"/>
    <w:rsid w:val="004F3AF7"/>
    <w:rsid w:val="0050124C"/>
    <w:rsid w:val="00501F96"/>
    <w:rsid w:val="00502619"/>
    <w:rsid w:val="00502B51"/>
    <w:rsid w:val="0050394C"/>
    <w:rsid w:val="00504112"/>
    <w:rsid w:val="00505D9D"/>
    <w:rsid w:val="00506934"/>
    <w:rsid w:val="00510AD7"/>
    <w:rsid w:val="00510F7B"/>
    <w:rsid w:val="005111F9"/>
    <w:rsid w:val="00514455"/>
    <w:rsid w:val="00515AC6"/>
    <w:rsid w:val="005305A9"/>
    <w:rsid w:val="005371D9"/>
    <w:rsid w:val="0055041C"/>
    <w:rsid w:val="005506C0"/>
    <w:rsid w:val="00550D20"/>
    <w:rsid w:val="0055594D"/>
    <w:rsid w:val="005562F4"/>
    <w:rsid w:val="00557848"/>
    <w:rsid w:val="00565ABD"/>
    <w:rsid w:val="005663A6"/>
    <w:rsid w:val="00567B37"/>
    <w:rsid w:val="00570B7A"/>
    <w:rsid w:val="00576982"/>
    <w:rsid w:val="005845CE"/>
    <w:rsid w:val="005853F5"/>
    <w:rsid w:val="00590DE1"/>
    <w:rsid w:val="005A3B70"/>
    <w:rsid w:val="005A4702"/>
    <w:rsid w:val="005A5860"/>
    <w:rsid w:val="005B0BAB"/>
    <w:rsid w:val="005B7543"/>
    <w:rsid w:val="005D05B7"/>
    <w:rsid w:val="005D081A"/>
    <w:rsid w:val="005D0C6B"/>
    <w:rsid w:val="005D315C"/>
    <w:rsid w:val="005D3ABA"/>
    <w:rsid w:val="005D4228"/>
    <w:rsid w:val="005E0D12"/>
    <w:rsid w:val="005E0FD2"/>
    <w:rsid w:val="005E723E"/>
    <w:rsid w:val="0061315D"/>
    <w:rsid w:val="00615CF2"/>
    <w:rsid w:val="00621E13"/>
    <w:rsid w:val="00625944"/>
    <w:rsid w:val="00626721"/>
    <w:rsid w:val="00627EF2"/>
    <w:rsid w:val="00630118"/>
    <w:rsid w:val="00630837"/>
    <w:rsid w:val="006324BD"/>
    <w:rsid w:val="006348BF"/>
    <w:rsid w:val="00635B57"/>
    <w:rsid w:val="006362AA"/>
    <w:rsid w:val="00636B67"/>
    <w:rsid w:val="00637DF8"/>
    <w:rsid w:val="006418A1"/>
    <w:rsid w:val="0064669F"/>
    <w:rsid w:val="0065064F"/>
    <w:rsid w:val="00652AD8"/>
    <w:rsid w:val="00656186"/>
    <w:rsid w:val="0066186F"/>
    <w:rsid w:val="006652C1"/>
    <w:rsid w:val="00680F52"/>
    <w:rsid w:val="00682EEC"/>
    <w:rsid w:val="00683515"/>
    <w:rsid w:val="00686106"/>
    <w:rsid w:val="00686B42"/>
    <w:rsid w:val="00687DA6"/>
    <w:rsid w:val="00693A1E"/>
    <w:rsid w:val="0069421C"/>
    <w:rsid w:val="006A003C"/>
    <w:rsid w:val="006A00FD"/>
    <w:rsid w:val="006A338C"/>
    <w:rsid w:val="006A38A8"/>
    <w:rsid w:val="006A4A9C"/>
    <w:rsid w:val="006A649C"/>
    <w:rsid w:val="006A7413"/>
    <w:rsid w:val="006B2507"/>
    <w:rsid w:val="006C4064"/>
    <w:rsid w:val="006D1226"/>
    <w:rsid w:val="006D18D3"/>
    <w:rsid w:val="006D56B5"/>
    <w:rsid w:val="006E2DEC"/>
    <w:rsid w:val="006E44D9"/>
    <w:rsid w:val="006E5331"/>
    <w:rsid w:val="006F0DF4"/>
    <w:rsid w:val="006F1613"/>
    <w:rsid w:val="006F174B"/>
    <w:rsid w:val="00700B5F"/>
    <w:rsid w:val="00704971"/>
    <w:rsid w:val="007052B2"/>
    <w:rsid w:val="007167B0"/>
    <w:rsid w:val="00717264"/>
    <w:rsid w:val="007211C5"/>
    <w:rsid w:val="00732F52"/>
    <w:rsid w:val="00745AB8"/>
    <w:rsid w:val="00747DE9"/>
    <w:rsid w:val="00751D37"/>
    <w:rsid w:val="00752566"/>
    <w:rsid w:val="00752D1A"/>
    <w:rsid w:val="00756DEC"/>
    <w:rsid w:val="00763ABB"/>
    <w:rsid w:val="00765971"/>
    <w:rsid w:val="007669A3"/>
    <w:rsid w:val="0077594B"/>
    <w:rsid w:val="00776D30"/>
    <w:rsid w:val="007804D3"/>
    <w:rsid w:val="00780AD1"/>
    <w:rsid w:val="007878A9"/>
    <w:rsid w:val="00792744"/>
    <w:rsid w:val="007931B0"/>
    <w:rsid w:val="007A2C90"/>
    <w:rsid w:val="007A315A"/>
    <w:rsid w:val="007B08D6"/>
    <w:rsid w:val="007B1D5A"/>
    <w:rsid w:val="007B5379"/>
    <w:rsid w:val="007B7FF5"/>
    <w:rsid w:val="007C49CE"/>
    <w:rsid w:val="007C63E5"/>
    <w:rsid w:val="007D2C1D"/>
    <w:rsid w:val="007E3F6E"/>
    <w:rsid w:val="007E5B1C"/>
    <w:rsid w:val="007F089D"/>
    <w:rsid w:val="007F4509"/>
    <w:rsid w:val="008069E1"/>
    <w:rsid w:val="00810FFB"/>
    <w:rsid w:val="008129FF"/>
    <w:rsid w:val="0081469E"/>
    <w:rsid w:val="0081639D"/>
    <w:rsid w:val="008164F4"/>
    <w:rsid w:val="00830BCF"/>
    <w:rsid w:val="008329E2"/>
    <w:rsid w:val="00833183"/>
    <w:rsid w:val="00837390"/>
    <w:rsid w:val="00842898"/>
    <w:rsid w:val="00853B11"/>
    <w:rsid w:val="00854763"/>
    <w:rsid w:val="008613A9"/>
    <w:rsid w:val="0086531C"/>
    <w:rsid w:val="00870754"/>
    <w:rsid w:val="00876E64"/>
    <w:rsid w:val="008771A1"/>
    <w:rsid w:val="0088011F"/>
    <w:rsid w:val="0088061F"/>
    <w:rsid w:val="00894D47"/>
    <w:rsid w:val="00897EA6"/>
    <w:rsid w:val="00897F6B"/>
    <w:rsid w:val="008A22BA"/>
    <w:rsid w:val="008B46CB"/>
    <w:rsid w:val="008B6A98"/>
    <w:rsid w:val="008B7AFC"/>
    <w:rsid w:val="008C174E"/>
    <w:rsid w:val="008C23F5"/>
    <w:rsid w:val="008C29DE"/>
    <w:rsid w:val="008C43EC"/>
    <w:rsid w:val="008C47AD"/>
    <w:rsid w:val="008C7032"/>
    <w:rsid w:val="008C72D5"/>
    <w:rsid w:val="008D0A45"/>
    <w:rsid w:val="008D303C"/>
    <w:rsid w:val="008D5628"/>
    <w:rsid w:val="008F0EBB"/>
    <w:rsid w:val="00903D55"/>
    <w:rsid w:val="00914D63"/>
    <w:rsid w:val="00914DA5"/>
    <w:rsid w:val="009172ED"/>
    <w:rsid w:val="00921452"/>
    <w:rsid w:val="00930A76"/>
    <w:rsid w:val="00935438"/>
    <w:rsid w:val="00942928"/>
    <w:rsid w:val="009610F8"/>
    <w:rsid w:val="0096133C"/>
    <w:rsid w:val="0096596D"/>
    <w:rsid w:val="009669E5"/>
    <w:rsid w:val="00967D52"/>
    <w:rsid w:val="00970B70"/>
    <w:rsid w:val="00973DAB"/>
    <w:rsid w:val="00986C53"/>
    <w:rsid w:val="00987529"/>
    <w:rsid w:val="0099203C"/>
    <w:rsid w:val="00993610"/>
    <w:rsid w:val="00995FDD"/>
    <w:rsid w:val="00996685"/>
    <w:rsid w:val="009A271F"/>
    <w:rsid w:val="009A3672"/>
    <w:rsid w:val="009A45FB"/>
    <w:rsid w:val="009A5842"/>
    <w:rsid w:val="009B3A8D"/>
    <w:rsid w:val="009C54D1"/>
    <w:rsid w:val="009D4934"/>
    <w:rsid w:val="009D4EE3"/>
    <w:rsid w:val="009E0636"/>
    <w:rsid w:val="009E1701"/>
    <w:rsid w:val="009E1826"/>
    <w:rsid w:val="009F0ED6"/>
    <w:rsid w:val="009F11F5"/>
    <w:rsid w:val="009F1366"/>
    <w:rsid w:val="009F2C43"/>
    <w:rsid w:val="009F4AD1"/>
    <w:rsid w:val="009F6023"/>
    <w:rsid w:val="009F65BD"/>
    <w:rsid w:val="00A05D9F"/>
    <w:rsid w:val="00A20B91"/>
    <w:rsid w:val="00A22903"/>
    <w:rsid w:val="00A22DAB"/>
    <w:rsid w:val="00A25894"/>
    <w:rsid w:val="00A25D88"/>
    <w:rsid w:val="00A2674B"/>
    <w:rsid w:val="00A26B33"/>
    <w:rsid w:val="00A27A89"/>
    <w:rsid w:val="00A36DE2"/>
    <w:rsid w:val="00A407BB"/>
    <w:rsid w:val="00A4143C"/>
    <w:rsid w:val="00A42BD3"/>
    <w:rsid w:val="00A516ED"/>
    <w:rsid w:val="00A51BFA"/>
    <w:rsid w:val="00A535D0"/>
    <w:rsid w:val="00A60BCA"/>
    <w:rsid w:val="00A65261"/>
    <w:rsid w:val="00A657B8"/>
    <w:rsid w:val="00A6724F"/>
    <w:rsid w:val="00A73A92"/>
    <w:rsid w:val="00A8091A"/>
    <w:rsid w:val="00A83038"/>
    <w:rsid w:val="00A87B59"/>
    <w:rsid w:val="00A965A9"/>
    <w:rsid w:val="00A96DE7"/>
    <w:rsid w:val="00AA2BF2"/>
    <w:rsid w:val="00AA7240"/>
    <w:rsid w:val="00AB3999"/>
    <w:rsid w:val="00AC3F0D"/>
    <w:rsid w:val="00AC43C2"/>
    <w:rsid w:val="00AD30F8"/>
    <w:rsid w:val="00AD5767"/>
    <w:rsid w:val="00AE6BC8"/>
    <w:rsid w:val="00AE71C1"/>
    <w:rsid w:val="00AE7287"/>
    <w:rsid w:val="00AE733D"/>
    <w:rsid w:val="00AF0866"/>
    <w:rsid w:val="00AF0BE0"/>
    <w:rsid w:val="00AF69BC"/>
    <w:rsid w:val="00AF7BB5"/>
    <w:rsid w:val="00B02A09"/>
    <w:rsid w:val="00B10641"/>
    <w:rsid w:val="00B1341C"/>
    <w:rsid w:val="00B20212"/>
    <w:rsid w:val="00B2144E"/>
    <w:rsid w:val="00B21CFD"/>
    <w:rsid w:val="00B22EFE"/>
    <w:rsid w:val="00B2738F"/>
    <w:rsid w:val="00B34860"/>
    <w:rsid w:val="00B35C61"/>
    <w:rsid w:val="00B3701A"/>
    <w:rsid w:val="00B42448"/>
    <w:rsid w:val="00B474A0"/>
    <w:rsid w:val="00B53B8C"/>
    <w:rsid w:val="00B63B9E"/>
    <w:rsid w:val="00B63E90"/>
    <w:rsid w:val="00B6434C"/>
    <w:rsid w:val="00B64B6D"/>
    <w:rsid w:val="00B64F15"/>
    <w:rsid w:val="00B743CE"/>
    <w:rsid w:val="00B76AA6"/>
    <w:rsid w:val="00B821D1"/>
    <w:rsid w:val="00B84B53"/>
    <w:rsid w:val="00B84D63"/>
    <w:rsid w:val="00B85AE1"/>
    <w:rsid w:val="00B903D3"/>
    <w:rsid w:val="00B90C84"/>
    <w:rsid w:val="00B91789"/>
    <w:rsid w:val="00B94B47"/>
    <w:rsid w:val="00B956A4"/>
    <w:rsid w:val="00BA36BC"/>
    <w:rsid w:val="00BB1988"/>
    <w:rsid w:val="00BC7F5E"/>
    <w:rsid w:val="00BD365C"/>
    <w:rsid w:val="00BD46AE"/>
    <w:rsid w:val="00BD6668"/>
    <w:rsid w:val="00BE0875"/>
    <w:rsid w:val="00BE1356"/>
    <w:rsid w:val="00BE6282"/>
    <w:rsid w:val="00BF0C29"/>
    <w:rsid w:val="00BF309B"/>
    <w:rsid w:val="00C0098B"/>
    <w:rsid w:val="00C0662B"/>
    <w:rsid w:val="00C10D38"/>
    <w:rsid w:val="00C16B04"/>
    <w:rsid w:val="00C175E8"/>
    <w:rsid w:val="00C202B5"/>
    <w:rsid w:val="00C40F08"/>
    <w:rsid w:val="00C424D2"/>
    <w:rsid w:val="00C45147"/>
    <w:rsid w:val="00C469CC"/>
    <w:rsid w:val="00C50264"/>
    <w:rsid w:val="00C66A6B"/>
    <w:rsid w:val="00C676A7"/>
    <w:rsid w:val="00C71B8A"/>
    <w:rsid w:val="00C75783"/>
    <w:rsid w:val="00C76C37"/>
    <w:rsid w:val="00C82308"/>
    <w:rsid w:val="00C85A14"/>
    <w:rsid w:val="00C86652"/>
    <w:rsid w:val="00C90EE2"/>
    <w:rsid w:val="00C94B8A"/>
    <w:rsid w:val="00C94C79"/>
    <w:rsid w:val="00CA1AFF"/>
    <w:rsid w:val="00CB30C0"/>
    <w:rsid w:val="00CB4FDF"/>
    <w:rsid w:val="00CB5492"/>
    <w:rsid w:val="00CB5698"/>
    <w:rsid w:val="00CB64A7"/>
    <w:rsid w:val="00CB69FE"/>
    <w:rsid w:val="00CB7B99"/>
    <w:rsid w:val="00CC105C"/>
    <w:rsid w:val="00CC7FBD"/>
    <w:rsid w:val="00CD0F75"/>
    <w:rsid w:val="00CD12D9"/>
    <w:rsid w:val="00CD4DCE"/>
    <w:rsid w:val="00CD5855"/>
    <w:rsid w:val="00CE7F56"/>
    <w:rsid w:val="00CF2CA6"/>
    <w:rsid w:val="00CF59B7"/>
    <w:rsid w:val="00D10367"/>
    <w:rsid w:val="00D10B8B"/>
    <w:rsid w:val="00D10F16"/>
    <w:rsid w:val="00D14031"/>
    <w:rsid w:val="00D14F92"/>
    <w:rsid w:val="00D1550D"/>
    <w:rsid w:val="00D25451"/>
    <w:rsid w:val="00D2676F"/>
    <w:rsid w:val="00D3003E"/>
    <w:rsid w:val="00D33071"/>
    <w:rsid w:val="00D3637B"/>
    <w:rsid w:val="00D47D2A"/>
    <w:rsid w:val="00D56119"/>
    <w:rsid w:val="00D56D32"/>
    <w:rsid w:val="00D56F37"/>
    <w:rsid w:val="00D620B7"/>
    <w:rsid w:val="00D63550"/>
    <w:rsid w:val="00D63B76"/>
    <w:rsid w:val="00D641BF"/>
    <w:rsid w:val="00D66657"/>
    <w:rsid w:val="00D66A82"/>
    <w:rsid w:val="00D76DEF"/>
    <w:rsid w:val="00D809FF"/>
    <w:rsid w:val="00D83F47"/>
    <w:rsid w:val="00D85778"/>
    <w:rsid w:val="00D86ADA"/>
    <w:rsid w:val="00D911D9"/>
    <w:rsid w:val="00D96490"/>
    <w:rsid w:val="00DA2404"/>
    <w:rsid w:val="00DB37F7"/>
    <w:rsid w:val="00DB5196"/>
    <w:rsid w:val="00DC2AF5"/>
    <w:rsid w:val="00DC77FD"/>
    <w:rsid w:val="00DD3B2A"/>
    <w:rsid w:val="00DD4503"/>
    <w:rsid w:val="00DE04D4"/>
    <w:rsid w:val="00DE3FD8"/>
    <w:rsid w:val="00DF06B9"/>
    <w:rsid w:val="00DF2280"/>
    <w:rsid w:val="00E01BF6"/>
    <w:rsid w:val="00E10420"/>
    <w:rsid w:val="00E147F5"/>
    <w:rsid w:val="00E215B7"/>
    <w:rsid w:val="00E22CF9"/>
    <w:rsid w:val="00E26362"/>
    <w:rsid w:val="00E31245"/>
    <w:rsid w:val="00E32506"/>
    <w:rsid w:val="00E33C99"/>
    <w:rsid w:val="00E33F39"/>
    <w:rsid w:val="00E3688F"/>
    <w:rsid w:val="00E43964"/>
    <w:rsid w:val="00E62A97"/>
    <w:rsid w:val="00E706CA"/>
    <w:rsid w:val="00E70901"/>
    <w:rsid w:val="00E8482E"/>
    <w:rsid w:val="00E85BD1"/>
    <w:rsid w:val="00E938FD"/>
    <w:rsid w:val="00E97D66"/>
    <w:rsid w:val="00EA0382"/>
    <w:rsid w:val="00EA06FB"/>
    <w:rsid w:val="00EA2753"/>
    <w:rsid w:val="00EA6C3A"/>
    <w:rsid w:val="00EB04AF"/>
    <w:rsid w:val="00EB4613"/>
    <w:rsid w:val="00EC0869"/>
    <w:rsid w:val="00EC0936"/>
    <w:rsid w:val="00EC5968"/>
    <w:rsid w:val="00EC69EF"/>
    <w:rsid w:val="00ED422B"/>
    <w:rsid w:val="00ED44FC"/>
    <w:rsid w:val="00EE16C2"/>
    <w:rsid w:val="00EE231A"/>
    <w:rsid w:val="00EE3995"/>
    <w:rsid w:val="00EE7945"/>
    <w:rsid w:val="00EE7D5F"/>
    <w:rsid w:val="00EF0B64"/>
    <w:rsid w:val="00EF4E17"/>
    <w:rsid w:val="00EF50DE"/>
    <w:rsid w:val="00EF5CF8"/>
    <w:rsid w:val="00F05AAE"/>
    <w:rsid w:val="00F13BE7"/>
    <w:rsid w:val="00F14966"/>
    <w:rsid w:val="00F20F9B"/>
    <w:rsid w:val="00F26F50"/>
    <w:rsid w:val="00F301A2"/>
    <w:rsid w:val="00F312AF"/>
    <w:rsid w:val="00F333FA"/>
    <w:rsid w:val="00F336DC"/>
    <w:rsid w:val="00F33CE8"/>
    <w:rsid w:val="00F34B74"/>
    <w:rsid w:val="00F378DF"/>
    <w:rsid w:val="00F422E9"/>
    <w:rsid w:val="00F453A7"/>
    <w:rsid w:val="00F4640F"/>
    <w:rsid w:val="00F532D6"/>
    <w:rsid w:val="00F54142"/>
    <w:rsid w:val="00F60336"/>
    <w:rsid w:val="00F6309E"/>
    <w:rsid w:val="00F71961"/>
    <w:rsid w:val="00F71C04"/>
    <w:rsid w:val="00F76FEE"/>
    <w:rsid w:val="00F81809"/>
    <w:rsid w:val="00F838E0"/>
    <w:rsid w:val="00F87554"/>
    <w:rsid w:val="00F91633"/>
    <w:rsid w:val="00F92EFC"/>
    <w:rsid w:val="00F94CC3"/>
    <w:rsid w:val="00FA769B"/>
    <w:rsid w:val="00FB0D31"/>
    <w:rsid w:val="00FB1EDC"/>
    <w:rsid w:val="00FB2135"/>
    <w:rsid w:val="00FB47CB"/>
    <w:rsid w:val="00FD317B"/>
    <w:rsid w:val="00FD617F"/>
    <w:rsid w:val="00FD7783"/>
    <w:rsid w:val="00FE0525"/>
    <w:rsid w:val="00FE2C89"/>
    <w:rsid w:val="00FE695B"/>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1D37"/>
    <w:rPr>
      <w:rFonts w:ascii="Trebuchet MS" w:hAnsi="Trebuchet MS"/>
      <w:sz w:val="20"/>
      <w:szCs w:val="24"/>
      <w:lang w:val="cs-CZ" w:eastAsia="cs-CZ"/>
    </w:rPr>
  </w:style>
  <w:style w:type="paragraph" w:styleId="Heading1">
    <w:name w:val="heading 1"/>
    <w:basedOn w:val="Normal"/>
    <w:next w:val="Normal"/>
    <w:link w:val="Heading1Char"/>
    <w:uiPriority w:val="99"/>
    <w:qFormat/>
    <w:rsid w:val="00D809FF"/>
    <w:pPr>
      <w:keepNext/>
      <w:numPr>
        <w:numId w:val="6"/>
      </w:numPr>
      <w:outlineLvl w:val="0"/>
    </w:pPr>
    <w:rPr>
      <w:rFonts w:ascii="Century Gothic" w:hAnsi="Century Gothic"/>
      <w:b/>
      <w:bCs/>
      <w:sz w:val="22"/>
      <w:lang w:val="en-US"/>
    </w:rPr>
  </w:style>
  <w:style w:type="paragraph" w:styleId="Heading2">
    <w:name w:val="heading 2"/>
    <w:basedOn w:val="Normal"/>
    <w:next w:val="Normal"/>
    <w:link w:val="Heading2Char"/>
    <w:uiPriority w:val="99"/>
    <w:qFormat/>
    <w:rsid w:val="00D10367"/>
    <w:pPr>
      <w:keepNext/>
      <w:numPr>
        <w:ilvl w:val="1"/>
        <w:numId w:val="6"/>
      </w:numPr>
      <w:jc w:val="center"/>
      <w:outlineLvl w:val="1"/>
    </w:pPr>
    <w:rPr>
      <w:b/>
      <w:bCs/>
      <w:color w:val="000000"/>
      <w:sz w:val="28"/>
      <w:lang w:val="en-US"/>
    </w:rPr>
  </w:style>
  <w:style w:type="paragraph" w:styleId="Heading3">
    <w:name w:val="heading 3"/>
    <w:basedOn w:val="Normal"/>
    <w:next w:val="Normal"/>
    <w:link w:val="Heading3Char"/>
    <w:uiPriority w:val="99"/>
    <w:qFormat/>
    <w:rsid w:val="00D10367"/>
    <w:pPr>
      <w:keepNext/>
      <w:numPr>
        <w:ilvl w:val="2"/>
        <w:numId w:val="6"/>
      </w:numPr>
      <w:jc w:val="center"/>
      <w:outlineLvl w:val="2"/>
    </w:pPr>
    <w:rPr>
      <w:sz w:val="28"/>
      <w:lang w:val="en-US"/>
    </w:rPr>
  </w:style>
  <w:style w:type="paragraph" w:styleId="Heading4">
    <w:name w:val="heading 4"/>
    <w:basedOn w:val="Normal"/>
    <w:next w:val="Normal"/>
    <w:link w:val="Heading4Char"/>
    <w:uiPriority w:val="99"/>
    <w:qFormat/>
    <w:rsid w:val="00D10367"/>
    <w:pPr>
      <w:keepNext/>
      <w:numPr>
        <w:ilvl w:val="3"/>
        <w:numId w:val="6"/>
      </w:numPr>
      <w:outlineLvl w:val="3"/>
    </w:pPr>
    <w:rPr>
      <w:b/>
      <w:bCs/>
      <w:u w:val="single"/>
      <w:lang w:val="en-US"/>
    </w:rPr>
  </w:style>
  <w:style w:type="paragraph" w:styleId="Heading5">
    <w:name w:val="heading 5"/>
    <w:basedOn w:val="Normal"/>
    <w:next w:val="Normal"/>
    <w:link w:val="Heading5Char"/>
    <w:uiPriority w:val="99"/>
    <w:qFormat/>
    <w:rsid w:val="00D641BF"/>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D641BF"/>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D641BF"/>
    <w:pPr>
      <w:numPr>
        <w:ilvl w:val="6"/>
        <w:numId w:val="6"/>
      </w:numPr>
      <w:spacing w:before="240" w:after="60"/>
      <w:outlineLvl w:val="6"/>
    </w:pPr>
  </w:style>
  <w:style w:type="paragraph" w:styleId="Heading8">
    <w:name w:val="heading 8"/>
    <w:basedOn w:val="Normal"/>
    <w:next w:val="Normal"/>
    <w:link w:val="Heading8Char"/>
    <w:uiPriority w:val="99"/>
    <w:qFormat/>
    <w:rsid w:val="00D641BF"/>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D641BF"/>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3CF"/>
    <w:rPr>
      <w:rFonts w:ascii="Cambria" w:hAnsi="Cambria" w:cs="Times New Roman"/>
      <w:b/>
      <w:bCs/>
      <w:kern w:val="32"/>
      <w:sz w:val="32"/>
      <w:szCs w:val="32"/>
      <w:lang w:val="cs-CZ" w:eastAsia="cs-CZ"/>
    </w:rPr>
  </w:style>
  <w:style w:type="character" w:customStyle="1" w:styleId="Heading2Char">
    <w:name w:val="Heading 2 Char"/>
    <w:basedOn w:val="DefaultParagraphFont"/>
    <w:link w:val="Heading2"/>
    <w:uiPriority w:val="99"/>
    <w:semiHidden/>
    <w:locked/>
    <w:rsid w:val="003043CF"/>
    <w:rPr>
      <w:rFonts w:ascii="Cambria" w:hAnsi="Cambria" w:cs="Times New Roman"/>
      <w:b/>
      <w:bCs/>
      <w:i/>
      <w:iCs/>
      <w:sz w:val="28"/>
      <w:szCs w:val="28"/>
      <w:lang w:val="cs-CZ" w:eastAsia="cs-CZ"/>
    </w:rPr>
  </w:style>
  <w:style w:type="character" w:customStyle="1" w:styleId="Heading3Char">
    <w:name w:val="Heading 3 Char"/>
    <w:basedOn w:val="DefaultParagraphFont"/>
    <w:link w:val="Heading3"/>
    <w:uiPriority w:val="99"/>
    <w:semiHidden/>
    <w:locked/>
    <w:rsid w:val="003043CF"/>
    <w:rPr>
      <w:rFonts w:ascii="Cambria" w:hAnsi="Cambria" w:cs="Times New Roman"/>
      <w:b/>
      <w:bCs/>
      <w:sz w:val="26"/>
      <w:szCs w:val="26"/>
      <w:lang w:val="cs-CZ" w:eastAsia="cs-CZ"/>
    </w:rPr>
  </w:style>
  <w:style w:type="character" w:customStyle="1" w:styleId="Heading4Char">
    <w:name w:val="Heading 4 Char"/>
    <w:basedOn w:val="DefaultParagraphFont"/>
    <w:link w:val="Heading4"/>
    <w:uiPriority w:val="99"/>
    <w:semiHidden/>
    <w:locked/>
    <w:rsid w:val="003043CF"/>
    <w:rPr>
      <w:rFonts w:ascii="Calibri" w:hAnsi="Calibri" w:cs="Times New Roman"/>
      <w:b/>
      <w:bCs/>
      <w:sz w:val="28"/>
      <w:szCs w:val="28"/>
      <w:lang w:val="cs-CZ" w:eastAsia="cs-CZ"/>
    </w:rPr>
  </w:style>
  <w:style w:type="character" w:customStyle="1" w:styleId="Heading5Char">
    <w:name w:val="Heading 5 Char"/>
    <w:basedOn w:val="DefaultParagraphFont"/>
    <w:link w:val="Heading5"/>
    <w:uiPriority w:val="99"/>
    <w:semiHidden/>
    <w:locked/>
    <w:rsid w:val="003043CF"/>
    <w:rPr>
      <w:rFonts w:ascii="Calibri" w:hAnsi="Calibri" w:cs="Times New Roman"/>
      <w:b/>
      <w:bCs/>
      <w:i/>
      <w:iCs/>
      <w:sz w:val="26"/>
      <w:szCs w:val="26"/>
      <w:lang w:val="cs-CZ" w:eastAsia="cs-CZ"/>
    </w:rPr>
  </w:style>
  <w:style w:type="character" w:customStyle="1" w:styleId="Heading6Char">
    <w:name w:val="Heading 6 Char"/>
    <w:basedOn w:val="DefaultParagraphFont"/>
    <w:link w:val="Heading6"/>
    <w:uiPriority w:val="99"/>
    <w:semiHidden/>
    <w:locked/>
    <w:rsid w:val="003043CF"/>
    <w:rPr>
      <w:rFonts w:ascii="Calibri" w:hAnsi="Calibri" w:cs="Times New Roman"/>
      <w:b/>
      <w:bCs/>
      <w:lang w:val="cs-CZ" w:eastAsia="cs-CZ"/>
    </w:rPr>
  </w:style>
  <w:style w:type="character" w:customStyle="1" w:styleId="Heading7Char">
    <w:name w:val="Heading 7 Char"/>
    <w:basedOn w:val="DefaultParagraphFont"/>
    <w:link w:val="Heading7"/>
    <w:uiPriority w:val="99"/>
    <w:semiHidden/>
    <w:locked/>
    <w:rsid w:val="003043CF"/>
    <w:rPr>
      <w:rFonts w:ascii="Calibri" w:hAnsi="Calibri" w:cs="Times New Roman"/>
      <w:sz w:val="24"/>
      <w:szCs w:val="24"/>
      <w:lang w:val="cs-CZ" w:eastAsia="cs-CZ"/>
    </w:rPr>
  </w:style>
  <w:style w:type="character" w:customStyle="1" w:styleId="Heading8Char">
    <w:name w:val="Heading 8 Char"/>
    <w:basedOn w:val="DefaultParagraphFont"/>
    <w:link w:val="Heading8"/>
    <w:uiPriority w:val="99"/>
    <w:semiHidden/>
    <w:locked/>
    <w:rsid w:val="003043CF"/>
    <w:rPr>
      <w:rFonts w:ascii="Calibri" w:hAnsi="Calibri" w:cs="Times New Roman"/>
      <w:i/>
      <w:iCs/>
      <w:sz w:val="24"/>
      <w:szCs w:val="24"/>
      <w:lang w:val="cs-CZ" w:eastAsia="cs-CZ"/>
    </w:rPr>
  </w:style>
  <w:style w:type="character" w:customStyle="1" w:styleId="Heading9Char">
    <w:name w:val="Heading 9 Char"/>
    <w:basedOn w:val="DefaultParagraphFont"/>
    <w:link w:val="Heading9"/>
    <w:uiPriority w:val="99"/>
    <w:semiHidden/>
    <w:locked/>
    <w:rsid w:val="003043CF"/>
    <w:rPr>
      <w:rFonts w:ascii="Cambria" w:hAnsi="Cambria" w:cs="Times New Roman"/>
      <w:lang w:val="cs-CZ" w:eastAsia="cs-CZ"/>
    </w:rPr>
  </w:style>
  <w:style w:type="paragraph" w:styleId="Header">
    <w:name w:val="header"/>
    <w:basedOn w:val="Normal"/>
    <w:link w:val="HeaderChar"/>
    <w:uiPriority w:val="99"/>
    <w:rsid w:val="00D10F16"/>
    <w:pPr>
      <w:tabs>
        <w:tab w:val="center" w:pos="4320"/>
        <w:tab w:val="right" w:pos="8640"/>
      </w:tabs>
    </w:pPr>
  </w:style>
  <w:style w:type="character" w:customStyle="1" w:styleId="HeaderChar">
    <w:name w:val="Header Char"/>
    <w:basedOn w:val="DefaultParagraphFont"/>
    <w:link w:val="Header"/>
    <w:uiPriority w:val="99"/>
    <w:semiHidden/>
    <w:locked/>
    <w:rsid w:val="003043CF"/>
    <w:rPr>
      <w:rFonts w:ascii="Trebuchet MS" w:hAnsi="Trebuchet MS" w:cs="Times New Roman"/>
      <w:sz w:val="24"/>
      <w:szCs w:val="24"/>
      <w:lang w:val="cs-CZ" w:eastAsia="cs-CZ"/>
    </w:rPr>
  </w:style>
  <w:style w:type="paragraph" w:styleId="Footer">
    <w:name w:val="footer"/>
    <w:basedOn w:val="Normal"/>
    <w:link w:val="FooterChar"/>
    <w:uiPriority w:val="99"/>
    <w:rsid w:val="00D10F16"/>
    <w:pPr>
      <w:tabs>
        <w:tab w:val="center" w:pos="4320"/>
        <w:tab w:val="right" w:pos="8640"/>
      </w:tabs>
    </w:pPr>
  </w:style>
  <w:style w:type="character" w:customStyle="1" w:styleId="FooterChar">
    <w:name w:val="Footer Char"/>
    <w:basedOn w:val="DefaultParagraphFont"/>
    <w:link w:val="Footer"/>
    <w:uiPriority w:val="99"/>
    <w:semiHidden/>
    <w:locked/>
    <w:rsid w:val="003043CF"/>
    <w:rPr>
      <w:rFonts w:ascii="Trebuchet MS" w:hAnsi="Trebuchet MS" w:cs="Times New Roman"/>
      <w:sz w:val="24"/>
      <w:szCs w:val="24"/>
      <w:lang w:val="cs-CZ" w:eastAsia="cs-CZ"/>
    </w:rPr>
  </w:style>
  <w:style w:type="character" w:styleId="Hyperlink">
    <w:name w:val="Hyperlink"/>
    <w:basedOn w:val="DefaultParagraphFont"/>
    <w:uiPriority w:val="99"/>
    <w:rsid w:val="00D10367"/>
    <w:rPr>
      <w:rFonts w:cs="Times New Roman"/>
      <w:color w:val="0000FF"/>
      <w:u w:val="single"/>
    </w:rPr>
  </w:style>
  <w:style w:type="character" w:styleId="PageNumber">
    <w:name w:val="page number"/>
    <w:basedOn w:val="DefaultParagraphFont"/>
    <w:uiPriority w:val="99"/>
    <w:rsid w:val="00D10F16"/>
    <w:rPr>
      <w:rFonts w:cs="Times New Roman"/>
    </w:rPr>
  </w:style>
  <w:style w:type="paragraph" w:customStyle="1" w:styleId="FAXMESSAGEfromheading">
    <w:name w:val="FAX MESSAGE from heading"/>
    <w:basedOn w:val="Normal"/>
    <w:uiPriority w:val="99"/>
    <w:rsid w:val="00D10F16"/>
    <w:pPr>
      <w:framePr w:hSpace="187" w:wrap="notBeside" w:vAnchor="page" w:hAnchor="text" w:y="2341"/>
    </w:pPr>
    <w:rPr>
      <w:b/>
    </w:rPr>
  </w:style>
  <w:style w:type="paragraph" w:customStyle="1" w:styleId="Memoheading">
    <w:name w:val="Memo heading"/>
    <w:basedOn w:val="Normal"/>
    <w:uiPriority w:val="99"/>
    <w:rsid w:val="00D10F16"/>
  </w:style>
  <w:style w:type="paragraph" w:customStyle="1" w:styleId="InterofficeMemorandumheading">
    <w:name w:val="Interoffice Memorandum heading"/>
    <w:basedOn w:val="Memoheading"/>
    <w:uiPriority w:val="99"/>
    <w:rsid w:val="00D10F16"/>
    <w:pPr>
      <w:tabs>
        <w:tab w:val="left" w:pos="6840"/>
        <w:tab w:val="left" w:pos="8368"/>
      </w:tabs>
    </w:pPr>
    <w:rPr>
      <w:b/>
      <w:sz w:val="22"/>
    </w:rPr>
  </w:style>
  <w:style w:type="paragraph" w:customStyle="1" w:styleId="Memofooter">
    <w:name w:val="Memo footer"/>
    <w:basedOn w:val="Normal"/>
    <w:uiPriority w:val="99"/>
    <w:rsid w:val="00D10F16"/>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customStyle="1" w:styleId="Faxheading">
    <w:name w:val="Fax heading"/>
    <w:basedOn w:val="Normal"/>
    <w:uiPriority w:val="99"/>
    <w:rsid w:val="00D10F16"/>
  </w:style>
  <w:style w:type="paragraph" w:customStyle="1" w:styleId="AuthorizedbyNameTitlefooter">
    <w:name w:val="Authorized by &amp;Name&amp;Title footer"/>
    <w:basedOn w:val="Normal"/>
    <w:uiPriority w:val="99"/>
    <w:rsid w:val="00D10F16"/>
    <w:pPr>
      <w:framePr w:hSpace="180" w:wrap="around" w:vAnchor="text" w:hAnchor="text" w:y="1"/>
    </w:pPr>
    <w:rPr>
      <w:b/>
      <w:sz w:val="21"/>
    </w:rPr>
  </w:style>
  <w:style w:type="paragraph" w:styleId="NormalWeb">
    <w:name w:val="Normal (Web)"/>
    <w:basedOn w:val="Normal"/>
    <w:uiPriority w:val="99"/>
    <w:rsid w:val="00D10367"/>
    <w:pPr>
      <w:spacing w:before="100" w:beforeAutospacing="1" w:after="100" w:afterAutospacing="1" w:line="312" w:lineRule="auto"/>
    </w:pPr>
    <w:rPr>
      <w:rFonts w:ascii="Arial" w:hAnsi="Arial" w:cs="Arial"/>
      <w:lang w:val="en-US" w:eastAsia="en-US"/>
    </w:rPr>
  </w:style>
  <w:style w:type="paragraph" w:styleId="BodyText2">
    <w:name w:val="Body Text 2"/>
    <w:basedOn w:val="Normal"/>
    <w:link w:val="BodyText2Char"/>
    <w:uiPriority w:val="99"/>
    <w:rsid w:val="00D10367"/>
    <w:pPr>
      <w:widowControl w:val="0"/>
      <w:tabs>
        <w:tab w:val="left" w:pos="360"/>
        <w:tab w:val="left" w:pos="72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s>
      <w:suppressAutoHyphens/>
      <w:jc w:val="both"/>
    </w:pPr>
    <w:rPr>
      <w:color w:val="0000FF"/>
      <w:szCs w:val="20"/>
      <w:lang w:val="en-US" w:eastAsia="en-US"/>
    </w:rPr>
  </w:style>
  <w:style w:type="character" w:customStyle="1" w:styleId="BodyText2Char">
    <w:name w:val="Body Text 2 Char"/>
    <w:basedOn w:val="DefaultParagraphFont"/>
    <w:link w:val="BodyText2"/>
    <w:uiPriority w:val="99"/>
    <w:semiHidden/>
    <w:locked/>
    <w:rsid w:val="003043CF"/>
    <w:rPr>
      <w:rFonts w:ascii="Trebuchet MS" w:hAnsi="Trebuchet MS" w:cs="Times New Roman"/>
      <w:sz w:val="24"/>
      <w:szCs w:val="24"/>
      <w:lang w:val="cs-CZ" w:eastAsia="cs-CZ"/>
    </w:rPr>
  </w:style>
  <w:style w:type="paragraph" w:styleId="BalloonText">
    <w:name w:val="Balloon Text"/>
    <w:basedOn w:val="Normal"/>
    <w:link w:val="BalloonTextChar"/>
    <w:uiPriority w:val="99"/>
    <w:semiHidden/>
    <w:rsid w:val="00973D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3CF"/>
    <w:rPr>
      <w:rFonts w:cs="Times New Roman"/>
      <w:sz w:val="2"/>
      <w:lang w:val="cs-CZ" w:eastAsia="cs-CZ"/>
    </w:rPr>
  </w:style>
  <w:style w:type="character" w:styleId="CommentReference">
    <w:name w:val="annotation reference"/>
    <w:basedOn w:val="DefaultParagraphFont"/>
    <w:uiPriority w:val="99"/>
    <w:semiHidden/>
    <w:rsid w:val="004B4E63"/>
    <w:rPr>
      <w:rFonts w:cs="Times New Roman"/>
      <w:sz w:val="16"/>
      <w:szCs w:val="16"/>
    </w:rPr>
  </w:style>
  <w:style w:type="paragraph" w:styleId="CommentText">
    <w:name w:val="annotation text"/>
    <w:basedOn w:val="Normal"/>
    <w:link w:val="CommentTextChar"/>
    <w:uiPriority w:val="99"/>
    <w:semiHidden/>
    <w:rsid w:val="004B4E63"/>
    <w:rPr>
      <w:szCs w:val="20"/>
    </w:rPr>
  </w:style>
  <w:style w:type="character" w:customStyle="1" w:styleId="CommentTextChar">
    <w:name w:val="Comment Text Char"/>
    <w:basedOn w:val="DefaultParagraphFont"/>
    <w:link w:val="CommentText"/>
    <w:uiPriority w:val="99"/>
    <w:semiHidden/>
    <w:locked/>
    <w:rsid w:val="003043CF"/>
    <w:rPr>
      <w:rFonts w:ascii="Trebuchet MS" w:hAnsi="Trebuchet MS" w:cs="Times New Roman"/>
      <w:sz w:val="20"/>
      <w:szCs w:val="20"/>
      <w:lang w:val="cs-CZ" w:eastAsia="cs-CZ"/>
    </w:rPr>
  </w:style>
  <w:style w:type="paragraph" w:styleId="CommentSubject">
    <w:name w:val="annotation subject"/>
    <w:basedOn w:val="CommentText"/>
    <w:next w:val="CommentText"/>
    <w:link w:val="CommentSubjectChar"/>
    <w:uiPriority w:val="99"/>
    <w:semiHidden/>
    <w:rsid w:val="004B4E63"/>
    <w:rPr>
      <w:b/>
      <w:bCs/>
    </w:rPr>
  </w:style>
  <w:style w:type="character" w:customStyle="1" w:styleId="CommentSubjectChar">
    <w:name w:val="Comment Subject Char"/>
    <w:basedOn w:val="CommentTextChar"/>
    <w:link w:val="CommentSubject"/>
    <w:uiPriority w:val="99"/>
    <w:semiHidden/>
    <w:locked/>
    <w:rsid w:val="003043CF"/>
    <w:rPr>
      <w:b/>
      <w:bCs/>
    </w:rPr>
  </w:style>
  <w:style w:type="character" w:styleId="FollowedHyperlink">
    <w:name w:val="FollowedHyperlink"/>
    <w:basedOn w:val="DefaultParagraphFont"/>
    <w:uiPriority w:val="99"/>
    <w:rsid w:val="00BC7F5E"/>
    <w:rPr>
      <w:rFonts w:cs="Times New Roman"/>
      <w:color w:val="800080"/>
      <w:u w:val="single"/>
    </w:rPr>
  </w:style>
  <w:style w:type="paragraph" w:styleId="FootnoteText">
    <w:name w:val="footnote text"/>
    <w:basedOn w:val="Normal"/>
    <w:link w:val="FootnoteTextChar"/>
    <w:uiPriority w:val="99"/>
    <w:semiHidden/>
    <w:rsid w:val="00CB7B99"/>
    <w:pPr>
      <w:widowControl w:val="0"/>
      <w:spacing w:before="100" w:after="100"/>
    </w:pPr>
    <w:rPr>
      <w:color w:val="000000"/>
      <w:szCs w:val="20"/>
      <w:lang w:val="en-GB" w:eastAsia="en-US"/>
    </w:rPr>
  </w:style>
  <w:style w:type="character" w:customStyle="1" w:styleId="FootnoteTextChar">
    <w:name w:val="Footnote Text Char"/>
    <w:basedOn w:val="DefaultParagraphFont"/>
    <w:link w:val="FootnoteText"/>
    <w:uiPriority w:val="99"/>
    <w:semiHidden/>
    <w:locked/>
    <w:rsid w:val="003043CF"/>
    <w:rPr>
      <w:rFonts w:ascii="Trebuchet MS" w:hAnsi="Trebuchet MS" w:cs="Times New Roman"/>
      <w:sz w:val="20"/>
      <w:szCs w:val="20"/>
      <w:lang w:val="cs-CZ" w:eastAsia="cs-CZ"/>
    </w:rPr>
  </w:style>
  <w:style w:type="character" w:styleId="FootnoteReference">
    <w:name w:val="footnote reference"/>
    <w:basedOn w:val="DefaultParagraphFont"/>
    <w:uiPriority w:val="99"/>
    <w:semiHidden/>
    <w:rsid w:val="00CB7B99"/>
    <w:rPr>
      <w:rFonts w:cs="Times New Roman"/>
      <w:vertAlign w:val="superscript"/>
    </w:rPr>
  </w:style>
  <w:style w:type="table" w:styleId="TableGrid">
    <w:name w:val="Table Grid"/>
    <w:basedOn w:val="TableNormal"/>
    <w:uiPriority w:val="99"/>
    <w:rsid w:val="001E7B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32506"/>
    <w:rPr>
      <w:rFonts w:cs="Times New Roman"/>
      <w:b/>
      <w:bCs/>
    </w:rPr>
  </w:style>
</w:styles>
</file>

<file path=word/webSettings.xml><?xml version="1.0" encoding="utf-8"?>
<w:webSettings xmlns:r="http://schemas.openxmlformats.org/officeDocument/2006/relationships" xmlns:w="http://schemas.openxmlformats.org/wordprocessingml/2006/main">
  <w:divs>
    <w:div w:id="1062757253">
      <w:marLeft w:val="0"/>
      <w:marRight w:val="0"/>
      <w:marTop w:val="0"/>
      <w:marBottom w:val="0"/>
      <w:divBdr>
        <w:top w:val="none" w:sz="0" w:space="0" w:color="auto"/>
        <w:left w:val="none" w:sz="0" w:space="0" w:color="auto"/>
        <w:bottom w:val="none" w:sz="0" w:space="0" w:color="auto"/>
        <w:right w:val="none" w:sz="0" w:space="0" w:color="auto"/>
      </w:divBdr>
      <w:divsChild>
        <w:div w:id="1062757242">
          <w:marLeft w:val="0"/>
          <w:marRight w:val="0"/>
          <w:marTop w:val="0"/>
          <w:marBottom w:val="0"/>
          <w:divBdr>
            <w:top w:val="none" w:sz="0" w:space="0" w:color="auto"/>
            <w:left w:val="none" w:sz="0" w:space="0" w:color="auto"/>
            <w:bottom w:val="none" w:sz="0" w:space="0" w:color="auto"/>
            <w:right w:val="none" w:sz="0" w:space="0" w:color="auto"/>
          </w:divBdr>
        </w:div>
        <w:div w:id="1062757245">
          <w:marLeft w:val="0"/>
          <w:marRight w:val="0"/>
          <w:marTop w:val="0"/>
          <w:marBottom w:val="0"/>
          <w:divBdr>
            <w:top w:val="none" w:sz="0" w:space="0" w:color="auto"/>
            <w:left w:val="none" w:sz="0" w:space="0" w:color="auto"/>
            <w:bottom w:val="none" w:sz="0" w:space="0" w:color="auto"/>
            <w:right w:val="none" w:sz="0" w:space="0" w:color="auto"/>
          </w:divBdr>
        </w:div>
        <w:div w:id="1062757250">
          <w:marLeft w:val="0"/>
          <w:marRight w:val="0"/>
          <w:marTop w:val="0"/>
          <w:marBottom w:val="0"/>
          <w:divBdr>
            <w:top w:val="none" w:sz="0" w:space="0" w:color="auto"/>
            <w:left w:val="none" w:sz="0" w:space="0" w:color="auto"/>
            <w:bottom w:val="none" w:sz="0" w:space="0" w:color="auto"/>
            <w:right w:val="none" w:sz="0" w:space="0" w:color="auto"/>
          </w:divBdr>
        </w:div>
        <w:div w:id="1062757252">
          <w:marLeft w:val="0"/>
          <w:marRight w:val="0"/>
          <w:marTop w:val="0"/>
          <w:marBottom w:val="0"/>
          <w:divBdr>
            <w:top w:val="none" w:sz="0" w:space="0" w:color="auto"/>
            <w:left w:val="none" w:sz="0" w:space="0" w:color="auto"/>
            <w:bottom w:val="none" w:sz="0" w:space="0" w:color="auto"/>
            <w:right w:val="none" w:sz="0" w:space="0" w:color="auto"/>
          </w:divBdr>
        </w:div>
        <w:div w:id="1062757255">
          <w:marLeft w:val="0"/>
          <w:marRight w:val="0"/>
          <w:marTop w:val="0"/>
          <w:marBottom w:val="0"/>
          <w:divBdr>
            <w:top w:val="none" w:sz="0" w:space="0" w:color="auto"/>
            <w:left w:val="none" w:sz="0" w:space="0" w:color="auto"/>
            <w:bottom w:val="none" w:sz="0" w:space="0" w:color="auto"/>
            <w:right w:val="none" w:sz="0" w:space="0" w:color="auto"/>
          </w:divBdr>
        </w:div>
        <w:div w:id="1062757265">
          <w:marLeft w:val="0"/>
          <w:marRight w:val="0"/>
          <w:marTop w:val="0"/>
          <w:marBottom w:val="0"/>
          <w:divBdr>
            <w:top w:val="none" w:sz="0" w:space="0" w:color="auto"/>
            <w:left w:val="none" w:sz="0" w:space="0" w:color="auto"/>
            <w:bottom w:val="none" w:sz="0" w:space="0" w:color="auto"/>
            <w:right w:val="none" w:sz="0" w:space="0" w:color="auto"/>
          </w:divBdr>
        </w:div>
        <w:div w:id="1062757285">
          <w:marLeft w:val="0"/>
          <w:marRight w:val="0"/>
          <w:marTop w:val="0"/>
          <w:marBottom w:val="0"/>
          <w:divBdr>
            <w:top w:val="none" w:sz="0" w:space="0" w:color="auto"/>
            <w:left w:val="none" w:sz="0" w:space="0" w:color="auto"/>
            <w:bottom w:val="none" w:sz="0" w:space="0" w:color="auto"/>
            <w:right w:val="none" w:sz="0" w:space="0" w:color="auto"/>
          </w:divBdr>
        </w:div>
      </w:divsChild>
    </w:div>
    <w:div w:id="1062757258">
      <w:marLeft w:val="0"/>
      <w:marRight w:val="0"/>
      <w:marTop w:val="0"/>
      <w:marBottom w:val="0"/>
      <w:divBdr>
        <w:top w:val="none" w:sz="0" w:space="0" w:color="auto"/>
        <w:left w:val="none" w:sz="0" w:space="0" w:color="auto"/>
        <w:bottom w:val="none" w:sz="0" w:space="0" w:color="auto"/>
        <w:right w:val="none" w:sz="0" w:space="0" w:color="auto"/>
      </w:divBdr>
      <w:divsChild>
        <w:div w:id="1062757243">
          <w:marLeft w:val="0"/>
          <w:marRight w:val="0"/>
          <w:marTop w:val="0"/>
          <w:marBottom w:val="0"/>
          <w:divBdr>
            <w:top w:val="none" w:sz="0" w:space="0" w:color="auto"/>
            <w:left w:val="none" w:sz="0" w:space="0" w:color="auto"/>
            <w:bottom w:val="none" w:sz="0" w:space="0" w:color="auto"/>
            <w:right w:val="none" w:sz="0" w:space="0" w:color="auto"/>
          </w:divBdr>
        </w:div>
        <w:div w:id="1062757257">
          <w:marLeft w:val="0"/>
          <w:marRight w:val="0"/>
          <w:marTop w:val="0"/>
          <w:marBottom w:val="0"/>
          <w:divBdr>
            <w:top w:val="none" w:sz="0" w:space="0" w:color="auto"/>
            <w:left w:val="none" w:sz="0" w:space="0" w:color="auto"/>
            <w:bottom w:val="none" w:sz="0" w:space="0" w:color="auto"/>
            <w:right w:val="none" w:sz="0" w:space="0" w:color="auto"/>
          </w:divBdr>
        </w:div>
        <w:div w:id="1062757279">
          <w:marLeft w:val="0"/>
          <w:marRight w:val="0"/>
          <w:marTop w:val="0"/>
          <w:marBottom w:val="0"/>
          <w:divBdr>
            <w:top w:val="none" w:sz="0" w:space="0" w:color="auto"/>
            <w:left w:val="none" w:sz="0" w:space="0" w:color="auto"/>
            <w:bottom w:val="none" w:sz="0" w:space="0" w:color="auto"/>
            <w:right w:val="none" w:sz="0" w:space="0" w:color="auto"/>
          </w:divBdr>
        </w:div>
        <w:div w:id="1062757291">
          <w:marLeft w:val="0"/>
          <w:marRight w:val="0"/>
          <w:marTop w:val="0"/>
          <w:marBottom w:val="0"/>
          <w:divBdr>
            <w:top w:val="none" w:sz="0" w:space="0" w:color="auto"/>
            <w:left w:val="none" w:sz="0" w:space="0" w:color="auto"/>
            <w:bottom w:val="none" w:sz="0" w:space="0" w:color="auto"/>
            <w:right w:val="none" w:sz="0" w:space="0" w:color="auto"/>
          </w:divBdr>
        </w:div>
      </w:divsChild>
    </w:div>
    <w:div w:id="1062757259">
      <w:marLeft w:val="0"/>
      <w:marRight w:val="0"/>
      <w:marTop w:val="0"/>
      <w:marBottom w:val="0"/>
      <w:divBdr>
        <w:top w:val="none" w:sz="0" w:space="0" w:color="auto"/>
        <w:left w:val="none" w:sz="0" w:space="0" w:color="auto"/>
        <w:bottom w:val="none" w:sz="0" w:space="0" w:color="auto"/>
        <w:right w:val="none" w:sz="0" w:space="0" w:color="auto"/>
      </w:divBdr>
      <w:divsChild>
        <w:div w:id="1062757272">
          <w:marLeft w:val="0"/>
          <w:marRight w:val="0"/>
          <w:marTop w:val="0"/>
          <w:marBottom w:val="0"/>
          <w:divBdr>
            <w:top w:val="none" w:sz="0" w:space="0" w:color="auto"/>
            <w:left w:val="none" w:sz="0" w:space="0" w:color="auto"/>
            <w:bottom w:val="none" w:sz="0" w:space="0" w:color="auto"/>
            <w:right w:val="none" w:sz="0" w:space="0" w:color="auto"/>
          </w:divBdr>
          <w:divsChild>
            <w:div w:id="1062757246">
              <w:marLeft w:val="0"/>
              <w:marRight w:val="0"/>
              <w:marTop w:val="0"/>
              <w:marBottom w:val="0"/>
              <w:divBdr>
                <w:top w:val="none" w:sz="0" w:space="0" w:color="auto"/>
                <w:left w:val="none" w:sz="0" w:space="0" w:color="auto"/>
                <w:bottom w:val="none" w:sz="0" w:space="0" w:color="auto"/>
                <w:right w:val="none" w:sz="0" w:space="0" w:color="auto"/>
              </w:divBdr>
            </w:div>
            <w:div w:id="1062757248">
              <w:marLeft w:val="0"/>
              <w:marRight w:val="0"/>
              <w:marTop w:val="0"/>
              <w:marBottom w:val="0"/>
              <w:divBdr>
                <w:top w:val="none" w:sz="0" w:space="0" w:color="auto"/>
                <w:left w:val="none" w:sz="0" w:space="0" w:color="auto"/>
                <w:bottom w:val="none" w:sz="0" w:space="0" w:color="auto"/>
                <w:right w:val="none" w:sz="0" w:space="0" w:color="auto"/>
              </w:divBdr>
            </w:div>
            <w:div w:id="1062757281">
              <w:marLeft w:val="0"/>
              <w:marRight w:val="0"/>
              <w:marTop w:val="0"/>
              <w:marBottom w:val="0"/>
              <w:divBdr>
                <w:top w:val="none" w:sz="0" w:space="0" w:color="auto"/>
                <w:left w:val="none" w:sz="0" w:space="0" w:color="auto"/>
                <w:bottom w:val="none" w:sz="0" w:space="0" w:color="auto"/>
                <w:right w:val="none" w:sz="0" w:space="0" w:color="auto"/>
              </w:divBdr>
            </w:div>
            <w:div w:id="10627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261">
      <w:marLeft w:val="0"/>
      <w:marRight w:val="0"/>
      <w:marTop w:val="0"/>
      <w:marBottom w:val="0"/>
      <w:divBdr>
        <w:top w:val="none" w:sz="0" w:space="0" w:color="auto"/>
        <w:left w:val="none" w:sz="0" w:space="0" w:color="auto"/>
        <w:bottom w:val="none" w:sz="0" w:space="0" w:color="auto"/>
        <w:right w:val="none" w:sz="0" w:space="0" w:color="auto"/>
      </w:divBdr>
      <w:divsChild>
        <w:div w:id="1062757270">
          <w:marLeft w:val="0"/>
          <w:marRight w:val="0"/>
          <w:marTop w:val="0"/>
          <w:marBottom w:val="0"/>
          <w:divBdr>
            <w:top w:val="none" w:sz="0" w:space="0" w:color="auto"/>
            <w:left w:val="none" w:sz="0" w:space="0" w:color="auto"/>
            <w:bottom w:val="none" w:sz="0" w:space="0" w:color="auto"/>
            <w:right w:val="none" w:sz="0" w:space="0" w:color="auto"/>
          </w:divBdr>
          <w:divsChild>
            <w:div w:id="1062757260">
              <w:marLeft w:val="0"/>
              <w:marRight w:val="0"/>
              <w:marTop w:val="0"/>
              <w:marBottom w:val="0"/>
              <w:divBdr>
                <w:top w:val="none" w:sz="0" w:space="0" w:color="auto"/>
                <w:left w:val="none" w:sz="0" w:space="0" w:color="auto"/>
                <w:bottom w:val="none" w:sz="0" w:space="0" w:color="auto"/>
                <w:right w:val="none" w:sz="0" w:space="0" w:color="auto"/>
              </w:divBdr>
            </w:div>
            <w:div w:id="1062757271">
              <w:marLeft w:val="0"/>
              <w:marRight w:val="0"/>
              <w:marTop w:val="0"/>
              <w:marBottom w:val="0"/>
              <w:divBdr>
                <w:top w:val="none" w:sz="0" w:space="0" w:color="auto"/>
                <w:left w:val="none" w:sz="0" w:space="0" w:color="auto"/>
                <w:bottom w:val="none" w:sz="0" w:space="0" w:color="auto"/>
                <w:right w:val="none" w:sz="0" w:space="0" w:color="auto"/>
              </w:divBdr>
            </w:div>
            <w:div w:id="1062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263">
      <w:marLeft w:val="0"/>
      <w:marRight w:val="0"/>
      <w:marTop w:val="0"/>
      <w:marBottom w:val="0"/>
      <w:divBdr>
        <w:top w:val="none" w:sz="0" w:space="0" w:color="auto"/>
        <w:left w:val="none" w:sz="0" w:space="0" w:color="auto"/>
        <w:bottom w:val="none" w:sz="0" w:space="0" w:color="auto"/>
        <w:right w:val="none" w:sz="0" w:space="0" w:color="auto"/>
      </w:divBdr>
    </w:div>
    <w:div w:id="1062757268">
      <w:marLeft w:val="0"/>
      <w:marRight w:val="0"/>
      <w:marTop w:val="0"/>
      <w:marBottom w:val="0"/>
      <w:divBdr>
        <w:top w:val="none" w:sz="0" w:space="0" w:color="auto"/>
        <w:left w:val="none" w:sz="0" w:space="0" w:color="auto"/>
        <w:bottom w:val="none" w:sz="0" w:space="0" w:color="auto"/>
        <w:right w:val="none" w:sz="0" w:space="0" w:color="auto"/>
      </w:divBdr>
      <w:divsChild>
        <w:div w:id="1062757286">
          <w:marLeft w:val="0"/>
          <w:marRight w:val="0"/>
          <w:marTop w:val="0"/>
          <w:marBottom w:val="0"/>
          <w:divBdr>
            <w:top w:val="none" w:sz="0" w:space="0" w:color="auto"/>
            <w:left w:val="none" w:sz="0" w:space="0" w:color="auto"/>
            <w:bottom w:val="none" w:sz="0" w:space="0" w:color="auto"/>
            <w:right w:val="none" w:sz="0" w:space="0" w:color="auto"/>
          </w:divBdr>
          <w:divsChild>
            <w:div w:id="1062757262">
              <w:marLeft w:val="0"/>
              <w:marRight w:val="0"/>
              <w:marTop w:val="0"/>
              <w:marBottom w:val="0"/>
              <w:divBdr>
                <w:top w:val="none" w:sz="0" w:space="0" w:color="auto"/>
                <w:left w:val="none" w:sz="0" w:space="0" w:color="auto"/>
                <w:bottom w:val="none" w:sz="0" w:space="0" w:color="auto"/>
                <w:right w:val="none" w:sz="0" w:space="0" w:color="auto"/>
              </w:divBdr>
            </w:div>
            <w:div w:id="1062757266">
              <w:marLeft w:val="0"/>
              <w:marRight w:val="0"/>
              <w:marTop w:val="0"/>
              <w:marBottom w:val="0"/>
              <w:divBdr>
                <w:top w:val="none" w:sz="0" w:space="0" w:color="auto"/>
                <w:left w:val="none" w:sz="0" w:space="0" w:color="auto"/>
                <w:bottom w:val="none" w:sz="0" w:space="0" w:color="auto"/>
                <w:right w:val="none" w:sz="0" w:space="0" w:color="auto"/>
              </w:divBdr>
            </w:div>
            <w:div w:id="10627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269">
      <w:marLeft w:val="0"/>
      <w:marRight w:val="0"/>
      <w:marTop w:val="0"/>
      <w:marBottom w:val="0"/>
      <w:divBdr>
        <w:top w:val="none" w:sz="0" w:space="0" w:color="auto"/>
        <w:left w:val="none" w:sz="0" w:space="0" w:color="auto"/>
        <w:bottom w:val="none" w:sz="0" w:space="0" w:color="auto"/>
        <w:right w:val="none" w:sz="0" w:space="0" w:color="auto"/>
      </w:divBdr>
    </w:div>
    <w:div w:id="1062757274">
      <w:marLeft w:val="0"/>
      <w:marRight w:val="0"/>
      <w:marTop w:val="0"/>
      <w:marBottom w:val="0"/>
      <w:divBdr>
        <w:top w:val="none" w:sz="0" w:space="0" w:color="auto"/>
        <w:left w:val="none" w:sz="0" w:space="0" w:color="auto"/>
        <w:bottom w:val="none" w:sz="0" w:space="0" w:color="auto"/>
        <w:right w:val="none" w:sz="0" w:space="0" w:color="auto"/>
      </w:divBdr>
      <w:divsChild>
        <w:div w:id="1062757267">
          <w:marLeft w:val="0"/>
          <w:marRight w:val="0"/>
          <w:marTop w:val="0"/>
          <w:marBottom w:val="360"/>
          <w:divBdr>
            <w:top w:val="none" w:sz="0" w:space="0" w:color="auto"/>
            <w:left w:val="none" w:sz="0" w:space="0" w:color="auto"/>
            <w:bottom w:val="none" w:sz="0" w:space="0" w:color="auto"/>
            <w:right w:val="none" w:sz="0" w:space="0" w:color="auto"/>
          </w:divBdr>
        </w:div>
      </w:divsChild>
    </w:div>
    <w:div w:id="1062757277">
      <w:marLeft w:val="0"/>
      <w:marRight w:val="0"/>
      <w:marTop w:val="0"/>
      <w:marBottom w:val="0"/>
      <w:divBdr>
        <w:top w:val="none" w:sz="0" w:space="0" w:color="auto"/>
        <w:left w:val="none" w:sz="0" w:space="0" w:color="auto"/>
        <w:bottom w:val="none" w:sz="0" w:space="0" w:color="auto"/>
        <w:right w:val="none" w:sz="0" w:space="0" w:color="auto"/>
      </w:divBdr>
      <w:divsChild>
        <w:div w:id="1062757276">
          <w:marLeft w:val="0"/>
          <w:marRight w:val="0"/>
          <w:marTop w:val="0"/>
          <w:marBottom w:val="0"/>
          <w:divBdr>
            <w:top w:val="none" w:sz="0" w:space="0" w:color="auto"/>
            <w:left w:val="none" w:sz="0" w:space="0" w:color="auto"/>
            <w:bottom w:val="none" w:sz="0" w:space="0" w:color="auto"/>
            <w:right w:val="none" w:sz="0" w:space="0" w:color="auto"/>
          </w:divBdr>
          <w:divsChild>
            <w:div w:id="1062757256">
              <w:marLeft w:val="0"/>
              <w:marRight w:val="0"/>
              <w:marTop w:val="0"/>
              <w:marBottom w:val="0"/>
              <w:divBdr>
                <w:top w:val="none" w:sz="0" w:space="0" w:color="auto"/>
                <w:left w:val="none" w:sz="0" w:space="0" w:color="auto"/>
                <w:bottom w:val="none" w:sz="0" w:space="0" w:color="auto"/>
                <w:right w:val="none" w:sz="0" w:space="0" w:color="auto"/>
              </w:divBdr>
            </w:div>
            <w:div w:id="1062757273">
              <w:marLeft w:val="0"/>
              <w:marRight w:val="0"/>
              <w:marTop w:val="0"/>
              <w:marBottom w:val="0"/>
              <w:divBdr>
                <w:top w:val="none" w:sz="0" w:space="0" w:color="auto"/>
                <w:left w:val="none" w:sz="0" w:space="0" w:color="auto"/>
                <w:bottom w:val="none" w:sz="0" w:space="0" w:color="auto"/>
                <w:right w:val="none" w:sz="0" w:space="0" w:color="auto"/>
              </w:divBdr>
            </w:div>
            <w:div w:id="10627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278">
      <w:marLeft w:val="0"/>
      <w:marRight w:val="0"/>
      <w:marTop w:val="0"/>
      <w:marBottom w:val="0"/>
      <w:divBdr>
        <w:top w:val="none" w:sz="0" w:space="0" w:color="auto"/>
        <w:left w:val="none" w:sz="0" w:space="0" w:color="auto"/>
        <w:bottom w:val="none" w:sz="0" w:space="0" w:color="auto"/>
        <w:right w:val="none" w:sz="0" w:space="0" w:color="auto"/>
      </w:divBdr>
    </w:div>
    <w:div w:id="1062757280">
      <w:marLeft w:val="0"/>
      <w:marRight w:val="0"/>
      <w:marTop w:val="0"/>
      <w:marBottom w:val="0"/>
      <w:divBdr>
        <w:top w:val="none" w:sz="0" w:space="0" w:color="auto"/>
        <w:left w:val="none" w:sz="0" w:space="0" w:color="auto"/>
        <w:bottom w:val="none" w:sz="0" w:space="0" w:color="auto"/>
        <w:right w:val="none" w:sz="0" w:space="0" w:color="auto"/>
      </w:divBdr>
    </w:div>
    <w:div w:id="1062757282">
      <w:marLeft w:val="0"/>
      <w:marRight w:val="0"/>
      <w:marTop w:val="0"/>
      <w:marBottom w:val="0"/>
      <w:divBdr>
        <w:top w:val="none" w:sz="0" w:space="0" w:color="auto"/>
        <w:left w:val="none" w:sz="0" w:space="0" w:color="auto"/>
        <w:bottom w:val="none" w:sz="0" w:space="0" w:color="auto"/>
        <w:right w:val="none" w:sz="0" w:space="0" w:color="auto"/>
      </w:divBdr>
      <w:divsChild>
        <w:div w:id="1062757293">
          <w:marLeft w:val="0"/>
          <w:marRight w:val="0"/>
          <w:marTop w:val="0"/>
          <w:marBottom w:val="0"/>
          <w:divBdr>
            <w:top w:val="none" w:sz="0" w:space="0" w:color="auto"/>
            <w:left w:val="none" w:sz="0" w:space="0" w:color="auto"/>
            <w:bottom w:val="none" w:sz="0" w:space="0" w:color="auto"/>
            <w:right w:val="none" w:sz="0" w:space="0" w:color="auto"/>
          </w:divBdr>
          <w:divsChild>
            <w:div w:id="1062757241">
              <w:marLeft w:val="0"/>
              <w:marRight w:val="0"/>
              <w:marTop w:val="0"/>
              <w:marBottom w:val="0"/>
              <w:divBdr>
                <w:top w:val="none" w:sz="0" w:space="0" w:color="auto"/>
                <w:left w:val="none" w:sz="0" w:space="0" w:color="auto"/>
                <w:bottom w:val="none" w:sz="0" w:space="0" w:color="auto"/>
                <w:right w:val="none" w:sz="0" w:space="0" w:color="auto"/>
              </w:divBdr>
            </w:div>
            <w:div w:id="1062757244">
              <w:marLeft w:val="0"/>
              <w:marRight w:val="0"/>
              <w:marTop w:val="0"/>
              <w:marBottom w:val="0"/>
              <w:divBdr>
                <w:top w:val="none" w:sz="0" w:space="0" w:color="auto"/>
                <w:left w:val="none" w:sz="0" w:space="0" w:color="auto"/>
                <w:bottom w:val="none" w:sz="0" w:space="0" w:color="auto"/>
                <w:right w:val="none" w:sz="0" w:space="0" w:color="auto"/>
              </w:divBdr>
            </w:div>
            <w:div w:id="10627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289">
      <w:marLeft w:val="0"/>
      <w:marRight w:val="0"/>
      <w:marTop w:val="0"/>
      <w:marBottom w:val="0"/>
      <w:divBdr>
        <w:top w:val="none" w:sz="0" w:space="0" w:color="auto"/>
        <w:left w:val="none" w:sz="0" w:space="0" w:color="auto"/>
        <w:bottom w:val="none" w:sz="0" w:space="0" w:color="auto"/>
        <w:right w:val="none" w:sz="0" w:space="0" w:color="auto"/>
      </w:divBdr>
      <w:divsChild>
        <w:div w:id="1062757264">
          <w:marLeft w:val="0"/>
          <w:marRight w:val="0"/>
          <w:marTop w:val="0"/>
          <w:marBottom w:val="0"/>
          <w:divBdr>
            <w:top w:val="none" w:sz="0" w:space="0" w:color="auto"/>
            <w:left w:val="none" w:sz="0" w:space="0" w:color="auto"/>
            <w:bottom w:val="none" w:sz="0" w:space="0" w:color="auto"/>
            <w:right w:val="none" w:sz="0" w:space="0" w:color="auto"/>
          </w:divBdr>
        </w:div>
        <w:div w:id="1062757275">
          <w:marLeft w:val="0"/>
          <w:marRight w:val="0"/>
          <w:marTop w:val="0"/>
          <w:marBottom w:val="0"/>
          <w:divBdr>
            <w:top w:val="none" w:sz="0" w:space="0" w:color="auto"/>
            <w:left w:val="none" w:sz="0" w:space="0" w:color="auto"/>
            <w:bottom w:val="none" w:sz="0" w:space="0" w:color="auto"/>
            <w:right w:val="none" w:sz="0" w:space="0" w:color="auto"/>
          </w:divBdr>
        </w:div>
      </w:divsChild>
    </w:div>
    <w:div w:id="1062757290">
      <w:marLeft w:val="0"/>
      <w:marRight w:val="0"/>
      <w:marTop w:val="0"/>
      <w:marBottom w:val="0"/>
      <w:divBdr>
        <w:top w:val="none" w:sz="0" w:space="0" w:color="auto"/>
        <w:left w:val="none" w:sz="0" w:space="0" w:color="auto"/>
        <w:bottom w:val="none" w:sz="0" w:space="0" w:color="auto"/>
        <w:right w:val="none" w:sz="0" w:space="0" w:color="auto"/>
      </w:divBdr>
      <w:divsChild>
        <w:div w:id="1062757251">
          <w:marLeft w:val="0"/>
          <w:marRight w:val="0"/>
          <w:marTop w:val="0"/>
          <w:marBottom w:val="0"/>
          <w:divBdr>
            <w:top w:val="none" w:sz="0" w:space="0" w:color="auto"/>
            <w:left w:val="none" w:sz="0" w:space="0" w:color="auto"/>
            <w:bottom w:val="none" w:sz="0" w:space="0" w:color="auto"/>
            <w:right w:val="none" w:sz="0" w:space="0" w:color="auto"/>
          </w:divBdr>
          <w:divsChild>
            <w:div w:id="1062757247">
              <w:marLeft w:val="720"/>
              <w:marRight w:val="0"/>
              <w:marTop w:val="100"/>
              <w:marBottom w:val="100"/>
              <w:divBdr>
                <w:top w:val="none" w:sz="0" w:space="0" w:color="auto"/>
                <w:left w:val="none" w:sz="0" w:space="0" w:color="auto"/>
                <w:bottom w:val="none" w:sz="0" w:space="0" w:color="auto"/>
                <w:right w:val="none" w:sz="0" w:space="0" w:color="auto"/>
              </w:divBdr>
            </w:div>
            <w:div w:id="1062757249">
              <w:marLeft w:val="720"/>
              <w:marRight w:val="0"/>
              <w:marTop w:val="100"/>
              <w:marBottom w:val="100"/>
              <w:divBdr>
                <w:top w:val="none" w:sz="0" w:space="0" w:color="auto"/>
                <w:left w:val="none" w:sz="0" w:space="0" w:color="auto"/>
                <w:bottom w:val="none" w:sz="0" w:space="0" w:color="auto"/>
                <w:right w:val="none" w:sz="0" w:space="0" w:color="auto"/>
              </w:divBdr>
            </w:div>
            <w:div w:id="106275728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er.uz"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MSOffice\Templat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4</TotalTime>
  <Pages>3</Pages>
  <Words>884</Words>
  <Characters>5043</Characters>
  <Application>Microsoft Office Outlook</Application>
  <DocSecurity>0</DocSecurity>
  <Lines>0</Lines>
  <Paragraphs>0</Paragraphs>
  <ScaleCrop>false</ScaleCrop>
  <Manager>Jens Wandel</Manager>
  <Company>UNDP BRC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Concept Note Template</dc:title>
  <dc:subject>Project Management</dc:subject>
  <dc:creator>Patrick Gremillet</dc:creator>
  <cp:keywords/>
  <dc:description>Concept Note template to be used for proposal to be submitted to PPC</dc:description>
  <cp:lastModifiedBy>Daoudi</cp:lastModifiedBy>
  <cp:revision>7</cp:revision>
  <cp:lastPrinted>2010-07-08T00:11:00Z</cp:lastPrinted>
  <dcterms:created xsi:type="dcterms:W3CDTF">2010-11-18T10:57:00Z</dcterms:created>
  <dcterms:modified xsi:type="dcterms:W3CDTF">2010-11-26T16:42:00Z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