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5EC" w:rsidRPr="00D41676" w:rsidRDefault="00D41676" w:rsidP="0047427B">
      <w:pPr>
        <w:ind w:left="-180"/>
        <w:jc w:val="center"/>
        <w:rPr>
          <w:rFonts w:ascii="Calibri" w:hAnsi="Calibri" w:cs="Calibri"/>
          <w:b/>
          <w:sz w:val="32"/>
          <w:szCs w:val="32"/>
        </w:rPr>
      </w:pPr>
      <w:bookmarkStart w:id="0" w:name="_GoBack"/>
      <w:bookmarkEnd w:id="0"/>
      <w:r w:rsidRPr="00D41676">
        <w:rPr>
          <w:rFonts w:ascii="Calibri" w:hAnsi="Calibri" w:cs="Calibri"/>
          <w:b/>
          <w:noProof/>
          <w:sz w:val="32"/>
          <w:szCs w:val="32"/>
          <w:lang w:val="en-GB" w:eastAsia="en-GB"/>
        </w:rPr>
        <w:drawing>
          <wp:inline distT="0" distB="0" distL="0" distR="0" wp14:anchorId="71008ADF" wp14:editId="3CDC8CEA">
            <wp:extent cx="667910" cy="6679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7941" cy="667941"/>
                    </a:xfrm>
                    <a:prstGeom prst="rect">
                      <a:avLst/>
                    </a:prstGeom>
                    <a:noFill/>
                    <a:ln>
                      <a:noFill/>
                    </a:ln>
                  </pic:spPr>
                </pic:pic>
              </a:graphicData>
            </a:graphic>
          </wp:inline>
        </w:drawing>
      </w:r>
      <w:r w:rsidR="003D45E7">
        <w:rPr>
          <w:rFonts w:ascii="Calibri" w:hAnsi="Calibri" w:cs="Calibri"/>
          <w:b/>
          <w:sz w:val="32"/>
          <w:szCs w:val="32"/>
        </w:rPr>
        <w:t xml:space="preserve">              </w:t>
      </w:r>
      <w:r w:rsidRPr="00D41676">
        <w:rPr>
          <w:rFonts w:ascii="Calibri" w:hAnsi="Calibri" w:cs="Calibri"/>
          <w:b/>
          <w:noProof/>
          <w:sz w:val="32"/>
          <w:szCs w:val="32"/>
          <w:lang w:val="en-GB" w:eastAsia="en-GB"/>
        </w:rPr>
        <w:drawing>
          <wp:inline distT="0" distB="0" distL="0" distR="0" wp14:anchorId="7416C93E" wp14:editId="2933405E">
            <wp:extent cx="612443" cy="628153"/>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443" cy="628153"/>
                    </a:xfrm>
                    <a:prstGeom prst="rect">
                      <a:avLst/>
                    </a:prstGeom>
                    <a:noFill/>
                    <a:ln>
                      <a:noFill/>
                    </a:ln>
                  </pic:spPr>
                </pic:pic>
              </a:graphicData>
            </a:graphic>
          </wp:inline>
        </w:drawing>
      </w:r>
    </w:p>
    <w:p w:rsidR="003D45E7" w:rsidRDefault="003D45E7" w:rsidP="00A013BC">
      <w:pPr>
        <w:jc w:val="center"/>
        <w:rPr>
          <w:rFonts w:ascii="Calibri" w:hAnsi="Calibri" w:cs="Calibri"/>
          <w:b/>
          <w:sz w:val="32"/>
          <w:szCs w:val="32"/>
        </w:rPr>
      </w:pPr>
    </w:p>
    <w:p w:rsidR="00333D7F" w:rsidRDefault="00333D7F" w:rsidP="00A013BC">
      <w:pPr>
        <w:jc w:val="center"/>
        <w:rPr>
          <w:rFonts w:ascii="Calibri" w:hAnsi="Calibri" w:cs="Calibri"/>
          <w:b/>
          <w:sz w:val="72"/>
          <w:szCs w:val="72"/>
        </w:rPr>
      </w:pPr>
      <w:r>
        <w:rPr>
          <w:rFonts w:ascii="Calibri" w:hAnsi="Calibri" w:cs="Calibri"/>
          <w:b/>
          <w:sz w:val="72"/>
          <w:szCs w:val="72"/>
        </w:rPr>
        <w:t>UNECE/FAO</w:t>
      </w:r>
    </w:p>
    <w:p w:rsidR="00FE3899" w:rsidRPr="001349F7" w:rsidRDefault="00CA0DD8" w:rsidP="00A013BC">
      <w:pPr>
        <w:jc w:val="center"/>
        <w:rPr>
          <w:rFonts w:ascii="Calibri" w:hAnsi="Calibri" w:cs="Calibri"/>
          <w:b/>
          <w:sz w:val="72"/>
          <w:szCs w:val="72"/>
        </w:rPr>
      </w:pPr>
      <w:r w:rsidRPr="001349F7">
        <w:rPr>
          <w:rFonts w:ascii="Calibri" w:hAnsi="Calibri" w:cs="Calibri"/>
          <w:b/>
          <w:sz w:val="72"/>
          <w:szCs w:val="72"/>
        </w:rPr>
        <w:t>Joint Wood Energy Enquiry</w:t>
      </w:r>
    </w:p>
    <w:p w:rsidR="00D701D7" w:rsidRPr="001349F7" w:rsidRDefault="00EF009A" w:rsidP="00A013BC">
      <w:pPr>
        <w:jc w:val="center"/>
        <w:rPr>
          <w:rFonts w:ascii="Calibri" w:hAnsi="Calibri" w:cs="Calibri"/>
          <w:b/>
          <w:sz w:val="72"/>
          <w:szCs w:val="72"/>
        </w:rPr>
      </w:pPr>
      <w:r w:rsidRPr="001349F7">
        <w:rPr>
          <w:rFonts w:ascii="Calibri" w:hAnsi="Calibri" w:cs="Calibri"/>
          <w:b/>
          <w:sz w:val="72"/>
          <w:szCs w:val="72"/>
        </w:rPr>
        <w:t>201</w:t>
      </w:r>
      <w:r>
        <w:rPr>
          <w:rFonts w:ascii="Calibri" w:hAnsi="Calibri" w:cs="Calibri"/>
          <w:b/>
          <w:sz w:val="72"/>
          <w:szCs w:val="72"/>
        </w:rPr>
        <w:t>3</w:t>
      </w:r>
    </w:p>
    <w:p w:rsidR="00D701D7" w:rsidRPr="001349F7" w:rsidRDefault="00D701D7" w:rsidP="00A013BC">
      <w:pPr>
        <w:jc w:val="center"/>
        <w:rPr>
          <w:rFonts w:ascii="Calibri" w:hAnsi="Calibri" w:cs="Calibri"/>
          <w:b/>
        </w:rPr>
      </w:pPr>
    </w:p>
    <w:p w:rsidR="00005AD3" w:rsidRPr="001349F7" w:rsidRDefault="00F62BC8" w:rsidP="00A013BC">
      <w:pPr>
        <w:jc w:val="center"/>
        <w:rPr>
          <w:rFonts w:ascii="Calibri" w:hAnsi="Calibri" w:cs="Calibri"/>
          <w:b/>
          <w:sz w:val="56"/>
          <w:szCs w:val="56"/>
        </w:rPr>
      </w:pPr>
      <w:r w:rsidRPr="001349F7">
        <w:rPr>
          <w:rFonts w:ascii="Calibri" w:hAnsi="Calibri" w:cs="Calibri"/>
          <w:b/>
          <w:sz w:val="56"/>
          <w:szCs w:val="56"/>
        </w:rPr>
        <w:t>User M</w:t>
      </w:r>
      <w:r w:rsidR="00005AD3" w:rsidRPr="001349F7">
        <w:rPr>
          <w:rFonts w:ascii="Calibri" w:hAnsi="Calibri" w:cs="Calibri"/>
          <w:b/>
          <w:sz w:val="56"/>
          <w:szCs w:val="56"/>
        </w:rPr>
        <w:t>anual</w:t>
      </w:r>
    </w:p>
    <w:p w:rsidR="009C6FA4" w:rsidRPr="001349F7" w:rsidRDefault="009C6FA4" w:rsidP="0047427B">
      <w:pPr>
        <w:jc w:val="center"/>
        <w:rPr>
          <w:rFonts w:ascii="Calibri" w:hAnsi="Calibri" w:cs="Calibri"/>
          <w:b/>
          <w:sz w:val="32"/>
          <w:szCs w:val="32"/>
        </w:rPr>
      </w:pPr>
    </w:p>
    <w:p w:rsidR="00C36A74" w:rsidRDefault="00F615B3" w:rsidP="0047427B">
      <w:pPr>
        <w:jc w:val="center"/>
        <w:rPr>
          <w:rFonts w:ascii="Calibri" w:hAnsi="Calibri" w:cs="Calibri"/>
          <w:b/>
          <w:sz w:val="32"/>
          <w:szCs w:val="32"/>
        </w:rPr>
        <w:sectPr w:rsidR="00C36A74" w:rsidSect="003A47BA">
          <w:footerReference w:type="even" r:id="rId11"/>
          <w:pgSz w:w="11907" w:h="16840" w:code="9"/>
          <w:pgMar w:top="1440" w:right="1417" w:bottom="1440" w:left="1440" w:header="708" w:footer="708" w:gutter="0"/>
          <w:pgNumType w:start="1"/>
          <w:cols w:space="708"/>
          <w:docGrid w:linePitch="360"/>
        </w:sectPr>
      </w:pPr>
      <w:r>
        <w:rPr>
          <w:rFonts w:ascii="Calibri" w:hAnsi="Calibri" w:cs="Calibri"/>
          <w:noProof/>
          <w:sz w:val="44"/>
          <w:szCs w:val="44"/>
          <w:lang w:val="en-GB" w:eastAsia="en-GB"/>
        </w:rPr>
        <w:drawing>
          <wp:anchor distT="0" distB="0" distL="114300" distR="114300" simplePos="0" relativeHeight="251654656" behindDoc="0" locked="0" layoutInCell="1" allowOverlap="1" wp14:anchorId="7567A88F" wp14:editId="24BA6EA9">
            <wp:simplePos x="0" y="0"/>
            <wp:positionH relativeFrom="column">
              <wp:posOffset>4343400</wp:posOffset>
            </wp:positionH>
            <wp:positionV relativeFrom="paragraph">
              <wp:posOffset>6327140</wp:posOffset>
            </wp:positionV>
            <wp:extent cx="647700" cy="662305"/>
            <wp:effectExtent l="0" t="0" r="0" b="44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 cy="662305"/>
                    </a:xfrm>
                    <a:prstGeom prst="rect">
                      <a:avLst/>
                    </a:prstGeom>
                    <a:solidFill>
                      <a:srgbClr val="FFCC00"/>
                    </a:solidFill>
                  </pic:spPr>
                </pic:pic>
              </a:graphicData>
            </a:graphic>
            <wp14:sizeRelH relativeFrom="page">
              <wp14:pctWidth>0</wp14:pctWidth>
            </wp14:sizeRelH>
            <wp14:sizeRelV relativeFrom="page">
              <wp14:pctHeight>0</wp14:pctHeight>
            </wp14:sizeRelV>
          </wp:anchor>
        </w:drawing>
      </w:r>
      <w:r>
        <w:rPr>
          <w:rFonts w:ascii="Calibri" w:hAnsi="Calibri" w:cs="Calibri"/>
          <w:noProof/>
          <w:sz w:val="44"/>
          <w:szCs w:val="44"/>
          <w:lang w:val="en-GB" w:eastAsia="en-GB"/>
        </w:rPr>
        <w:drawing>
          <wp:anchor distT="0" distB="0" distL="114300" distR="114300" simplePos="0" relativeHeight="251655680" behindDoc="0" locked="0" layoutInCell="1" allowOverlap="1" wp14:anchorId="1F3414DA" wp14:editId="2C109F4D">
            <wp:simplePos x="0" y="0"/>
            <wp:positionH relativeFrom="column">
              <wp:posOffset>1371600</wp:posOffset>
            </wp:positionH>
            <wp:positionV relativeFrom="paragraph">
              <wp:posOffset>6323330</wp:posOffset>
            </wp:positionV>
            <wp:extent cx="734695" cy="681990"/>
            <wp:effectExtent l="0" t="0" r="8255" b="3810"/>
            <wp:wrapNone/>
            <wp:docPr id="36" name="Picture 36" descr="un-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un-blu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4695" cy="681990"/>
                    </a:xfrm>
                    <a:prstGeom prst="rect">
                      <a:avLst/>
                    </a:prstGeom>
                    <a:solidFill>
                      <a:srgbClr val="FFCC00"/>
                    </a:solidFill>
                  </pic:spPr>
                </pic:pic>
              </a:graphicData>
            </a:graphic>
            <wp14:sizeRelH relativeFrom="page">
              <wp14:pctWidth>0</wp14:pctWidth>
            </wp14:sizeRelH>
            <wp14:sizeRelV relativeFrom="page">
              <wp14:pctHeight>0</wp14:pctHeight>
            </wp14:sizeRelV>
          </wp:anchor>
        </w:drawing>
      </w:r>
      <w:r>
        <w:rPr>
          <w:rFonts w:ascii="Calibri" w:hAnsi="Calibri" w:cs="Calibri"/>
          <w:noProof/>
          <w:sz w:val="32"/>
          <w:szCs w:val="32"/>
          <w:lang w:val="en-GB" w:eastAsia="en-GB"/>
        </w:rPr>
        <w:drawing>
          <wp:inline distT="0" distB="0" distL="0" distR="0" wp14:anchorId="14BC17FB" wp14:editId="0EF0A4D8">
            <wp:extent cx="4429125" cy="4429125"/>
            <wp:effectExtent l="0" t="0" r="9525" b="9525"/>
            <wp:docPr id="1" name="Picture 1" descr="first d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st draf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29125" cy="4429125"/>
                    </a:xfrm>
                    <a:prstGeom prst="rect">
                      <a:avLst/>
                    </a:prstGeom>
                    <a:noFill/>
                    <a:ln>
                      <a:noFill/>
                    </a:ln>
                  </pic:spPr>
                </pic:pic>
              </a:graphicData>
            </a:graphic>
          </wp:inline>
        </w:drawing>
      </w:r>
    </w:p>
    <w:p w:rsidR="00164C10" w:rsidRDefault="00657DC5" w:rsidP="0047427B">
      <w:pPr>
        <w:pStyle w:val="Heading1"/>
        <w:numPr>
          <w:ilvl w:val="0"/>
          <w:numId w:val="0"/>
        </w:numPr>
        <w:spacing w:before="0" w:after="0"/>
      </w:pPr>
      <w:bookmarkStart w:id="1" w:name="_Toc326748693"/>
      <w:bookmarkStart w:id="2" w:name="_Toc407187205"/>
      <w:r w:rsidRPr="001349F7">
        <w:lastRenderedPageBreak/>
        <w:t xml:space="preserve">About </w:t>
      </w:r>
      <w:r w:rsidR="00F62BC8" w:rsidRPr="001349F7">
        <w:t>th</w:t>
      </w:r>
      <w:r w:rsidR="00BC518B">
        <w:t>is</w:t>
      </w:r>
      <w:r w:rsidR="00F62BC8" w:rsidRPr="001349F7">
        <w:t xml:space="preserve"> U</w:t>
      </w:r>
      <w:r w:rsidR="00164C10" w:rsidRPr="001349F7">
        <w:t xml:space="preserve">ser </w:t>
      </w:r>
      <w:r w:rsidR="00F62BC8" w:rsidRPr="001349F7">
        <w:t>M</w:t>
      </w:r>
      <w:r w:rsidR="00164C10" w:rsidRPr="001349F7">
        <w:t>anual</w:t>
      </w:r>
      <w:bookmarkEnd w:id="1"/>
      <w:bookmarkEnd w:id="2"/>
    </w:p>
    <w:p w:rsidR="00A013BC" w:rsidRPr="00A013BC" w:rsidRDefault="00A013BC" w:rsidP="0047427B"/>
    <w:p w:rsidR="00A013BC" w:rsidRDefault="00164C10" w:rsidP="0047427B">
      <w:pPr>
        <w:jc w:val="both"/>
        <w:rPr>
          <w:rFonts w:asciiTheme="minorHAnsi" w:hAnsiTheme="minorHAnsi" w:cstheme="minorHAnsi"/>
        </w:rPr>
      </w:pPr>
      <w:r w:rsidRPr="00D4451B">
        <w:rPr>
          <w:rFonts w:asciiTheme="minorHAnsi" w:hAnsiTheme="minorHAnsi" w:cstheme="minorHAnsi"/>
        </w:rPr>
        <w:t xml:space="preserve">This manual describes the revised structure of the </w:t>
      </w:r>
      <w:r w:rsidR="00333D7F" w:rsidRPr="00D4451B">
        <w:rPr>
          <w:rFonts w:asciiTheme="minorHAnsi" w:hAnsiTheme="minorHAnsi" w:cstheme="minorHAnsi"/>
        </w:rPr>
        <w:t xml:space="preserve">UNECE/FAO </w:t>
      </w:r>
      <w:r w:rsidRPr="00D4451B">
        <w:rPr>
          <w:rFonts w:asciiTheme="minorHAnsi" w:hAnsiTheme="minorHAnsi" w:cstheme="minorHAnsi"/>
        </w:rPr>
        <w:t>Joint Wood Energy Enquiry</w:t>
      </w:r>
      <w:r w:rsidR="008379EC" w:rsidRPr="00D4451B">
        <w:rPr>
          <w:rFonts w:asciiTheme="minorHAnsi" w:hAnsiTheme="minorHAnsi" w:cstheme="minorHAnsi"/>
        </w:rPr>
        <w:t xml:space="preserve">. It </w:t>
      </w:r>
      <w:r w:rsidR="00ED127D" w:rsidRPr="00D4451B">
        <w:rPr>
          <w:rFonts w:asciiTheme="minorHAnsi" w:hAnsiTheme="minorHAnsi" w:cstheme="minorHAnsi"/>
        </w:rPr>
        <w:t>build</w:t>
      </w:r>
      <w:r w:rsidR="008379EC" w:rsidRPr="00D4451B">
        <w:rPr>
          <w:rFonts w:asciiTheme="minorHAnsi" w:hAnsiTheme="minorHAnsi" w:cstheme="minorHAnsi"/>
        </w:rPr>
        <w:t>s</w:t>
      </w:r>
      <w:r w:rsidR="00ED127D" w:rsidRPr="00D4451B">
        <w:rPr>
          <w:rFonts w:asciiTheme="minorHAnsi" w:hAnsiTheme="minorHAnsi" w:cstheme="minorHAnsi"/>
        </w:rPr>
        <w:t xml:space="preserve"> on improvements</w:t>
      </w:r>
      <w:r w:rsidR="008379EC" w:rsidRPr="00D4451B">
        <w:rPr>
          <w:rFonts w:asciiTheme="minorHAnsi" w:hAnsiTheme="minorHAnsi" w:cstheme="minorHAnsi"/>
        </w:rPr>
        <w:t xml:space="preserve"> and</w:t>
      </w:r>
      <w:r w:rsidR="00ED127D" w:rsidRPr="00D4451B">
        <w:rPr>
          <w:rFonts w:asciiTheme="minorHAnsi" w:hAnsiTheme="minorHAnsi" w:cstheme="minorHAnsi"/>
        </w:rPr>
        <w:t xml:space="preserve"> experiences</w:t>
      </w:r>
      <w:r w:rsidR="00B41273" w:rsidRPr="00D4451B">
        <w:rPr>
          <w:rFonts w:asciiTheme="minorHAnsi" w:hAnsiTheme="minorHAnsi" w:cstheme="minorHAnsi"/>
        </w:rPr>
        <w:t xml:space="preserve"> </w:t>
      </w:r>
      <w:r w:rsidR="00F62BC8" w:rsidRPr="00D4451B">
        <w:rPr>
          <w:rFonts w:asciiTheme="minorHAnsi" w:hAnsiTheme="minorHAnsi" w:cstheme="minorHAnsi"/>
        </w:rPr>
        <w:t xml:space="preserve">made </w:t>
      </w:r>
      <w:r w:rsidR="00B41273" w:rsidRPr="00D4451B">
        <w:rPr>
          <w:rFonts w:asciiTheme="minorHAnsi" w:hAnsiTheme="minorHAnsi" w:cstheme="minorHAnsi"/>
        </w:rPr>
        <w:t xml:space="preserve">and </w:t>
      </w:r>
      <w:r w:rsidR="008379EC" w:rsidRPr="00D4451B">
        <w:rPr>
          <w:rFonts w:asciiTheme="minorHAnsi" w:hAnsiTheme="minorHAnsi" w:cstheme="minorHAnsi"/>
        </w:rPr>
        <w:t>valuable f</w:t>
      </w:r>
      <w:r w:rsidR="00B41273" w:rsidRPr="00D4451B">
        <w:rPr>
          <w:rFonts w:asciiTheme="minorHAnsi" w:hAnsiTheme="minorHAnsi" w:cstheme="minorHAnsi"/>
        </w:rPr>
        <w:t>eedback</w:t>
      </w:r>
      <w:r w:rsidR="00F62BC8" w:rsidRPr="00D4451B">
        <w:rPr>
          <w:rFonts w:asciiTheme="minorHAnsi" w:hAnsiTheme="minorHAnsi" w:cstheme="minorHAnsi"/>
        </w:rPr>
        <w:t xml:space="preserve"> </w:t>
      </w:r>
      <w:r w:rsidR="008379EC" w:rsidRPr="00D4451B">
        <w:rPr>
          <w:rFonts w:asciiTheme="minorHAnsi" w:hAnsiTheme="minorHAnsi" w:cstheme="minorHAnsi"/>
        </w:rPr>
        <w:t xml:space="preserve">from </w:t>
      </w:r>
      <w:r w:rsidR="003B279D" w:rsidRPr="00D4451B">
        <w:rPr>
          <w:rFonts w:asciiTheme="minorHAnsi" w:hAnsiTheme="minorHAnsi" w:cstheme="minorHAnsi"/>
        </w:rPr>
        <w:t xml:space="preserve">national </w:t>
      </w:r>
      <w:r w:rsidR="00FE3899" w:rsidRPr="00D4451B">
        <w:rPr>
          <w:rFonts w:asciiTheme="minorHAnsi" w:hAnsiTheme="minorHAnsi" w:cstheme="minorHAnsi"/>
        </w:rPr>
        <w:t>correspondents</w:t>
      </w:r>
      <w:r w:rsidR="008379EC" w:rsidRPr="00D4451B">
        <w:rPr>
          <w:rFonts w:asciiTheme="minorHAnsi" w:hAnsiTheme="minorHAnsi" w:cstheme="minorHAnsi"/>
        </w:rPr>
        <w:t xml:space="preserve"> </w:t>
      </w:r>
      <w:r w:rsidR="00ED127D" w:rsidRPr="00D4451B">
        <w:rPr>
          <w:rFonts w:asciiTheme="minorHAnsi" w:hAnsiTheme="minorHAnsi" w:cstheme="minorHAnsi"/>
        </w:rPr>
        <w:t>during the previous rounds in 2005, 2007</w:t>
      </w:r>
      <w:r w:rsidR="00EF009A">
        <w:rPr>
          <w:rFonts w:asciiTheme="minorHAnsi" w:hAnsiTheme="minorHAnsi" w:cstheme="minorHAnsi"/>
        </w:rPr>
        <w:t>, 2009</w:t>
      </w:r>
      <w:r w:rsidR="00ED127D" w:rsidRPr="00D4451B">
        <w:rPr>
          <w:rFonts w:asciiTheme="minorHAnsi" w:hAnsiTheme="minorHAnsi" w:cstheme="minorHAnsi"/>
        </w:rPr>
        <w:t xml:space="preserve"> </w:t>
      </w:r>
      <w:r w:rsidR="00EF009A">
        <w:rPr>
          <w:rFonts w:asciiTheme="minorHAnsi" w:hAnsiTheme="minorHAnsi" w:cstheme="minorHAnsi"/>
        </w:rPr>
        <w:t xml:space="preserve">and </w:t>
      </w:r>
      <w:r w:rsidR="00ED127D" w:rsidRPr="00D4451B">
        <w:rPr>
          <w:rFonts w:asciiTheme="minorHAnsi" w:hAnsiTheme="minorHAnsi" w:cstheme="minorHAnsi"/>
        </w:rPr>
        <w:t>20</w:t>
      </w:r>
      <w:r w:rsidR="00EF009A">
        <w:rPr>
          <w:rFonts w:asciiTheme="minorHAnsi" w:hAnsiTheme="minorHAnsi" w:cstheme="minorHAnsi"/>
        </w:rPr>
        <w:t>11</w:t>
      </w:r>
      <w:r w:rsidR="00ED127D" w:rsidRPr="00D4451B">
        <w:rPr>
          <w:rFonts w:asciiTheme="minorHAnsi" w:hAnsiTheme="minorHAnsi" w:cstheme="minorHAnsi"/>
        </w:rPr>
        <w:t>.</w:t>
      </w:r>
      <w:r w:rsidR="00B41273" w:rsidRPr="00D4451B">
        <w:rPr>
          <w:rFonts w:asciiTheme="minorHAnsi" w:hAnsiTheme="minorHAnsi" w:cstheme="minorHAnsi"/>
        </w:rPr>
        <w:t xml:space="preserve"> </w:t>
      </w:r>
      <w:r w:rsidR="008379EC" w:rsidRPr="00D4451B">
        <w:rPr>
          <w:rFonts w:asciiTheme="minorHAnsi" w:hAnsiTheme="minorHAnsi" w:cstheme="minorHAnsi"/>
        </w:rPr>
        <w:t>Th</w:t>
      </w:r>
      <w:r w:rsidR="00333D7F" w:rsidRPr="00D4451B">
        <w:rPr>
          <w:rFonts w:asciiTheme="minorHAnsi" w:hAnsiTheme="minorHAnsi" w:cstheme="minorHAnsi"/>
        </w:rPr>
        <w:t>is</w:t>
      </w:r>
      <w:r w:rsidR="008379EC" w:rsidRPr="00D4451B">
        <w:rPr>
          <w:rFonts w:asciiTheme="minorHAnsi" w:hAnsiTheme="minorHAnsi" w:cstheme="minorHAnsi"/>
        </w:rPr>
        <w:t xml:space="preserve"> paper </w:t>
      </w:r>
      <w:r w:rsidRPr="00D4451B">
        <w:rPr>
          <w:rFonts w:asciiTheme="minorHAnsi" w:hAnsiTheme="minorHAnsi" w:cstheme="minorHAnsi"/>
        </w:rPr>
        <w:t>seeks to support and guide national correspondents in providing latest data on wood energy for the reference year 20</w:t>
      </w:r>
      <w:r w:rsidR="00D02EEA" w:rsidRPr="00D4451B">
        <w:rPr>
          <w:rFonts w:asciiTheme="minorHAnsi" w:hAnsiTheme="minorHAnsi" w:cstheme="minorHAnsi"/>
        </w:rPr>
        <w:t>1</w:t>
      </w:r>
      <w:r w:rsidR="00B66966">
        <w:rPr>
          <w:rFonts w:asciiTheme="minorHAnsi" w:hAnsiTheme="minorHAnsi" w:cstheme="minorHAnsi"/>
        </w:rPr>
        <w:t>3</w:t>
      </w:r>
      <w:r w:rsidRPr="00D4451B">
        <w:rPr>
          <w:rFonts w:asciiTheme="minorHAnsi" w:hAnsiTheme="minorHAnsi" w:cstheme="minorHAnsi"/>
        </w:rPr>
        <w:t>.</w:t>
      </w:r>
      <w:r w:rsidR="00B41273" w:rsidRPr="00D4451B">
        <w:rPr>
          <w:rFonts w:asciiTheme="minorHAnsi" w:hAnsiTheme="minorHAnsi" w:cstheme="minorHAnsi"/>
        </w:rPr>
        <w:t xml:space="preserve"> The objective is </w:t>
      </w:r>
      <w:r w:rsidRPr="00D4451B">
        <w:rPr>
          <w:rFonts w:asciiTheme="minorHAnsi" w:hAnsiTheme="minorHAnsi" w:cstheme="minorHAnsi"/>
        </w:rPr>
        <w:t>to gain better information on the changes and developments in the field of wood energy</w:t>
      </w:r>
      <w:r w:rsidR="00D02EEA" w:rsidRPr="00D4451B">
        <w:rPr>
          <w:rFonts w:asciiTheme="minorHAnsi" w:hAnsiTheme="minorHAnsi" w:cstheme="minorHAnsi"/>
        </w:rPr>
        <w:t>.</w:t>
      </w:r>
      <w:r w:rsidR="00064808">
        <w:rPr>
          <w:rFonts w:asciiTheme="minorHAnsi" w:hAnsiTheme="minorHAnsi" w:cstheme="minorHAnsi"/>
        </w:rPr>
        <w:t xml:space="preserve"> Every effort</w:t>
      </w:r>
      <w:r w:rsidR="00B41273" w:rsidRPr="00D4451B">
        <w:rPr>
          <w:rFonts w:asciiTheme="minorHAnsi" w:hAnsiTheme="minorHAnsi" w:cstheme="minorHAnsi"/>
        </w:rPr>
        <w:t xml:space="preserve"> </w:t>
      </w:r>
      <w:r w:rsidR="00064808">
        <w:rPr>
          <w:rFonts w:asciiTheme="minorHAnsi" w:hAnsiTheme="minorHAnsi" w:cstheme="minorHAnsi"/>
        </w:rPr>
        <w:t>has been made to make</w:t>
      </w:r>
      <w:r w:rsidR="00B41273" w:rsidRPr="00D4451B">
        <w:rPr>
          <w:rFonts w:asciiTheme="minorHAnsi" w:hAnsiTheme="minorHAnsi" w:cstheme="minorHAnsi"/>
        </w:rPr>
        <w:t xml:space="preserve"> </w:t>
      </w:r>
      <w:r w:rsidR="00FC0A42">
        <w:rPr>
          <w:rFonts w:asciiTheme="minorHAnsi" w:hAnsiTheme="minorHAnsi" w:cstheme="minorHAnsi"/>
        </w:rPr>
        <w:t xml:space="preserve">this manual and the spreadsheets </w:t>
      </w:r>
      <w:r w:rsidR="00064808">
        <w:rPr>
          <w:rFonts w:asciiTheme="minorHAnsi" w:hAnsiTheme="minorHAnsi" w:cstheme="minorHAnsi"/>
        </w:rPr>
        <w:t xml:space="preserve">as comprehensive as possible. Nonetheless they </w:t>
      </w:r>
      <w:r w:rsidR="00FC0A42">
        <w:rPr>
          <w:rFonts w:asciiTheme="minorHAnsi" w:hAnsiTheme="minorHAnsi" w:cstheme="minorHAnsi"/>
        </w:rPr>
        <w:t>remain work in progress. C</w:t>
      </w:r>
      <w:r w:rsidR="00B41273" w:rsidRPr="00D4451B">
        <w:rPr>
          <w:rFonts w:asciiTheme="minorHAnsi" w:hAnsiTheme="minorHAnsi" w:cstheme="minorHAnsi"/>
        </w:rPr>
        <w:t>orrespondents and experts are invited to s</w:t>
      </w:r>
      <w:r w:rsidR="00F62BC8" w:rsidRPr="00D4451B">
        <w:rPr>
          <w:rFonts w:asciiTheme="minorHAnsi" w:hAnsiTheme="minorHAnsi" w:cstheme="minorHAnsi"/>
        </w:rPr>
        <w:t xml:space="preserve">end </w:t>
      </w:r>
      <w:r w:rsidR="008379EC" w:rsidRPr="00D4451B">
        <w:rPr>
          <w:rFonts w:asciiTheme="minorHAnsi" w:hAnsiTheme="minorHAnsi" w:cstheme="minorHAnsi"/>
        </w:rPr>
        <w:t>questions and</w:t>
      </w:r>
      <w:r w:rsidR="00333D7F" w:rsidRPr="00D4451B">
        <w:rPr>
          <w:rFonts w:asciiTheme="minorHAnsi" w:hAnsiTheme="minorHAnsi" w:cstheme="minorHAnsi"/>
        </w:rPr>
        <w:t>/or</w:t>
      </w:r>
      <w:r w:rsidR="008379EC" w:rsidRPr="00D4451B">
        <w:rPr>
          <w:rFonts w:asciiTheme="minorHAnsi" w:hAnsiTheme="minorHAnsi" w:cstheme="minorHAnsi"/>
        </w:rPr>
        <w:t xml:space="preserve"> </w:t>
      </w:r>
      <w:r w:rsidR="00F62BC8" w:rsidRPr="00D4451B">
        <w:rPr>
          <w:rFonts w:asciiTheme="minorHAnsi" w:hAnsiTheme="minorHAnsi" w:cstheme="minorHAnsi"/>
        </w:rPr>
        <w:t>s</w:t>
      </w:r>
      <w:r w:rsidR="00B41273" w:rsidRPr="00D4451B">
        <w:rPr>
          <w:rFonts w:asciiTheme="minorHAnsi" w:hAnsiTheme="minorHAnsi" w:cstheme="minorHAnsi"/>
        </w:rPr>
        <w:t>uggest</w:t>
      </w:r>
      <w:r w:rsidR="00F62BC8" w:rsidRPr="00D4451B">
        <w:rPr>
          <w:rFonts w:asciiTheme="minorHAnsi" w:hAnsiTheme="minorHAnsi" w:cstheme="minorHAnsi"/>
        </w:rPr>
        <w:t>ion</w:t>
      </w:r>
      <w:r w:rsidR="00333D7F" w:rsidRPr="00D4451B">
        <w:rPr>
          <w:rFonts w:asciiTheme="minorHAnsi" w:hAnsiTheme="minorHAnsi" w:cstheme="minorHAnsi"/>
        </w:rPr>
        <w:t>s</w:t>
      </w:r>
      <w:r w:rsidR="00F62BC8" w:rsidRPr="00D4451B">
        <w:rPr>
          <w:rFonts w:asciiTheme="minorHAnsi" w:hAnsiTheme="minorHAnsi" w:cstheme="minorHAnsi"/>
        </w:rPr>
        <w:t xml:space="preserve"> </w:t>
      </w:r>
      <w:r w:rsidR="00B41273" w:rsidRPr="00D4451B">
        <w:rPr>
          <w:rFonts w:asciiTheme="minorHAnsi" w:hAnsiTheme="minorHAnsi" w:cstheme="minorHAnsi"/>
        </w:rPr>
        <w:t xml:space="preserve">to </w:t>
      </w:r>
      <w:hyperlink r:id="rId15" w:history="1">
        <w:r w:rsidR="00B41273" w:rsidRPr="00D4451B">
          <w:rPr>
            <w:rStyle w:val="Hyperlink"/>
            <w:rFonts w:asciiTheme="minorHAnsi" w:hAnsiTheme="minorHAnsi" w:cstheme="minorHAnsi"/>
          </w:rPr>
          <w:t>woodenergy.timber@unece.org</w:t>
        </w:r>
      </w:hyperlink>
    </w:p>
    <w:p w:rsidR="00A013BC" w:rsidRPr="00D4451B" w:rsidRDefault="00A013BC" w:rsidP="0047427B">
      <w:pPr>
        <w:jc w:val="both"/>
        <w:rPr>
          <w:rStyle w:val="Hyperlink"/>
          <w:rFonts w:asciiTheme="minorHAnsi" w:hAnsiTheme="minorHAnsi" w:cstheme="minorHAnsi"/>
        </w:rPr>
      </w:pPr>
    </w:p>
    <w:p w:rsidR="002E6BB7" w:rsidRPr="00D4451B" w:rsidRDefault="005515EB" w:rsidP="0047427B">
      <w:pPr>
        <w:jc w:val="both"/>
        <w:rPr>
          <w:rFonts w:asciiTheme="minorHAnsi" w:hAnsiTheme="minorHAnsi" w:cstheme="minorHAnsi"/>
        </w:rPr>
      </w:pPr>
      <w:r>
        <w:rPr>
          <w:rFonts w:asciiTheme="minorHAnsi" w:hAnsiTheme="minorHAnsi" w:cstheme="minorHAnsi"/>
        </w:rPr>
        <w:t>Decemb</w:t>
      </w:r>
      <w:r w:rsidR="00EF009A">
        <w:rPr>
          <w:rFonts w:asciiTheme="minorHAnsi" w:hAnsiTheme="minorHAnsi" w:cstheme="minorHAnsi"/>
        </w:rPr>
        <w:t>er 2014</w:t>
      </w:r>
    </w:p>
    <w:p w:rsidR="009F57B5" w:rsidRDefault="008D475C" w:rsidP="0047427B">
      <w:pPr>
        <w:pStyle w:val="Heading1"/>
        <w:numPr>
          <w:ilvl w:val="0"/>
          <w:numId w:val="0"/>
        </w:numPr>
        <w:spacing w:before="0" w:after="0"/>
        <w:rPr>
          <w:rFonts w:asciiTheme="minorHAnsi" w:hAnsiTheme="minorHAnsi" w:cstheme="minorHAnsi"/>
          <w:noProof/>
        </w:rPr>
      </w:pPr>
      <w:r w:rsidRPr="005F4C06">
        <w:br w:type="page"/>
      </w:r>
    </w:p>
    <w:p w:rsidR="009516B1" w:rsidRPr="003016BE" w:rsidRDefault="009516B1" w:rsidP="0047427B">
      <w:pPr>
        <w:pStyle w:val="Heading1"/>
        <w:numPr>
          <w:ilvl w:val="0"/>
          <w:numId w:val="0"/>
        </w:numPr>
        <w:spacing w:before="0" w:after="0"/>
        <w:ind w:left="360" w:hanging="360"/>
      </w:pPr>
      <w:bookmarkStart w:id="3" w:name="_Toc407187206"/>
      <w:r w:rsidRPr="005230F0">
        <w:rPr>
          <w:szCs w:val="24"/>
        </w:rPr>
        <w:lastRenderedPageBreak/>
        <w:t>Table of content</w:t>
      </w:r>
      <w:r w:rsidR="00064855" w:rsidRPr="005230F0">
        <w:rPr>
          <w:szCs w:val="24"/>
        </w:rPr>
        <w:t>s</w:t>
      </w:r>
      <w:bookmarkEnd w:id="3"/>
    </w:p>
    <w:p w:rsidR="00A013BC" w:rsidRPr="0047427B" w:rsidRDefault="00A013BC" w:rsidP="00A013BC">
      <w:pPr>
        <w:pStyle w:val="TOC1"/>
        <w:tabs>
          <w:tab w:val="right" w:leader="dot" w:pos="9040"/>
        </w:tabs>
        <w:rPr>
          <w:rFonts w:ascii="Calibri" w:hAnsi="Calibri" w:cs="Calibri"/>
        </w:rPr>
      </w:pPr>
    </w:p>
    <w:p w:rsidR="00266D12" w:rsidRDefault="009516B1">
      <w:pPr>
        <w:pStyle w:val="TOC1"/>
        <w:tabs>
          <w:tab w:val="right" w:leader="dot" w:pos="9040"/>
        </w:tabs>
        <w:rPr>
          <w:rFonts w:asciiTheme="minorHAnsi" w:eastAsiaTheme="minorEastAsia" w:hAnsiTheme="minorHAnsi" w:cstheme="minorBidi"/>
          <w:noProof/>
          <w:sz w:val="22"/>
          <w:szCs w:val="22"/>
          <w:lang w:val="en-GB" w:eastAsia="en-GB"/>
        </w:rPr>
      </w:pPr>
      <w:r w:rsidRPr="00E33388">
        <w:rPr>
          <w:rFonts w:asciiTheme="minorHAnsi" w:hAnsiTheme="minorHAnsi" w:cstheme="minorHAnsi"/>
        </w:rPr>
        <w:fldChar w:fldCharType="begin"/>
      </w:r>
      <w:r w:rsidRPr="00E33388">
        <w:rPr>
          <w:rFonts w:asciiTheme="minorHAnsi" w:hAnsiTheme="minorHAnsi" w:cstheme="minorHAnsi"/>
        </w:rPr>
        <w:instrText xml:space="preserve"> TOC \o "1-3" \h \z \u </w:instrText>
      </w:r>
      <w:r w:rsidRPr="00E33388">
        <w:rPr>
          <w:rFonts w:asciiTheme="minorHAnsi" w:hAnsiTheme="minorHAnsi" w:cstheme="minorHAnsi"/>
        </w:rPr>
        <w:fldChar w:fldCharType="separate"/>
      </w:r>
      <w:hyperlink w:anchor="_Toc407187205" w:history="1">
        <w:r w:rsidR="00266D12" w:rsidRPr="00AC6C52">
          <w:rPr>
            <w:rStyle w:val="Hyperlink"/>
            <w:noProof/>
          </w:rPr>
          <w:t>About this User Manual</w:t>
        </w:r>
        <w:r w:rsidR="00266D12">
          <w:rPr>
            <w:noProof/>
            <w:webHidden/>
          </w:rPr>
          <w:tab/>
        </w:r>
        <w:r w:rsidR="00266D12">
          <w:rPr>
            <w:noProof/>
            <w:webHidden/>
          </w:rPr>
          <w:fldChar w:fldCharType="begin"/>
        </w:r>
        <w:r w:rsidR="00266D12">
          <w:rPr>
            <w:noProof/>
            <w:webHidden/>
          </w:rPr>
          <w:instrText xml:space="preserve"> PAGEREF _Toc407187205 \h </w:instrText>
        </w:r>
        <w:r w:rsidR="00266D12">
          <w:rPr>
            <w:noProof/>
            <w:webHidden/>
          </w:rPr>
        </w:r>
        <w:r w:rsidR="00266D12">
          <w:rPr>
            <w:noProof/>
            <w:webHidden/>
          </w:rPr>
          <w:fldChar w:fldCharType="separate"/>
        </w:r>
        <w:r w:rsidR="00266D12">
          <w:rPr>
            <w:noProof/>
            <w:webHidden/>
          </w:rPr>
          <w:t>1</w:t>
        </w:r>
        <w:r w:rsidR="00266D12">
          <w:rPr>
            <w:noProof/>
            <w:webHidden/>
          </w:rPr>
          <w:fldChar w:fldCharType="end"/>
        </w:r>
      </w:hyperlink>
    </w:p>
    <w:p w:rsidR="00266D12" w:rsidRDefault="002B2777">
      <w:pPr>
        <w:pStyle w:val="TOC1"/>
        <w:tabs>
          <w:tab w:val="right" w:leader="dot" w:pos="9040"/>
        </w:tabs>
        <w:rPr>
          <w:rFonts w:asciiTheme="minorHAnsi" w:eastAsiaTheme="minorEastAsia" w:hAnsiTheme="minorHAnsi" w:cstheme="minorBidi"/>
          <w:noProof/>
          <w:sz w:val="22"/>
          <w:szCs w:val="22"/>
          <w:lang w:val="en-GB" w:eastAsia="en-GB"/>
        </w:rPr>
      </w:pPr>
      <w:hyperlink w:anchor="_Toc407187206" w:history="1">
        <w:r w:rsidR="00266D12" w:rsidRPr="00AC6C52">
          <w:rPr>
            <w:rStyle w:val="Hyperlink"/>
            <w:noProof/>
          </w:rPr>
          <w:t>Table of contents</w:t>
        </w:r>
        <w:r w:rsidR="00266D12">
          <w:rPr>
            <w:noProof/>
            <w:webHidden/>
          </w:rPr>
          <w:tab/>
        </w:r>
        <w:r w:rsidR="00266D12">
          <w:rPr>
            <w:noProof/>
            <w:webHidden/>
          </w:rPr>
          <w:fldChar w:fldCharType="begin"/>
        </w:r>
        <w:r w:rsidR="00266D12">
          <w:rPr>
            <w:noProof/>
            <w:webHidden/>
          </w:rPr>
          <w:instrText xml:space="preserve"> PAGEREF _Toc407187206 \h </w:instrText>
        </w:r>
        <w:r w:rsidR="00266D12">
          <w:rPr>
            <w:noProof/>
            <w:webHidden/>
          </w:rPr>
        </w:r>
        <w:r w:rsidR="00266D12">
          <w:rPr>
            <w:noProof/>
            <w:webHidden/>
          </w:rPr>
          <w:fldChar w:fldCharType="separate"/>
        </w:r>
        <w:r w:rsidR="00266D12">
          <w:rPr>
            <w:noProof/>
            <w:webHidden/>
          </w:rPr>
          <w:t>2</w:t>
        </w:r>
        <w:r w:rsidR="00266D12">
          <w:rPr>
            <w:noProof/>
            <w:webHidden/>
          </w:rPr>
          <w:fldChar w:fldCharType="end"/>
        </w:r>
      </w:hyperlink>
    </w:p>
    <w:p w:rsidR="00266D12" w:rsidRDefault="002B2777">
      <w:pPr>
        <w:pStyle w:val="TOC1"/>
        <w:tabs>
          <w:tab w:val="right" w:leader="dot" w:pos="9040"/>
        </w:tabs>
        <w:rPr>
          <w:rFonts w:asciiTheme="minorHAnsi" w:eastAsiaTheme="minorEastAsia" w:hAnsiTheme="minorHAnsi" w:cstheme="minorBidi"/>
          <w:noProof/>
          <w:sz w:val="22"/>
          <w:szCs w:val="22"/>
          <w:lang w:val="en-GB" w:eastAsia="en-GB"/>
        </w:rPr>
      </w:pPr>
      <w:hyperlink w:anchor="_Toc407187207" w:history="1">
        <w:r w:rsidR="00266D12" w:rsidRPr="00AC6C52">
          <w:rPr>
            <w:rStyle w:val="Hyperlink"/>
            <w:rFonts w:cstheme="minorHAnsi"/>
            <w:noProof/>
          </w:rPr>
          <w:t>List of tables</w:t>
        </w:r>
        <w:r w:rsidR="00266D12">
          <w:rPr>
            <w:noProof/>
            <w:webHidden/>
          </w:rPr>
          <w:tab/>
        </w:r>
        <w:r w:rsidR="00266D12">
          <w:rPr>
            <w:noProof/>
            <w:webHidden/>
          </w:rPr>
          <w:fldChar w:fldCharType="begin"/>
        </w:r>
        <w:r w:rsidR="00266D12">
          <w:rPr>
            <w:noProof/>
            <w:webHidden/>
          </w:rPr>
          <w:instrText xml:space="preserve"> PAGEREF _Toc407187207 \h </w:instrText>
        </w:r>
        <w:r w:rsidR="00266D12">
          <w:rPr>
            <w:noProof/>
            <w:webHidden/>
          </w:rPr>
        </w:r>
        <w:r w:rsidR="00266D12">
          <w:rPr>
            <w:noProof/>
            <w:webHidden/>
          </w:rPr>
          <w:fldChar w:fldCharType="separate"/>
        </w:r>
        <w:r w:rsidR="00266D12">
          <w:rPr>
            <w:noProof/>
            <w:webHidden/>
          </w:rPr>
          <w:t>2</w:t>
        </w:r>
        <w:r w:rsidR="00266D12">
          <w:rPr>
            <w:noProof/>
            <w:webHidden/>
          </w:rPr>
          <w:fldChar w:fldCharType="end"/>
        </w:r>
      </w:hyperlink>
    </w:p>
    <w:p w:rsidR="00266D12" w:rsidRDefault="002B2777">
      <w:pPr>
        <w:pStyle w:val="TOC1"/>
        <w:tabs>
          <w:tab w:val="right" w:leader="dot" w:pos="9040"/>
        </w:tabs>
        <w:rPr>
          <w:rFonts w:asciiTheme="minorHAnsi" w:eastAsiaTheme="minorEastAsia" w:hAnsiTheme="minorHAnsi" w:cstheme="minorBidi"/>
          <w:noProof/>
          <w:sz w:val="22"/>
          <w:szCs w:val="22"/>
          <w:lang w:val="en-GB" w:eastAsia="en-GB"/>
        </w:rPr>
      </w:pPr>
      <w:hyperlink w:anchor="_Toc407187208" w:history="1">
        <w:r w:rsidR="00266D12" w:rsidRPr="00AC6C52">
          <w:rPr>
            <w:rStyle w:val="Hyperlink"/>
            <w:rFonts w:cstheme="minorHAnsi"/>
            <w:noProof/>
          </w:rPr>
          <w:t>List of figures</w:t>
        </w:r>
        <w:r w:rsidR="00266D12">
          <w:rPr>
            <w:noProof/>
            <w:webHidden/>
          </w:rPr>
          <w:tab/>
        </w:r>
        <w:r w:rsidR="00266D12">
          <w:rPr>
            <w:noProof/>
            <w:webHidden/>
          </w:rPr>
          <w:fldChar w:fldCharType="begin"/>
        </w:r>
        <w:r w:rsidR="00266D12">
          <w:rPr>
            <w:noProof/>
            <w:webHidden/>
          </w:rPr>
          <w:instrText xml:space="preserve"> PAGEREF _Toc407187208 \h </w:instrText>
        </w:r>
        <w:r w:rsidR="00266D12">
          <w:rPr>
            <w:noProof/>
            <w:webHidden/>
          </w:rPr>
        </w:r>
        <w:r w:rsidR="00266D12">
          <w:rPr>
            <w:noProof/>
            <w:webHidden/>
          </w:rPr>
          <w:fldChar w:fldCharType="separate"/>
        </w:r>
        <w:r w:rsidR="00266D12">
          <w:rPr>
            <w:noProof/>
            <w:webHidden/>
          </w:rPr>
          <w:t>2</w:t>
        </w:r>
        <w:r w:rsidR="00266D12">
          <w:rPr>
            <w:noProof/>
            <w:webHidden/>
          </w:rPr>
          <w:fldChar w:fldCharType="end"/>
        </w:r>
      </w:hyperlink>
    </w:p>
    <w:p w:rsidR="00266D12" w:rsidRDefault="002B2777">
      <w:pPr>
        <w:pStyle w:val="TOC1"/>
        <w:tabs>
          <w:tab w:val="right" w:leader="dot" w:pos="9040"/>
        </w:tabs>
        <w:rPr>
          <w:rFonts w:asciiTheme="minorHAnsi" w:eastAsiaTheme="minorEastAsia" w:hAnsiTheme="minorHAnsi" w:cstheme="minorBidi"/>
          <w:noProof/>
          <w:sz w:val="22"/>
          <w:szCs w:val="22"/>
          <w:lang w:val="en-GB" w:eastAsia="en-GB"/>
        </w:rPr>
      </w:pPr>
      <w:hyperlink w:anchor="_Toc407187209" w:history="1">
        <w:r w:rsidR="00266D12" w:rsidRPr="00AC6C52">
          <w:rPr>
            <w:rStyle w:val="Hyperlink"/>
            <w:noProof/>
          </w:rPr>
          <w:t>Acronyms and Abbreviations</w:t>
        </w:r>
        <w:r w:rsidR="00266D12">
          <w:rPr>
            <w:noProof/>
            <w:webHidden/>
          </w:rPr>
          <w:tab/>
        </w:r>
        <w:r w:rsidR="00266D12">
          <w:rPr>
            <w:noProof/>
            <w:webHidden/>
          </w:rPr>
          <w:fldChar w:fldCharType="begin"/>
        </w:r>
        <w:r w:rsidR="00266D12">
          <w:rPr>
            <w:noProof/>
            <w:webHidden/>
          </w:rPr>
          <w:instrText xml:space="preserve"> PAGEREF _Toc407187209 \h </w:instrText>
        </w:r>
        <w:r w:rsidR="00266D12">
          <w:rPr>
            <w:noProof/>
            <w:webHidden/>
          </w:rPr>
        </w:r>
        <w:r w:rsidR="00266D12">
          <w:rPr>
            <w:noProof/>
            <w:webHidden/>
          </w:rPr>
          <w:fldChar w:fldCharType="separate"/>
        </w:r>
        <w:r w:rsidR="00266D12">
          <w:rPr>
            <w:noProof/>
            <w:webHidden/>
          </w:rPr>
          <w:t>3</w:t>
        </w:r>
        <w:r w:rsidR="00266D12">
          <w:rPr>
            <w:noProof/>
            <w:webHidden/>
          </w:rPr>
          <w:fldChar w:fldCharType="end"/>
        </w:r>
      </w:hyperlink>
    </w:p>
    <w:p w:rsidR="00266D12" w:rsidRDefault="002B2777">
      <w:pPr>
        <w:pStyle w:val="TOC1"/>
        <w:tabs>
          <w:tab w:val="right" w:leader="dot" w:pos="9040"/>
        </w:tabs>
        <w:rPr>
          <w:rFonts w:asciiTheme="minorHAnsi" w:eastAsiaTheme="minorEastAsia" w:hAnsiTheme="minorHAnsi" w:cstheme="minorBidi"/>
          <w:noProof/>
          <w:sz w:val="22"/>
          <w:szCs w:val="22"/>
          <w:lang w:val="en-GB" w:eastAsia="en-GB"/>
        </w:rPr>
      </w:pPr>
      <w:hyperlink w:anchor="_Toc407187210" w:history="1">
        <w:r w:rsidR="00266D12" w:rsidRPr="00AC6C52">
          <w:rPr>
            <w:rStyle w:val="Hyperlink"/>
            <w:noProof/>
          </w:rPr>
          <w:t>Foreword</w:t>
        </w:r>
        <w:r w:rsidR="00266D12">
          <w:rPr>
            <w:noProof/>
            <w:webHidden/>
          </w:rPr>
          <w:tab/>
        </w:r>
        <w:r w:rsidR="00266D12">
          <w:rPr>
            <w:noProof/>
            <w:webHidden/>
          </w:rPr>
          <w:fldChar w:fldCharType="begin"/>
        </w:r>
        <w:r w:rsidR="00266D12">
          <w:rPr>
            <w:noProof/>
            <w:webHidden/>
          </w:rPr>
          <w:instrText xml:space="preserve"> PAGEREF _Toc407187210 \h </w:instrText>
        </w:r>
        <w:r w:rsidR="00266D12">
          <w:rPr>
            <w:noProof/>
            <w:webHidden/>
          </w:rPr>
        </w:r>
        <w:r w:rsidR="00266D12">
          <w:rPr>
            <w:noProof/>
            <w:webHidden/>
          </w:rPr>
          <w:fldChar w:fldCharType="separate"/>
        </w:r>
        <w:r w:rsidR="00266D12">
          <w:rPr>
            <w:noProof/>
            <w:webHidden/>
          </w:rPr>
          <w:t>4</w:t>
        </w:r>
        <w:r w:rsidR="00266D12">
          <w:rPr>
            <w:noProof/>
            <w:webHidden/>
          </w:rPr>
          <w:fldChar w:fldCharType="end"/>
        </w:r>
      </w:hyperlink>
    </w:p>
    <w:p w:rsidR="00266D12" w:rsidRDefault="002B2777">
      <w:pPr>
        <w:pStyle w:val="TOC1"/>
        <w:tabs>
          <w:tab w:val="left" w:pos="480"/>
          <w:tab w:val="right" w:leader="dot" w:pos="9040"/>
        </w:tabs>
        <w:rPr>
          <w:rFonts w:asciiTheme="minorHAnsi" w:eastAsiaTheme="minorEastAsia" w:hAnsiTheme="minorHAnsi" w:cstheme="minorBidi"/>
          <w:noProof/>
          <w:sz w:val="22"/>
          <w:szCs w:val="22"/>
          <w:lang w:val="en-GB" w:eastAsia="en-GB"/>
        </w:rPr>
      </w:pPr>
      <w:hyperlink w:anchor="_Toc407187211" w:history="1">
        <w:r w:rsidR="00266D12" w:rsidRPr="00AC6C52">
          <w:rPr>
            <w:rStyle w:val="Hyperlink"/>
            <w:noProof/>
          </w:rPr>
          <w:t>1.</w:t>
        </w:r>
        <w:r w:rsidR="00266D12">
          <w:rPr>
            <w:rFonts w:asciiTheme="minorHAnsi" w:eastAsiaTheme="minorEastAsia" w:hAnsiTheme="minorHAnsi" w:cstheme="minorBidi"/>
            <w:noProof/>
            <w:sz w:val="22"/>
            <w:szCs w:val="22"/>
            <w:lang w:val="en-GB" w:eastAsia="en-GB"/>
          </w:rPr>
          <w:tab/>
        </w:r>
        <w:r w:rsidR="00266D12" w:rsidRPr="00AC6C52">
          <w:rPr>
            <w:rStyle w:val="Hyperlink"/>
            <w:noProof/>
          </w:rPr>
          <w:t>About</w:t>
        </w:r>
        <w:r w:rsidR="00266D12">
          <w:rPr>
            <w:noProof/>
            <w:webHidden/>
          </w:rPr>
          <w:tab/>
        </w:r>
        <w:r w:rsidR="00266D12">
          <w:rPr>
            <w:noProof/>
            <w:webHidden/>
          </w:rPr>
          <w:fldChar w:fldCharType="begin"/>
        </w:r>
        <w:r w:rsidR="00266D12">
          <w:rPr>
            <w:noProof/>
            <w:webHidden/>
          </w:rPr>
          <w:instrText xml:space="preserve"> PAGEREF _Toc407187211 \h </w:instrText>
        </w:r>
        <w:r w:rsidR="00266D12">
          <w:rPr>
            <w:noProof/>
            <w:webHidden/>
          </w:rPr>
        </w:r>
        <w:r w:rsidR="00266D12">
          <w:rPr>
            <w:noProof/>
            <w:webHidden/>
          </w:rPr>
          <w:fldChar w:fldCharType="separate"/>
        </w:r>
        <w:r w:rsidR="00266D12">
          <w:rPr>
            <w:noProof/>
            <w:webHidden/>
          </w:rPr>
          <w:t>5</w:t>
        </w:r>
        <w:r w:rsidR="00266D12">
          <w:rPr>
            <w:noProof/>
            <w:webHidden/>
          </w:rPr>
          <w:fldChar w:fldCharType="end"/>
        </w:r>
      </w:hyperlink>
    </w:p>
    <w:p w:rsidR="00266D12" w:rsidRDefault="002B2777">
      <w:pPr>
        <w:pStyle w:val="TOC1"/>
        <w:tabs>
          <w:tab w:val="left" w:pos="480"/>
          <w:tab w:val="right" w:leader="dot" w:pos="9040"/>
        </w:tabs>
        <w:rPr>
          <w:rFonts w:asciiTheme="minorHAnsi" w:eastAsiaTheme="minorEastAsia" w:hAnsiTheme="minorHAnsi" w:cstheme="minorBidi"/>
          <w:noProof/>
          <w:sz w:val="22"/>
          <w:szCs w:val="22"/>
          <w:lang w:val="en-GB" w:eastAsia="en-GB"/>
        </w:rPr>
      </w:pPr>
      <w:hyperlink w:anchor="_Toc407187212" w:history="1">
        <w:r w:rsidR="00266D12" w:rsidRPr="00AC6C52">
          <w:rPr>
            <w:rStyle w:val="Hyperlink"/>
            <w:noProof/>
          </w:rPr>
          <w:t>2.</w:t>
        </w:r>
        <w:r w:rsidR="00266D12">
          <w:rPr>
            <w:rFonts w:asciiTheme="minorHAnsi" w:eastAsiaTheme="minorEastAsia" w:hAnsiTheme="minorHAnsi" w:cstheme="minorBidi"/>
            <w:noProof/>
            <w:sz w:val="22"/>
            <w:szCs w:val="22"/>
            <w:lang w:val="en-GB" w:eastAsia="en-GB"/>
          </w:rPr>
          <w:tab/>
        </w:r>
        <w:r w:rsidR="00266D12" w:rsidRPr="00AC6C52">
          <w:rPr>
            <w:rStyle w:val="Hyperlink"/>
            <w:noProof/>
          </w:rPr>
          <w:t>Objective</w:t>
        </w:r>
        <w:r w:rsidR="00266D12">
          <w:rPr>
            <w:noProof/>
            <w:webHidden/>
          </w:rPr>
          <w:tab/>
        </w:r>
        <w:r w:rsidR="00266D12">
          <w:rPr>
            <w:noProof/>
            <w:webHidden/>
          </w:rPr>
          <w:fldChar w:fldCharType="begin"/>
        </w:r>
        <w:r w:rsidR="00266D12">
          <w:rPr>
            <w:noProof/>
            <w:webHidden/>
          </w:rPr>
          <w:instrText xml:space="preserve"> PAGEREF _Toc407187212 \h </w:instrText>
        </w:r>
        <w:r w:rsidR="00266D12">
          <w:rPr>
            <w:noProof/>
            <w:webHidden/>
          </w:rPr>
        </w:r>
        <w:r w:rsidR="00266D12">
          <w:rPr>
            <w:noProof/>
            <w:webHidden/>
          </w:rPr>
          <w:fldChar w:fldCharType="separate"/>
        </w:r>
        <w:r w:rsidR="00266D12">
          <w:rPr>
            <w:noProof/>
            <w:webHidden/>
          </w:rPr>
          <w:t>5</w:t>
        </w:r>
        <w:r w:rsidR="00266D12">
          <w:rPr>
            <w:noProof/>
            <w:webHidden/>
          </w:rPr>
          <w:fldChar w:fldCharType="end"/>
        </w:r>
      </w:hyperlink>
    </w:p>
    <w:p w:rsidR="00266D12" w:rsidRDefault="002B2777">
      <w:pPr>
        <w:pStyle w:val="TOC1"/>
        <w:tabs>
          <w:tab w:val="left" w:pos="480"/>
          <w:tab w:val="right" w:leader="dot" w:pos="9040"/>
        </w:tabs>
        <w:rPr>
          <w:rFonts w:asciiTheme="minorHAnsi" w:eastAsiaTheme="minorEastAsia" w:hAnsiTheme="minorHAnsi" w:cstheme="minorBidi"/>
          <w:noProof/>
          <w:sz w:val="22"/>
          <w:szCs w:val="22"/>
          <w:lang w:val="en-GB" w:eastAsia="en-GB"/>
        </w:rPr>
      </w:pPr>
      <w:hyperlink w:anchor="_Toc407187213" w:history="1">
        <w:r w:rsidR="00266D12" w:rsidRPr="00AC6C52">
          <w:rPr>
            <w:rStyle w:val="Hyperlink"/>
            <w:noProof/>
          </w:rPr>
          <w:t>3.</w:t>
        </w:r>
        <w:r w:rsidR="00266D12">
          <w:rPr>
            <w:rFonts w:asciiTheme="minorHAnsi" w:eastAsiaTheme="minorEastAsia" w:hAnsiTheme="minorHAnsi" w:cstheme="minorBidi"/>
            <w:noProof/>
            <w:sz w:val="22"/>
            <w:szCs w:val="22"/>
            <w:lang w:val="en-GB" w:eastAsia="en-GB"/>
          </w:rPr>
          <w:tab/>
        </w:r>
        <w:r w:rsidR="00266D12" w:rsidRPr="00AC6C52">
          <w:rPr>
            <w:rStyle w:val="Hyperlink"/>
            <w:noProof/>
          </w:rPr>
          <w:t>Structure of the Enquiry</w:t>
        </w:r>
        <w:r w:rsidR="00266D12">
          <w:rPr>
            <w:noProof/>
            <w:webHidden/>
          </w:rPr>
          <w:tab/>
        </w:r>
        <w:r w:rsidR="00266D12">
          <w:rPr>
            <w:noProof/>
            <w:webHidden/>
          </w:rPr>
          <w:fldChar w:fldCharType="begin"/>
        </w:r>
        <w:r w:rsidR="00266D12">
          <w:rPr>
            <w:noProof/>
            <w:webHidden/>
          </w:rPr>
          <w:instrText xml:space="preserve"> PAGEREF _Toc407187213 \h </w:instrText>
        </w:r>
        <w:r w:rsidR="00266D12">
          <w:rPr>
            <w:noProof/>
            <w:webHidden/>
          </w:rPr>
        </w:r>
        <w:r w:rsidR="00266D12">
          <w:rPr>
            <w:noProof/>
            <w:webHidden/>
          </w:rPr>
          <w:fldChar w:fldCharType="separate"/>
        </w:r>
        <w:r w:rsidR="00266D12">
          <w:rPr>
            <w:noProof/>
            <w:webHidden/>
          </w:rPr>
          <w:t>5</w:t>
        </w:r>
        <w:r w:rsidR="00266D12">
          <w:rPr>
            <w:noProof/>
            <w:webHidden/>
          </w:rPr>
          <w:fldChar w:fldCharType="end"/>
        </w:r>
      </w:hyperlink>
    </w:p>
    <w:p w:rsidR="00266D12" w:rsidRDefault="002B2777">
      <w:pPr>
        <w:pStyle w:val="TOC2"/>
        <w:tabs>
          <w:tab w:val="left" w:pos="880"/>
          <w:tab w:val="right" w:leader="dot" w:pos="9040"/>
        </w:tabs>
        <w:rPr>
          <w:rFonts w:asciiTheme="minorHAnsi" w:eastAsiaTheme="minorEastAsia" w:hAnsiTheme="minorHAnsi" w:cstheme="minorBidi"/>
          <w:noProof/>
          <w:sz w:val="22"/>
          <w:szCs w:val="22"/>
          <w:lang w:val="en-GB" w:eastAsia="en-GB"/>
        </w:rPr>
      </w:pPr>
      <w:hyperlink w:anchor="_Toc407187214" w:history="1">
        <w:r w:rsidR="00266D12" w:rsidRPr="00AC6C52">
          <w:rPr>
            <w:rStyle w:val="Hyperlink"/>
            <w:noProof/>
          </w:rPr>
          <w:t>3.1.</w:t>
        </w:r>
        <w:r w:rsidR="00266D12">
          <w:rPr>
            <w:rFonts w:asciiTheme="minorHAnsi" w:eastAsiaTheme="minorEastAsia" w:hAnsiTheme="minorHAnsi" w:cstheme="minorBidi"/>
            <w:noProof/>
            <w:sz w:val="22"/>
            <w:szCs w:val="22"/>
            <w:lang w:val="en-GB" w:eastAsia="en-GB"/>
          </w:rPr>
          <w:tab/>
        </w:r>
        <w:r w:rsidR="00266D12" w:rsidRPr="00AC6C52">
          <w:rPr>
            <w:rStyle w:val="Hyperlink"/>
            <w:noProof/>
          </w:rPr>
          <w:t>Background tables</w:t>
        </w:r>
        <w:r w:rsidR="00266D12">
          <w:rPr>
            <w:noProof/>
            <w:webHidden/>
          </w:rPr>
          <w:tab/>
        </w:r>
        <w:r w:rsidR="00266D12">
          <w:rPr>
            <w:noProof/>
            <w:webHidden/>
          </w:rPr>
          <w:fldChar w:fldCharType="begin"/>
        </w:r>
        <w:r w:rsidR="00266D12">
          <w:rPr>
            <w:noProof/>
            <w:webHidden/>
          </w:rPr>
          <w:instrText xml:space="preserve"> PAGEREF _Toc407187214 \h </w:instrText>
        </w:r>
        <w:r w:rsidR="00266D12">
          <w:rPr>
            <w:noProof/>
            <w:webHidden/>
          </w:rPr>
        </w:r>
        <w:r w:rsidR="00266D12">
          <w:rPr>
            <w:noProof/>
            <w:webHidden/>
          </w:rPr>
          <w:fldChar w:fldCharType="separate"/>
        </w:r>
        <w:r w:rsidR="00266D12">
          <w:rPr>
            <w:noProof/>
            <w:webHidden/>
          </w:rPr>
          <w:t>6</w:t>
        </w:r>
        <w:r w:rsidR="00266D12">
          <w:rPr>
            <w:noProof/>
            <w:webHidden/>
          </w:rPr>
          <w:fldChar w:fldCharType="end"/>
        </w:r>
      </w:hyperlink>
    </w:p>
    <w:p w:rsidR="00266D12" w:rsidRDefault="002B2777">
      <w:pPr>
        <w:pStyle w:val="TOC3"/>
        <w:tabs>
          <w:tab w:val="left" w:pos="1320"/>
          <w:tab w:val="right" w:leader="dot" w:pos="9040"/>
        </w:tabs>
        <w:rPr>
          <w:rFonts w:asciiTheme="minorHAnsi" w:eastAsiaTheme="minorEastAsia" w:hAnsiTheme="minorHAnsi" w:cstheme="minorBidi"/>
          <w:noProof/>
          <w:sz w:val="22"/>
          <w:szCs w:val="22"/>
          <w:lang w:val="en-GB" w:eastAsia="en-GB"/>
        </w:rPr>
      </w:pPr>
      <w:hyperlink w:anchor="_Toc407187215" w:history="1">
        <w:r w:rsidR="00266D12" w:rsidRPr="00AC6C52">
          <w:rPr>
            <w:rStyle w:val="Hyperlink"/>
            <w:noProof/>
          </w:rPr>
          <w:t>3.1.1.</w:t>
        </w:r>
        <w:r w:rsidR="00266D12">
          <w:rPr>
            <w:rFonts w:asciiTheme="minorHAnsi" w:eastAsiaTheme="minorEastAsia" w:hAnsiTheme="minorHAnsi" w:cstheme="minorBidi"/>
            <w:noProof/>
            <w:sz w:val="22"/>
            <w:szCs w:val="22"/>
            <w:lang w:val="en-GB" w:eastAsia="en-GB"/>
          </w:rPr>
          <w:tab/>
        </w:r>
        <w:r w:rsidR="00266D12" w:rsidRPr="00AC6C52">
          <w:rPr>
            <w:rStyle w:val="Hyperlink"/>
            <w:noProof/>
          </w:rPr>
          <w:t>“Introduction” table</w:t>
        </w:r>
        <w:r w:rsidR="00266D12">
          <w:rPr>
            <w:noProof/>
            <w:webHidden/>
          </w:rPr>
          <w:tab/>
        </w:r>
        <w:r w:rsidR="00266D12">
          <w:rPr>
            <w:noProof/>
            <w:webHidden/>
          </w:rPr>
          <w:fldChar w:fldCharType="begin"/>
        </w:r>
        <w:r w:rsidR="00266D12">
          <w:rPr>
            <w:noProof/>
            <w:webHidden/>
          </w:rPr>
          <w:instrText xml:space="preserve"> PAGEREF _Toc407187215 \h </w:instrText>
        </w:r>
        <w:r w:rsidR="00266D12">
          <w:rPr>
            <w:noProof/>
            <w:webHidden/>
          </w:rPr>
        </w:r>
        <w:r w:rsidR="00266D12">
          <w:rPr>
            <w:noProof/>
            <w:webHidden/>
          </w:rPr>
          <w:fldChar w:fldCharType="separate"/>
        </w:r>
        <w:r w:rsidR="00266D12">
          <w:rPr>
            <w:noProof/>
            <w:webHidden/>
          </w:rPr>
          <w:t>6</w:t>
        </w:r>
        <w:r w:rsidR="00266D12">
          <w:rPr>
            <w:noProof/>
            <w:webHidden/>
          </w:rPr>
          <w:fldChar w:fldCharType="end"/>
        </w:r>
      </w:hyperlink>
    </w:p>
    <w:p w:rsidR="00266D12" w:rsidRDefault="002B2777">
      <w:pPr>
        <w:pStyle w:val="TOC3"/>
        <w:tabs>
          <w:tab w:val="left" w:pos="1320"/>
          <w:tab w:val="right" w:leader="dot" w:pos="9040"/>
        </w:tabs>
        <w:rPr>
          <w:rFonts w:asciiTheme="minorHAnsi" w:eastAsiaTheme="minorEastAsia" w:hAnsiTheme="minorHAnsi" w:cstheme="minorBidi"/>
          <w:noProof/>
          <w:sz w:val="22"/>
          <w:szCs w:val="22"/>
          <w:lang w:val="en-GB" w:eastAsia="en-GB"/>
        </w:rPr>
      </w:pPr>
      <w:hyperlink w:anchor="_Toc407187216" w:history="1">
        <w:r w:rsidR="00266D12" w:rsidRPr="00AC6C52">
          <w:rPr>
            <w:rStyle w:val="Hyperlink"/>
            <w:noProof/>
          </w:rPr>
          <w:t>3.1.2.</w:t>
        </w:r>
        <w:r w:rsidR="00266D12">
          <w:rPr>
            <w:rFonts w:asciiTheme="minorHAnsi" w:eastAsiaTheme="minorEastAsia" w:hAnsiTheme="minorHAnsi" w:cstheme="minorBidi"/>
            <w:noProof/>
            <w:sz w:val="22"/>
            <w:szCs w:val="22"/>
            <w:lang w:val="en-GB" w:eastAsia="en-GB"/>
          </w:rPr>
          <w:tab/>
        </w:r>
        <w:r w:rsidR="00266D12" w:rsidRPr="00AC6C52">
          <w:rPr>
            <w:rStyle w:val="Hyperlink"/>
            <w:noProof/>
          </w:rPr>
          <w:t>“Definitions” table</w:t>
        </w:r>
        <w:r w:rsidR="00266D12">
          <w:rPr>
            <w:noProof/>
            <w:webHidden/>
          </w:rPr>
          <w:tab/>
        </w:r>
        <w:r w:rsidR="00266D12">
          <w:rPr>
            <w:noProof/>
            <w:webHidden/>
          </w:rPr>
          <w:fldChar w:fldCharType="begin"/>
        </w:r>
        <w:r w:rsidR="00266D12">
          <w:rPr>
            <w:noProof/>
            <w:webHidden/>
          </w:rPr>
          <w:instrText xml:space="preserve"> PAGEREF _Toc407187216 \h </w:instrText>
        </w:r>
        <w:r w:rsidR="00266D12">
          <w:rPr>
            <w:noProof/>
            <w:webHidden/>
          </w:rPr>
        </w:r>
        <w:r w:rsidR="00266D12">
          <w:rPr>
            <w:noProof/>
            <w:webHidden/>
          </w:rPr>
          <w:fldChar w:fldCharType="separate"/>
        </w:r>
        <w:r w:rsidR="00266D12">
          <w:rPr>
            <w:noProof/>
            <w:webHidden/>
          </w:rPr>
          <w:t>6</w:t>
        </w:r>
        <w:r w:rsidR="00266D12">
          <w:rPr>
            <w:noProof/>
            <w:webHidden/>
          </w:rPr>
          <w:fldChar w:fldCharType="end"/>
        </w:r>
      </w:hyperlink>
    </w:p>
    <w:p w:rsidR="00266D12" w:rsidRDefault="002B2777">
      <w:pPr>
        <w:pStyle w:val="TOC3"/>
        <w:tabs>
          <w:tab w:val="left" w:pos="1320"/>
          <w:tab w:val="right" w:leader="dot" w:pos="9040"/>
        </w:tabs>
        <w:rPr>
          <w:rFonts w:asciiTheme="minorHAnsi" w:eastAsiaTheme="minorEastAsia" w:hAnsiTheme="minorHAnsi" w:cstheme="minorBidi"/>
          <w:noProof/>
          <w:sz w:val="22"/>
          <w:szCs w:val="22"/>
          <w:lang w:val="en-GB" w:eastAsia="en-GB"/>
        </w:rPr>
      </w:pPr>
      <w:hyperlink w:anchor="_Toc407187217" w:history="1">
        <w:r w:rsidR="00266D12" w:rsidRPr="00AC6C52">
          <w:rPr>
            <w:rStyle w:val="Hyperlink"/>
            <w:noProof/>
          </w:rPr>
          <w:t>3.1.3.</w:t>
        </w:r>
        <w:r w:rsidR="00266D12">
          <w:rPr>
            <w:rFonts w:asciiTheme="minorHAnsi" w:eastAsiaTheme="minorEastAsia" w:hAnsiTheme="minorHAnsi" w:cstheme="minorBidi"/>
            <w:noProof/>
            <w:sz w:val="22"/>
            <w:szCs w:val="22"/>
            <w:lang w:val="en-GB" w:eastAsia="en-GB"/>
          </w:rPr>
          <w:tab/>
        </w:r>
        <w:r w:rsidR="00266D12" w:rsidRPr="00AC6C52">
          <w:rPr>
            <w:rStyle w:val="Hyperlink"/>
            <w:noProof/>
          </w:rPr>
          <w:t>“Quality indicators” table</w:t>
        </w:r>
        <w:r w:rsidR="00266D12">
          <w:rPr>
            <w:noProof/>
            <w:webHidden/>
          </w:rPr>
          <w:tab/>
        </w:r>
        <w:r w:rsidR="00266D12">
          <w:rPr>
            <w:noProof/>
            <w:webHidden/>
          </w:rPr>
          <w:fldChar w:fldCharType="begin"/>
        </w:r>
        <w:r w:rsidR="00266D12">
          <w:rPr>
            <w:noProof/>
            <w:webHidden/>
          </w:rPr>
          <w:instrText xml:space="preserve"> PAGEREF _Toc407187217 \h </w:instrText>
        </w:r>
        <w:r w:rsidR="00266D12">
          <w:rPr>
            <w:noProof/>
            <w:webHidden/>
          </w:rPr>
        </w:r>
        <w:r w:rsidR="00266D12">
          <w:rPr>
            <w:noProof/>
            <w:webHidden/>
          </w:rPr>
          <w:fldChar w:fldCharType="separate"/>
        </w:r>
        <w:r w:rsidR="00266D12">
          <w:rPr>
            <w:noProof/>
            <w:webHidden/>
          </w:rPr>
          <w:t>6</w:t>
        </w:r>
        <w:r w:rsidR="00266D12">
          <w:rPr>
            <w:noProof/>
            <w:webHidden/>
          </w:rPr>
          <w:fldChar w:fldCharType="end"/>
        </w:r>
      </w:hyperlink>
    </w:p>
    <w:p w:rsidR="00266D12" w:rsidRDefault="002B2777">
      <w:pPr>
        <w:pStyle w:val="TOC3"/>
        <w:tabs>
          <w:tab w:val="left" w:pos="1320"/>
          <w:tab w:val="right" w:leader="dot" w:pos="9040"/>
        </w:tabs>
        <w:rPr>
          <w:rFonts w:asciiTheme="minorHAnsi" w:eastAsiaTheme="minorEastAsia" w:hAnsiTheme="minorHAnsi" w:cstheme="minorBidi"/>
          <w:noProof/>
          <w:sz w:val="22"/>
          <w:szCs w:val="22"/>
          <w:lang w:val="en-GB" w:eastAsia="en-GB"/>
        </w:rPr>
      </w:pPr>
      <w:hyperlink w:anchor="_Toc407187218" w:history="1">
        <w:r w:rsidR="00266D12" w:rsidRPr="00AC6C52">
          <w:rPr>
            <w:rStyle w:val="Hyperlink"/>
            <w:noProof/>
          </w:rPr>
          <w:t>3.1.4.</w:t>
        </w:r>
        <w:r w:rsidR="00266D12">
          <w:rPr>
            <w:rFonts w:asciiTheme="minorHAnsi" w:eastAsiaTheme="minorEastAsia" w:hAnsiTheme="minorHAnsi" w:cstheme="minorBidi"/>
            <w:noProof/>
            <w:sz w:val="22"/>
            <w:szCs w:val="22"/>
            <w:lang w:val="en-GB" w:eastAsia="en-GB"/>
          </w:rPr>
          <w:tab/>
        </w:r>
        <w:r w:rsidR="00266D12" w:rsidRPr="00AC6C52">
          <w:rPr>
            <w:rStyle w:val="Hyperlink"/>
            <w:noProof/>
          </w:rPr>
          <w:t>“Conversion factors energy” table</w:t>
        </w:r>
        <w:r w:rsidR="00266D12">
          <w:rPr>
            <w:noProof/>
            <w:webHidden/>
          </w:rPr>
          <w:tab/>
        </w:r>
        <w:r w:rsidR="00266D12">
          <w:rPr>
            <w:noProof/>
            <w:webHidden/>
          </w:rPr>
          <w:fldChar w:fldCharType="begin"/>
        </w:r>
        <w:r w:rsidR="00266D12">
          <w:rPr>
            <w:noProof/>
            <w:webHidden/>
          </w:rPr>
          <w:instrText xml:space="preserve"> PAGEREF _Toc407187218 \h </w:instrText>
        </w:r>
        <w:r w:rsidR="00266D12">
          <w:rPr>
            <w:noProof/>
            <w:webHidden/>
          </w:rPr>
        </w:r>
        <w:r w:rsidR="00266D12">
          <w:rPr>
            <w:noProof/>
            <w:webHidden/>
          </w:rPr>
          <w:fldChar w:fldCharType="separate"/>
        </w:r>
        <w:r w:rsidR="00266D12">
          <w:rPr>
            <w:noProof/>
            <w:webHidden/>
          </w:rPr>
          <w:t>7</w:t>
        </w:r>
        <w:r w:rsidR="00266D12">
          <w:rPr>
            <w:noProof/>
            <w:webHidden/>
          </w:rPr>
          <w:fldChar w:fldCharType="end"/>
        </w:r>
      </w:hyperlink>
    </w:p>
    <w:p w:rsidR="00266D12" w:rsidRDefault="002B2777">
      <w:pPr>
        <w:pStyle w:val="TOC3"/>
        <w:tabs>
          <w:tab w:val="left" w:pos="1320"/>
          <w:tab w:val="right" w:leader="dot" w:pos="9040"/>
        </w:tabs>
        <w:rPr>
          <w:rFonts w:asciiTheme="minorHAnsi" w:eastAsiaTheme="minorEastAsia" w:hAnsiTheme="minorHAnsi" w:cstheme="minorBidi"/>
          <w:noProof/>
          <w:sz w:val="22"/>
          <w:szCs w:val="22"/>
          <w:lang w:val="en-GB" w:eastAsia="en-GB"/>
        </w:rPr>
      </w:pPr>
      <w:hyperlink w:anchor="_Toc407187219" w:history="1">
        <w:r w:rsidR="00266D12" w:rsidRPr="00AC6C52">
          <w:rPr>
            <w:rStyle w:val="Hyperlink"/>
            <w:noProof/>
          </w:rPr>
          <w:t>3.1.5.</w:t>
        </w:r>
        <w:r w:rsidR="00266D12">
          <w:rPr>
            <w:rFonts w:asciiTheme="minorHAnsi" w:eastAsiaTheme="minorEastAsia" w:hAnsiTheme="minorHAnsi" w:cstheme="minorBidi"/>
            <w:noProof/>
            <w:sz w:val="22"/>
            <w:szCs w:val="22"/>
            <w:lang w:val="en-GB" w:eastAsia="en-GB"/>
          </w:rPr>
          <w:tab/>
        </w:r>
        <w:r w:rsidR="00266D12" w:rsidRPr="00AC6C52">
          <w:rPr>
            <w:rStyle w:val="Hyperlink"/>
            <w:noProof/>
          </w:rPr>
          <w:t>“Conversion factors volume” table</w:t>
        </w:r>
        <w:r w:rsidR="00266D12">
          <w:rPr>
            <w:noProof/>
            <w:webHidden/>
          </w:rPr>
          <w:tab/>
        </w:r>
        <w:r w:rsidR="00266D12">
          <w:rPr>
            <w:noProof/>
            <w:webHidden/>
          </w:rPr>
          <w:fldChar w:fldCharType="begin"/>
        </w:r>
        <w:r w:rsidR="00266D12">
          <w:rPr>
            <w:noProof/>
            <w:webHidden/>
          </w:rPr>
          <w:instrText xml:space="preserve"> PAGEREF _Toc407187219 \h </w:instrText>
        </w:r>
        <w:r w:rsidR="00266D12">
          <w:rPr>
            <w:noProof/>
            <w:webHidden/>
          </w:rPr>
        </w:r>
        <w:r w:rsidR="00266D12">
          <w:rPr>
            <w:noProof/>
            <w:webHidden/>
          </w:rPr>
          <w:fldChar w:fldCharType="separate"/>
        </w:r>
        <w:r w:rsidR="00266D12">
          <w:rPr>
            <w:noProof/>
            <w:webHidden/>
          </w:rPr>
          <w:t>7</w:t>
        </w:r>
        <w:r w:rsidR="00266D12">
          <w:rPr>
            <w:noProof/>
            <w:webHidden/>
          </w:rPr>
          <w:fldChar w:fldCharType="end"/>
        </w:r>
      </w:hyperlink>
    </w:p>
    <w:p w:rsidR="00266D12" w:rsidRDefault="002B2777">
      <w:pPr>
        <w:pStyle w:val="TOC2"/>
        <w:tabs>
          <w:tab w:val="left" w:pos="880"/>
          <w:tab w:val="right" w:leader="dot" w:pos="9040"/>
        </w:tabs>
        <w:rPr>
          <w:rFonts w:asciiTheme="minorHAnsi" w:eastAsiaTheme="minorEastAsia" w:hAnsiTheme="minorHAnsi" w:cstheme="minorBidi"/>
          <w:noProof/>
          <w:sz w:val="22"/>
          <w:szCs w:val="22"/>
          <w:lang w:val="en-GB" w:eastAsia="en-GB"/>
        </w:rPr>
      </w:pPr>
      <w:hyperlink w:anchor="_Toc407187220" w:history="1">
        <w:r w:rsidR="00266D12" w:rsidRPr="00AC6C52">
          <w:rPr>
            <w:rStyle w:val="Hyperlink"/>
            <w:noProof/>
          </w:rPr>
          <w:t>3.2.</w:t>
        </w:r>
        <w:r w:rsidR="00266D12">
          <w:rPr>
            <w:rFonts w:asciiTheme="minorHAnsi" w:eastAsiaTheme="minorEastAsia" w:hAnsiTheme="minorHAnsi" w:cstheme="minorBidi"/>
            <w:noProof/>
            <w:sz w:val="22"/>
            <w:szCs w:val="22"/>
            <w:lang w:val="en-GB" w:eastAsia="en-GB"/>
          </w:rPr>
          <w:tab/>
        </w:r>
        <w:r w:rsidR="00266D12" w:rsidRPr="00AC6C52">
          <w:rPr>
            <w:rStyle w:val="Hyperlink"/>
            <w:noProof/>
          </w:rPr>
          <w:t>Results tables</w:t>
        </w:r>
        <w:r w:rsidR="00266D12">
          <w:rPr>
            <w:noProof/>
            <w:webHidden/>
          </w:rPr>
          <w:tab/>
        </w:r>
        <w:r w:rsidR="00266D12">
          <w:rPr>
            <w:noProof/>
            <w:webHidden/>
          </w:rPr>
          <w:fldChar w:fldCharType="begin"/>
        </w:r>
        <w:r w:rsidR="00266D12">
          <w:rPr>
            <w:noProof/>
            <w:webHidden/>
          </w:rPr>
          <w:instrText xml:space="preserve"> PAGEREF _Toc407187220 \h </w:instrText>
        </w:r>
        <w:r w:rsidR="00266D12">
          <w:rPr>
            <w:noProof/>
            <w:webHidden/>
          </w:rPr>
        </w:r>
        <w:r w:rsidR="00266D12">
          <w:rPr>
            <w:noProof/>
            <w:webHidden/>
          </w:rPr>
          <w:fldChar w:fldCharType="separate"/>
        </w:r>
        <w:r w:rsidR="00266D12">
          <w:rPr>
            <w:noProof/>
            <w:webHidden/>
          </w:rPr>
          <w:t>8</w:t>
        </w:r>
        <w:r w:rsidR="00266D12">
          <w:rPr>
            <w:noProof/>
            <w:webHidden/>
          </w:rPr>
          <w:fldChar w:fldCharType="end"/>
        </w:r>
      </w:hyperlink>
    </w:p>
    <w:p w:rsidR="00266D12" w:rsidRDefault="002B2777">
      <w:pPr>
        <w:pStyle w:val="TOC3"/>
        <w:tabs>
          <w:tab w:val="left" w:pos="1320"/>
          <w:tab w:val="right" w:leader="dot" w:pos="9040"/>
        </w:tabs>
        <w:rPr>
          <w:rFonts w:asciiTheme="minorHAnsi" w:eastAsiaTheme="minorEastAsia" w:hAnsiTheme="minorHAnsi" w:cstheme="minorBidi"/>
          <w:noProof/>
          <w:sz w:val="22"/>
          <w:szCs w:val="22"/>
          <w:lang w:val="en-GB" w:eastAsia="en-GB"/>
        </w:rPr>
      </w:pPr>
      <w:hyperlink w:anchor="_Toc407187221" w:history="1">
        <w:r w:rsidR="00266D12" w:rsidRPr="00AC6C52">
          <w:rPr>
            <w:rStyle w:val="Hyperlink"/>
            <w:noProof/>
          </w:rPr>
          <w:t>3.2.1.</w:t>
        </w:r>
        <w:r w:rsidR="00266D12">
          <w:rPr>
            <w:rFonts w:asciiTheme="minorHAnsi" w:eastAsiaTheme="minorEastAsia" w:hAnsiTheme="minorHAnsi" w:cstheme="minorBidi"/>
            <w:noProof/>
            <w:sz w:val="22"/>
            <w:szCs w:val="22"/>
            <w:lang w:val="en-GB" w:eastAsia="en-GB"/>
          </w:rPr>
          <w:tab/>
        </w:r>
        <w:r w:rsidR="00266D12" w:rsidRPr="00AC6C52">
          <w:rPr>
            <w:rStyle w:val="Hyperlink"/>
            <w:noProof/>
          </w:rPr>
          <w:t>“Aggregated data S -&gt; U” table</w:t>
        </w:r>
        <w:r w:rsidR="00266D12">
          <w:rPr>
            <w:noProof/>
            <w:webHidden/>
          </w:rPr>
          <w:tab/>
        </w:r>
        <w:r w:rsidR="00266D12">
          <w:rPr>
            <w:noProof/>
            <w:webHidden/>
          </w:rPr>
          <w:fldChar w:fldCharType="begin"/>
        </w:r>
        <w:r w:rsidR="00266D12">
          <w:rPr>
            <w:noProof/>
            <w:webHidden/>
          </w:rPr>
          <w:instrText xml:space="preserve"> PAGEREF _Toc407187221 \h </w:instrText>
        </w:r>
        <w:r w:rsidR="00266D12">
          <w:rPr>
            <w:noProof/>
            <w:webHidden/>
          </w:rPr>
        </w:r>
        <w:r w:rsidR="00266D12">
          <w:rPr>
            <w:noProof/>
            <w:webHidden/>
          </w:rPr>
          <w:fldChar w:fldCharType="separate"/>
        </w:r>
        <w:r w:rsidR="00266D12">
          <w:rPr>
            <w:noProof/>
            <w:webHidden/>
          </w:rPr>
          <w:t>8</w:t>
        </w:r>
        <w:r w:rsidR="00266D12">
          <w:rPr>
            <w:noProof/>
            <w:webHidden/>
          </w:rPr>
          <w:fldChar w:fldCharType="end"/>
        </w:r>
      </w:hyperlink>
    </w:p>
    <w:p w:rsidR="00266D12" w:rsidRDefault="002B2777">
      <w:pPr>
        <w:pStyle w:val="TOC3"/>
        <w:tabs>
          <w:tab w:val="left" w:pos="1320"/>
          <w:tab w:val="right" w:leader="dot" w:pos="9040"/>
        </w:tabs>
        <w:rPr>
          <w:rFonts w:asciiTheme="minorHAnsi" w:eastAsiaTheme="minorEastAsia" w:hAnsiTheme="minorHAnsi" w:cstheme="minorBidi"/>
          <w:noProof/>
          <w:sz w:val="22"/>
          <w:szCs w:val="22"/>
          <w:lang w:val="en-GB" w:eastAsia="en-GB"/>
        </w:rPr>
      </w:pPr>
      <w:hyperlink w:anchor="_Toc407187222" w:history="1">
        <w:r w:rsidR="00266D12" w:rsidRPr="00AC6C52">
          <w:rPr>
            <w:rStyle w:val="Hyperlink"/>
            <w:noProof/>
            <w:lang w:val="fr-CH"/>
          </w:rPr>
          <w:t>3.2.2.</w:t>
        </w:r>
        <w:r w:rsidR="00266D12">
          <w:rPr>
            <w:rFonts w:asciiTheme="minorHAnsi" w:eastAsiaTheme="minorEastAsia" w:hAnsiTheme="minorHAnsi" w:cstheme="minorBidi"/>
            <w:noProof/>
            <w:sz w:val="22"/>
            <w:szCs w:val="22"/>
            <w:lang w:val="en-GB" w:eastAsia="en-GB"/>
          </w:rPr>
          <w:tab/>
        </w:r>
        <w:r w:rsidR="00266D12" w:rsidRPr="00AC6C52">
          <w:rPr>
            <w:rStyle w:val="Hyperlink"/>
            <w:noProof/>
            <w:lang w:val="fr-CH"/>
          </w:rPr>
          <w:t>“EU NREAP Progress Report-T4” table</w:t>
        </w:r>
        <w:r w:rsidR="00266D12">
          <w:rPr>
            <w:noProof/>
            <w:webHidden/>
          </w:rPr>
          <w:tab/>
        </w:r>
        <w:r w:rsidR="00266D12">
          <w:rPr>
            <w:noProof/>
            <w:webHidden/>
          </w:rPr>
          <w:fldChar w:fldCharType="begin"/>
        </w:r>
        <w:r w:rsidR="00266D12">
          <w:rPr>
            <w:noProof/>
            <w:webHidden/>
          </w:rPr>
          <w:instrText xml:space="preserve"> PAGEREF _Toc407187222 \h </w:instrText>
        </w:r>
        <w:r w:rsidR="00266D12">
          <w:rPr>
            <w:noProof/>
            <w:webHidden/>
          </w:rPr>
        </w:r>
        <w:r w:rsidR="00266D12">
          <w:rPr>
            <w:noProof/>
            <w:webHidden/>
          </w:rPr>
          <w:fldChar w:fldCharType="separate"/>
        </w:r>
        <w:r w:rsidR="00266D12">
          <w:rPr>
            <w:noProof/>
            <w:webHidden/>
          </w:rPr>
          <w:t>10</w:t>
        </w:r>
        <w:r w:rsidR="00266D12">
          <w:rPr>
            <w:noProof/>
            <w:webHidden/>
          </w:rPr>
          <w:fldChar w:fldCharType="end"/>
        </w:r>
      </w:hyperlink>
    </w:p>
    <w:p w:rsidR="00266D12" w:rsidRDefault="002B2777">
      <w:pPr>
        <w:pStyle w:val="TOC2"/>
        <w:tabs>
          <w:tab w:val="left" w:pos="880"/>
          <w:tab w:val="right" w:leader="dot" w:pos="9040"/>
        </w:tabs>
        <w:rPr>
          <w:rFonts w:asciiTheme="minorHAnsi" w:eastAsiaTheme="minorEastAsia" w:hAnsiTheme="minorHAnsi" w:cstheme="minorBidi"/>
          <w:noProof/>
          <w:sz w:val="22"/>
          <w:szCs w:val="22"/>
          <w:lang w:val="en-GB" w:eastAsia="en-GB"/>
        </w:rPr>
      </w:pPr>
      <w:hyperlink w:anchor="_Toc407187223" w:history="1">
        <w:r w:rsidR="00266D12" w:rsidRPr="00AC6C52">
          <w:rPr>
            <w:rStyle w:val="Hyperlink"/>
            <w:noProof/>
          </w:rPr>
          <w:t>3.3.</w:t>
        </w:r>
        <w:r w:rsidR="00266D12">
          <w:rPr>
            <w:rFonts w:asciiTheme="minorHAnsi" w:eastAsiaTheme="minorEastAsia" w:hAnsiTheme="minorHAnsi" w:cstheme="minorBidi"/>
            <w:noProof/>
            <w:sz w:val="22"/>
            <w:szCs w:val="22"/>
            <w:lang w:val="en-GB" w:eastAsia="en-GB"/>
          </w:rPr>
          <w:tab/>
        </w:r>
        <w:r w:rsidR="00266D12" w:rsidRPr="00AC6C52">
          <w:rPr>
            <w:rStyle w:val="Hyperlink"/>
            <w:noProof/>
          </w:rPr>
          <w:t>Data collection tables</w:t>
        </w:r>
        <w:r w:rsidR="00266D12">
          <w:rPr>
            <w:noProof/>
            <w:webHidden/>
          </w:rPr>
          <w:tab/>
        </w:r>
        <w:r w:rsidR="00266D12">
          <w:rPr>
            <w:noProof/>
            <w:webHidden/>
          </w:rPr>
          <w:fldChar w:fldCharType="begin"/>
        </w:r>
        <w:r w:rsidR="00266D12">
          <w:rPr>
            <w:noProof/>
            <w:webHidden/>
          </w:rPr>
          <w:instrText xml:space="preserve"> PAGEREF _Toc407187223 \h </w:instrText>
        </w:r>
        <w:r w:rsidR="00266D12">
          <w:rPr>
            <w:noProof/>
            <w:webHidden/>
          </w:rPr>
        </w:r>
        <w:r w:rsidR="00266D12">
          <w:rPr>
            <w:noProof/>
            <w:webHidden/>
          </w:rPr>
          <w:fldChar w:fldCharType="separate"/>
        </w:r>
        <w:r w:rsidR="00266D12">
          <w:rPr>
            <w:noProof/>
            <w:webHidden/>
          </w:rPr>
          <w:t>10</w:t>
        </w:r>
        <w:r w:rsidR="00266D12">
          <w:rPr>
            <w:noProof/>
            <w:webHidden/>
          </w:rPr>
          <w:fldChar w:fldCharType="end"/>
        </w:r>
      </w:hyperlink>
    </w:p>
    <w:p w:rsidR="00266D12" w:rsidRDefault="002B2777">
      <w:pPr>
        <w:pStyle w:val="TOC3"/>
        <w:tabs>
          <w:tab w:val="left" w:pos="1320"/>
          <w:tab w:val="right" w:leader="dot" w:pos="9040"/>
        </w:tabs>
        <w:rPr>
          <w:rFonts w:asciiTheme="minorHAnsi" w:eastAsiaTheme="minorEastAsia" w:hAnsiTheme="minorHAnsi" w:cstheme="minorBidi"/>
          <w:noProof/>
          <w:sz w:val="22"/>
          <w:szCs w:val="22"/>
          <w:lang w:val="en-GB" w:eastAsia="en-GB"/>
        </w:rPr>
      </w:pPr>
      <w:hyperlink w:anchor="_Toc407187224" w:history="1">
        <w:r w:rsidR="00266D12" w:rsidRPr="00AC6C52">
          <w:rPr>
            <w:rStyle w:val="Hyperlink"/>
            <w:noProof/>
            <w:lang w:val="fr-FR"/>
          </w:rPr>
          <w:t>3.3.1.</w:t>
        </w:r>
        <w:r w:rsidR="00266D12">
          <w:rPr>
            <w:rFonts w:asciiTheme="minorHAnsi" w:eastAsiaTheme="minorEastAsia" w:hAnsiTheme="minorHAnsi" w:cstheme="minorBidi"/>
            <w:noProof/>
            <w:sz w:val="22"/>
            <w:szCs w:val="22"/>
            <w:lang w:val="en-GB" w:eastAsia="en-GB"/>
          </w:rPr>
          <w:tab/>
        </w:r>
        <w:r w:rsidR="00266D12" w:rsidRPr="00AC6C52">
          <w:rPr>
            <w:rStyle w:val="Hyperlink"/>
            <w:noProof/>
            <w:lang w:val="fr-FR"/>
          </w:rPr>
          <w:t>Table “T I fibre sources”</w:t>
        </w:r>
        <w:r w:rsidR="00266D12">
          <w:rPr>
            <w:noProof/>
            <w:webHidden/>
          </w:rPr>
          <w:tab/>
        </w:r>
        <w:r w:rsidR="00266D12">
          <w:rPr>
            <w:noProof/>
            <w:webHidden/>
          </w:rPr>
          <w:fldChar w:fldCharType="begin"/>
        </w:r>
        <w:r w:rsidR="00266D12">
          <w:rPr>
            <w:noProof/>
            <w:webHidden/>
          </w:rPr>
          <w:instrText xml:space="preserve"> PAGEREF _Toc407187224 \h </w:instrText>
        </w:r>
        <w:r w:rsidR="00266D12">
          <w:rPr>
            <w:noProof/>
            <w:webHidden/>
          </w:rPr>
        </w:r>
        <w:r w:rsidR="00266D12">
          <w:rPr>
            <w:noProof/>
            <w:webHidden/>
          </w:rPr>
          <w:fldChar w:fldCharType="separate"/>
        </w:r>
        <w:r w:rsidR="00266D12">
          <w:rPr>
            <w:noProof/>
            <w:webHidden/>
          </w:rPr>
          <w:t>11</w:t>
        </w:r>
        <w:r w:rsidR="00266D12">
          <w:rPr>
            <w:noProof/>
            <w:webHidden/>
          </w:rPr>
          <w:fldChar w:fldCharType="end"/>
        </w:r>
      </w:hyperlink>
    </w:p>
    <w:p w:rsidR="00266D12" w:rsidRDefault="002B2777">
      <w:pPr>
        <w:pStyle w:val="TOC3"/>
        <w:tabs>
          <w:tab w:val="left" w:pos="1320"/>
          <w:tab w:val="right" w:leader="dot" w:pos="9040"/>
        </w:tabs>
        <w:rPr>
          <w:rFonts w:asciiTheme="minorHAnsi" w:eastAsiaTheme="minorEastAsia" w:hAnsiTheme="minorHAnsi" w:cstheme="minorBidi"/>
          <w:noProof/>
          <w:sz w:val="22"/>
          <w:szCs w:val="22"/>
          <w:lang w:val="en-GB" w:eastAsia="en-GB"/>
        </w:rPr>
      </w:pPr>
      <w:hyperlink w:anchor="_Toc407187225" w:history="1">
        <w:r w:rsidR="00266D12" w:rsidRPr="00AC6C52">
          <w:rPr>
            <w:rStyle w:val="Hyperlink"/>
            <w:noProof/>
          </w:rPr>
          <w:t>3.3.2.</w:t>
        </w:r>
        <w:r w:rsidR="00266D12">
          <w:rPr>
            <w:rFonts w:asciiTheme="minorHAnsi" w:eastAsiaTheme="minorEastAsia" w:hAnsiTheme="minorHAnsi" w:cstheme="minorBidi"/>
            <w:noProof/>
            <w:sz w:val="22"/>
            <w:szCs w:val="22"/>
            <w:lang w:val="en-GB" w:eastAsia="en-GB"/>
          </w:rPr>
          <w:tab/>
        </w:r>
        <w:r w:rsidR="00266D12" w:rsidRPr="00AC6C52">
          <w:rPr>
            <w:rStyle w:val="Hyperlink"/>
            <w:noProof/>
          </w:rPr>
          <w:t>Table “TII processed wood based fuels”</w:t>
        </w:r>
        <w:r w:rsidR="00266D12">
          <w:rPr>
            <w:noProof/>
            <w:webHidden/>
          </w:rPr>
          <w:tab/>
        </w:r>
        <w:r w:rsidR="00266D12">
          <w:rPr>
            <w:noProof/>
            <w:webHidden/>
          </w:rPr>
          <w:fldChar w:fldCharType="begin"/>
        </w:r>
        <w:r w:rsidR="00266D12">
          <w:rPr>
            <w:noProof/>
            <w:webHidden/>
          </w:rPr>
          <w:instrText xml:space="preserve"> PAGEREF _Toc407187225 \h </w:instrText>
        </w:r>
        <w:r w:rsidR="00266D12">
          <w:rPr>
            <w:noProof/>
            <w:webHidden/>
          </w:rPr>
        </w:r>
        <w:r w:rsidR="00266D12">
          <w:rPr>
            <w:noProof/>
            <w:webHidden/>
          </w:rPr>
          <w:fldChar w:fldCharType="separate"/>
        </w:r>
        <w:r w:rsidR="00266D12">
          <w:rPr>
            <w:noProof/>
            <w:webHidden/>
          </w:rPr>
          <w:t>12</w:t>
        </w:r>
        <w:r w:rsidR="00266D12">
          <w:rPr>
            <w:noProof/>
            <w:webHidden/>
          </w:rPr>
          <w:fldChar w:fldCharType="end"/>
        </w:r>
      </w:hyperlink>
    </w:p>
    <w:p w:rsidR="00266D12" w:rsidRDefault="002B2777">
      <w:pPr>
        <w:pStyle w:val="TOC3"/>
        <w:tabs>
          <w:tab w:val="left" w:pos="1320"/>
          <w:tab w:val="right" w:leader="dot" w:pos="9040"/>
        </w:tabs>
        <w:rPr>
          <w:rFonts w:asciiTheme="minorHAnsi" w:eastAsiaTheme="minorEastAsia" w:hAnsiTheme="minorHAnsi" w:cstheme="minorBidi"/>
          <w:noProof/>
          <w:sz w:val="22"/>
          <w:szCs w:val="22"/>
          <w:lang w:val="en-GB" w:eastAsia="en-GB"/>
        </w:rPr>
      </w:pPr>
      <w:hyperlink w:anchor="_Toc407187226" w:history="1">
        <w:r w:rsidR="00266D12" w:rsidRPr="00AC6C52">
          <w:rPr>
            <w:rStyle w:val="Hyperlink"/>
            <w:noProof/>
            <w:lang w:val="fr-CH"/>
          </w:rPr>
          <w:t>3.3.3.</w:t>
        </w:r>
        <w:r w:rsidR="00266D12">
          <w:rPr>
            <w:rFonts w:asciiTheme="minorHAnsi" w:eastAsiaTheme="minorEastAsia" w:hAnsiTheme="minorHAnsi" w:cstheme="minorBidi"/>
            <w:noProof/>
            <w:sz w:val="22"/>
            <w:szCs w:val="22"/>
            <w:lang w:val="en-GB" w:eastAsia="en-GB"/>
          </w:rPr>
          <w:tab/>
        </w:r>
        <w:r w:rsidR="00266D12" w:rsidRPr="00AC6C52">
          <w:rPr>
            <w:rStyle w:val="Hyperlink"/>
            <w:noProof/>
            <w:lang w:val="fr-CH"/>
          </w:rPr>
          <w:t>Table “T III pwbf origins”</w:t>
        </w:r>
        <w:r w:rsidR="00266D12">
          <w:rPr>
            <w:noProof/>
            <w:webHidden/>
          </w:rPr>
          <w:tab/>
        </w:r>
        <w:r w:rsidR="00266D12">
          <w:rPr>
            <w:noProof/>
            <w:webHidden/>
          </w:rPr>
          <w:fldChar w:fldCharType="begin"/>
        </w:r>
        <w:r w:rsidR="00266D12">
          <w:rPr>
            <w:noProof/>
            <w:webHidden/>
          </w:rPr>
          <w:instrText xml:space="preserve"> PAGEREF _Toc407187226 \h </w:instrText>
        </w:r>
        <w:r w:rsidR="00266D12">
          <w:rPr>
            <w:noProof/>
            <w:webHidden/>
          </w:rPr>
        </w:r>
        <w:r w:rsidR="00266D12">
          <w:rPr>
            <w:noProof/>
            <w:webHidden/>
          </w:rPr>
          <w:fldChar w:fldCharType="separate"/>
        </w:r>
        <w:r w:rsidR="00266D12">
          <w:rPr>
            <w:noProof/>
            <w:webHidden/>
          </w:rPr>
          <w:t>12</w:t>
        </w:r>
        <w:r w:rsidR="00266D12">
          <w:rPr>
            <w:noProof/>
            <w:webHidden/>
          </w:rPr>
          <w:fldChar w:fldCharType="end"/>
        </w:r>
      </w:hyperlink>
    </w:p>
    <w:p w:rsidR="00266D12" w:rsidRDefault="002B2777">
      <w:pPr>
        <w:pStyle w:val="TOC3"/>
        <w:tabs>
          <w:tab w:val="left" w:pos="1320"/>
          <w:tab w:val="right" w:leader="dot" w:pos="9040"/>
        </w:tabs>
        <w:rPr>
          <w:rFonts w:asciiTheme="minorHAnsi" w:eastAsiaTheme="minorEastAsia" w:hAnsiTheme="minorHAnsi" w:cstheme="minorBidi"/>
          <w:noProof/>
          <w:sz w:val="22"/>
          <w:szCs w:val="22"/>
          <w:lang w:val="en-GB" w:eastAsia="en-GB"/>
        </w:rPr>
      </w:pPr>
      <w:hyperlink w:anchor="_Toc407187227" w:history="1">
        <w:r w:rsidR="00266D12" w:rsidRPr="00AC6C52">
          <w:rPr>
            <w:rStyle w:val="Hyperlink"/>
            <w:noProof/>
          </w:rPr>
          <w:t>3.3.4.</w:t>
        </w:r>
        <w:r w:rsidR="00266D12">
          <w:rPr>
            <w:rFonts w:asciiTheme="minorHAnsi" w:eastAsiaTheme="minorEastAsia" w:hAnsiTheme="minorHAnsi" w:cstheme="minorBidi"/>
            <w:noProof/>
            <w:sz w:val="22"/>
            <w:szCs w:val="22"/>
            <w:lang w:val="en-GB" w:eastAsia="en-GB"/>
          </w:rPr>
          <w:tab/>
        </w:r>
        <w:r w:rsidR="00266D12" w:rsidRPr="00AC6C52">
          <w:rPr>
            <w:rStyle w:val="Hyperlink"/>
            <w:noProof/>
          </w:rPr>
          <w:t>Table T IV “T IV energy use”</w:t>
        </w:r>
        <w:r w:rsidR="00266D12">
          <w:rPr>
            <w:noProof/>
            <w:webHidden/>
          </w:rPr>
          <w:tab/>
        </w:r>
        <w:r w:rsidR="00266D12">
          <w:rPr>
            <w:noProof/>
            <w:webHidden/>
          </w:rPr>
          <w:fldChar w:fldCharType="begin"/>
        </w:r>
        <w:r w:rsidR="00266D12">
          <w:rPr>
            <w:noProof/>
            <w:webHidden/>
          </w:rPr>
          <w:instrText xml:space="preserve"> PAGEREF _Toc407187227 \h </w:instrText>
        </w:r>
        <w:r w:rsidR="00266D12">
          <w:rPr>
            <w:noProof/>
            <w:webHidden/>
          </w:rPr>
        </w:r>
        <w:r w:rsidR="00266D12">
          <w:rPr>
            <w:noProof/>
            <w:webHidden/>
          </w:rPr>
          <w:fldChar w:fldCharType="separate"/>
        </w:r>
        <w:r w:rsidR="00266D12">
          <w:rPr>
            <w:noProof/>
            <w:webHidden/>
          </w:rPr>
          <w:t>13</w:t>
        </w:r>
        <w:r w:rsidR="00266D12">
          <w:rPr>
            <w:noProof/>
            <w:webHidden/>
          </w:rPr>
          <w:fldChar w:fldCharType="end"/>
        </w:r>
      </w:hyperlink>
    </w:p>
    <w:p w:rsidR="00266D12" w:rsidRDefault="002B2777">
      <w:pPr>
        <w:pStyle w:val="TOC3"/>
        <w:tabs>
          <w:tab w:val="left" w:pos="1320"/>
          <w:tab w:val="right" w:leader="dot" w:pos="9040"/>
        </w:tabs>
        <w:rPr>
          <w:rFonts w:asciiTheme="minorHAnsi" w:eastAsiaTheme="minorEastAsia" w:hAnsiTheme="minorHAnsi" w:cstheme="minorBidi"/>
          <w:noProof/>
          <w:sz w:val="22"/>
          <w:szCs w:val="22"/>
          <w:lang w:val="en-GB" w:eastAsia="en-GB"/>
        </w:rPr>
      </w:pPr>
      <w:hyperlink w:anchor="_Toc407187228" w:history="1">
        <w:r w:rsidR="00266D12" w:rsidRPr="00AC6C52">
          <w:rPr>
            <w:rStyle w:val="Hyperlink"/>
            <w:noProof/>
          </w:rPr>
          <w:t>3.3.5.</w:t>
        </w:r>
        <w:r w:rsidR="00266D12">
          <w:rPr>
            <w:rFonts w:asciiTheme="minorHAnsi" w:eastAsiaTheme="minorEastAsia" w:hAnsiTheme="minorHAnsi" w:cstheme="minorBidi"/>
            <w:noProof/>
            <w:sz w:val="22"/>
            <w:szCs w:val="22"/>
            <w:lang w:val="en-GB" w:eastAsia="en-GB"/>
          </w:rPr>
          <w:tab/>
        </w:r>
        <w:r w:rsidR="00266D12" w:rsidRPr="00AC6C52">
          <w:rPr>
            <w:rStyle w:val="Hyperlink"/>
            <w:noProof/>
          </w:rPr>
          <w:t>EU National Renewable Energy Action Plan (NREAP) Progress Report</w:t>
        </w:r>
        <w:r w:rsidR="00266D12">
          <w:rPr>
            <w:noProof/>
            <w:webHidden/>
          </w:rPr>
          <w:tab/>
        </w:r>
        <w:r w:rsidR="00266D12">
          <w:rPr>
            <w:noProof/>
            <w:webHidden/>
          </w:rPr>
          <w:fldChar w:fldCharType="begin"/>
        </w:r>
        <w:r w:rsidR="00266D12">
          <w:rPr>
            <w:noProof/>
            <w:webHidden/>
          </w:rPr>
          <w:instrText xml:space="preserve"> PAGEREF _Toc407187228 \h </w:instrText>
        </w:r>
        <w:r w:rsidR="00266D12">
          <w:rPr>
            <w:noProof/>
            <w:webHidden/>
          </w:rPr>
        </w:r>
        <w:r w:rsidR="00266D12">
          <w:rPr>
            <w:noProof/>
            <w:webHidden/>
          </w:rPr>
          <w:fldChar w:fldCharType="separate"/>
        </w:r>
        <w:r w:rsidR="00266D12">
          <w:rPr>
            <w:noProof/>
            <w:webHidden/>
          </w:rPr>
          <w:t>15</w:t>
        </w:r>
        <w:r w:rsidR="00266D12">
          <w:rPr>
            <w:noProof/>
            <w:webHidden/>
          </w:rPr>
          <w:fldChar w:fldCharType="end"/>
        </w:r>
      </w:hyperlink>
    </w:p>
    <w:p w:rsidR="00266D12" w:rsidRDefault="002B2777">
      <w:pPr>
        <w:pStyle w:val="TOC1"/>
        <w:tabs>
          <w:tab w:val="left" w:pos="480"/>
          <w:tab w:val="right" w:leader="dot" w:pos="9040"/>
        </w:tabs>
        <w:rPr>
          <w:rFonts w:asciiTheme="minorHAnsi" w:eastAsiaTheme="minorEastAsia" w:hAnsiTheme="minorHAnsi" w:cstheme="minorBidi"/>
          <w:noProof/>
          <w:sz w:val="22"/>
          <w:szCs w:val="22"/>
          <w:lang w:val="en-GB" w:eastAsia="en-GB"/>
        </w:rPr>
      </w:pPr>
      <w:hyperlink w:anchor="_Toc407187229" w:history="1">
        <w:r w:rsidR="00266D12" w:rsidRPr="00AC6C52">
          <w:rPr>
            <w:rStyle w:val="Hyperlink"/>
            <w:noProof/>
          </w:rPr>
          <w:t>4.</w:t>
        </w:r>
        <w:r w:rsidR="00266D12">
          <w:rPr>
            <w:rFonts w:asciiTheme="minorHAnsi" w:eastAsiaTheme="minorEastAsia" w:hAnsiTheme="minorHAnsi" w:cstheme="minorBidi"/>
            <w:noProof/>
            <w:sz w:val="22"/>
            <w:szCs w:val="22"/>
            <w:lang w:val="en-GB" w:eastAsia="en-GB"/>
          </w:rPr>
          <w:tab/>
        </w:r>
        <w:r w:rsidR="00266D12" w:rsidRPr="00AC6C52">
          <w:rPr>
            <w:rStyle w:val="Hyperlink"/>
            <w:noProof/>
          </w:rPr>
          <w:t>Prefilling</w:t>
        </w:r>
        <w:r w:rsidR="00266D12">
          <w:rPr>
            <w:noProof/>
            <w:webHidden/>
          </w:rPr>
          <w:tab/>
        </w:r>
        <w:r w:rsidR="00266D12">
          <w:rPr>
            <w:noProof/>
            <w:webHidden/>
          </w:rPr>
          <w:fldChar w:fldCharType="begin"/>
        </w:r>
        <w:r w:rsidR="00266D12">
          <w:rPr>
            <w:noProof/>
            <w:webHidden/>
          </w:rPr>
          <w:instrText xml:space="preserve"> PAGEREF _Toc407187229 \h </w:instrText>
        </w:r>
        <w:r w:rsidR="00266D12">
          <w:rPr>
            <w:noProof/>
            <w:webHidden/>
          </w:rPr>
        </w:r>
        <w:r w:rsidR="00266D12">
          <w:rPr>
            <w:noProof/>
            <w:webHidden/>
          </w:rPr>
          <w:fldChar w:fldCharType="separate"/>
        </w:r>
        <w:r w:rsidR="00266D12">
          <w:rPr>
            <w:noProof/>
            <w:webHidden/>
          </w:rPr>
          <w:t>17</w:t>
        </w:r>
        <w:r w:rsidR="00266D12">
          <w:rPr>
            <w:noProof/>
            <w:webHidden/>
          </w:rPr>
          <w:fldChar w:fldCharType="end"/>
        </w:r>
      </w:hyperlink>
    </w:p>
    <w:p w:rsidR="00266D12" w:rsidRDefault="002B2777">
      <w:pPr>
        <w:pStyle w:val="TOC1"/>
        <w:tabs>
          <w:tab w:val="left" w:pos="480"/>
          <w:tab w:val="right" w:leader="dot" w:pos="9040"/>
        </w:tabs>
        <w:rPr>
          <w:rFonts w:asciiTheme="minorHAnsi" w:eastAsiaTheme="minorEastAsia" w:hAnsiTheme="minorHAnsi" w:cstheme="minorBidi"/>
          <w:noProof/>
          <w:sz w:val="22"/>
          <w:szCs w:val="22"/>
          <w:lang w:val="en-GB" w:eastAsia="en-GB"/>
        </w:rPr>
      </w:pPr>
      <w:hyperlink w:anchor="_Toc407187230" w:history="1">
        <w:r w:rsidR="00266D12" w:rsidRPr="00AC6C52">
          <w:rPr>
            <w:rStyle w:val="Hyperlink"/>
            <w:noProof/>
          </w:rPr>
          <w:t>5.</w:t>
        </w:r>
        <w:r w:rsidR="00266D12">
          <w:rPr>
            <w:rFonts w:asciiTheme="minorHAnsi" w:eastAsiaTheme="minorEastAsia" w:hAnsiTheme="minorHAnsi" w:cstheme="minorBidi"/>
            <w:noProof/>
            <w:sz w:val="22"/>
            <w:szCs w:val="22"/>
            <w:lang w:val="en-GB" w:eastAsia="en-GB"/>
          </w:rPr>
          <w:tab/>
        </w:r>
        <w:r w:rsidR="00266D12" w:rsidRPr="00AC6C52">
          <w:rPr>
            <w:rStyle w:val="Hyperlink"/>
            <w:noProof/>
          </w:rPr>
          <w:t>Data collection procedure</w:t>
        </w:r>
        <w:r w:rsidR="00266D12">
          <w:rPr>
            <w:noProof/>
            <w:webHidden/>
          </w:rPr>
          <w:tab/>
        </w:r>
        <w:r w:rsidR="00266D12">
          <w:rPr>
            <w:noProof/>
            <w:webHidden/>
          </w:rPr>
          <w:fldChar w:fldCharType="begin"/>
        </w:r>
        <w:r w:rsidR="00266D12">
          <w:rPr>
            <w:noProof/>
            <w:webHidden/>
          </w:rPr>
          <w:instrText xml:space="preserve"> PAGEREF _Toc407187230 \h </w:instrText>
        </w:r>
        <w:r w:rsidR="00266D12">
          <w:rPr>
            <w:noProof/>
            <w:webHidden/>
          </w:rPr>
        </w:r>
        <w:r w:rsidR="00266D12">
          <w:rPr>
            <w:noProof/>
            <w:webHidden/>
          </w:rPr>
          <w:fldChar w:fldCharType="separate"/>
        </w:r>
        <w:r w:rsidR="00266D12">
          <w:rPr>
            <w:noProof/>
            <w:webHidden/>
          </w:rPr>
          <w:t>17</w:t>
        </w:r>
        <w:r w:rsidR="00266D12">
          <w:rPr>
            <w:noProof/>
            <w:webHidden/>
          </w:rPr>
          <w:fldChar w:fldCharType="end"/>
        </w:r>
      </w:hyperlink>
    </w:p>
    <w:p w:rsidR="00266D12" w:rsidRDefault="002B2777">
      <w:pPr>
        <w:pStyle w:val="TOC2"/>
        <w:tabs>
          <w:tab w:val="left" w:pos="880"/>
          <w:tab w:val="right" w:leader="dot" w:pos="9040"/>
        </w:tabs>
        <w:rPr>
          <w:rFonts w:asciiTheme="minorHAnsi" w:eastAsiaTheme="minorEastAsia" w:hAnsiTheme="minorHAnsi" w:cstheme="minorBidi"/>
          <w:noProof/>
          <w:sz w:val="22"/>
          <w:szCs w:val="22"/>
          <w:lang w:val="en-GB" w:eastAsia="en-GB"/>
        </w:rPr>
      </w:pPr>
      <w:hyperlink w:anchor="_Toc407187231" w:history="1">
        <w:r w:rsidR="00266D12" w:rsidRPr="00AC6C52">
          <w:rPr>
            <w:rStyle w:val="Hyperlink"/>
            <w:noProof/>
          </w:rPr>
          <w:t>5.1.</w:t>
        </w:r>
        <w:r w:rsidR="00266D12">
          <w:rPr>
            <w:rFonts w:asciiTheme="minorHAnsi" w:eastAsiaTheme="minorEastAsia" w:hAnsiTheme="minorHAnsi" w:cstheme="minorBidi"/>
            <w:noProof/>
            <w:sz w:val="22"/>
            <w:szCs w:val="22"/>
            <w:lang w:val="en-GB" w:eastAsia="en-GB"/>
          </w:rPr>
          <w:tab/>
        </w:r>
        <w:r w:rsidR="00266D12" w:rsidRPr="00AC6C52">
          <w:rPr>
            <w:rStyle w:val="Hyperlink"/>
            <w:noProof/>
          </w:rPr>
          <w:t>National Correspondent</w:t>
        </w:r>
        <w:r w:rsidR="00266D12">
          <w:rPr>
            <w:noProof/>
            <w:webHidden/>
          </w:rPr>
          <w:tab/>
        </w:r>
        <w:r w:rsidR="00266D12">
          <w:rPr>
            <w:noProof/>
            <w:webHidden/>
          </w:rPr>
          <w:fldChar w:fldCharType="begin"/>
        </w:r>
        <w:r w:rsidR="00266D12">
          <w:rPr>
            <w:noProof/>
            <w:webHidden/>
          </w:rPr>
          <w:instrText xml:space="preserve"> PAGEREF _Toc407187231 \h </w:instrText>
        </w:r>
        <w:r w:rsidR="00266D12">
          <w:rPr>
            <w:noProof/>
            <w:webHidden/>
          </w:rPr>
        </w:r>
        <w:r w:rsidR="00266D12">
          <w:rPr>
            <w:noProof/>
            <w:webHidden/>
          </w:rPr>
          <w:fldChar w:fldCharType="separate"/>
        </w:r>
        <w:r w:rsidR="00266D12">
          <w:rPr>
            <w:noProof/>
            <w:webHidden/>
          </w:rPr>
          <w:t>17</w:t>
        </w:r>
        <w:r w:rsidR="00266D12">
          <w:rPr>
            <w:noProof/>
            <w:webHidden/>
          </w:rPr>
          <w:fldChar w:fldCharType="end"/>
        </w:r>
      </w:hyperlink>
    </w:p>
    <w:p w:rsidR="00266D12" w:rsidRDefault="002B2777">
      <w:pPr>
        <w:pStyle w:val="TOC2"/>
        <w:tabs>
          <w:tab w:val="left" w:pos="880"/>
          <w:tab w:val="right" w:leader="dot" w:pos="9040"/>
        </w:tabs>
        <w:rPr>
          <w:rFonts w:asciiTheme="minorHAnsi" w:eastAsiaTheme="minorEastAsia" w:hAnsiTheme="minorHAnsi" w:cstheme="minorBidi"/>
          <w:noProof/>
          <w:sz w:val="22"/>
          <w:szCs w:val="22"/>
          <w:lang w:val="en-GB" w:eastAsia="en-GB"/>
        </w:rPr>
      </w:pPr>
      <w:hyperlink w:anchor="_Toc407187232" w:history="1">
        <w:r w:rsidR="00266D12" w:rsidRPr="00AC6C52">
          <w:rPr>
            <w:rStyle w:val="Hyperlink"/>
            <w:noProof/>
          </w:rPr>
          <w:t>5.2.</w:t>
        </w:r>
        <w:r w:rsidR="00266D12">
          <w:rPr>
            <w:rFonts w:asciiTheme="minorHAnsi" w:eastAsiaTheme="minorEastAsia" w:hAnsiTheme="minorHAnsi" w:cstheme="minorBidi"/>
            <w:noProof/>
            <w:sz w:val="22"/>
            <w:szCs w:val="22"/>
            <w:lang w:val="en-GB" w:eastAsia="en-GB"/>
          </w:rPr>
          <w:tab/>
        </w:r>
        <w:r w:rsidR="00266D12" w:rsidRPr="00AC6C52">
          <w:rPr>
            <w:rStyle w:val="Hyperlink"/>
            <w:noProof/>
          </w:rPr>
          <w:t>Suggestions on collecting data</w:t>
        </w:r>
        <w:r w:rsidR="00266D12">
          <w:rPr>
            <w:noProof/>
            <w:webHidden/>
          </w:rPr>
          <w:tab/>
        </w:r>
        <w:r w:rsidR="00266D12">
          <w:rPr>
            <w:noProof/>
            <w:webHidden/>
          </w:rPr>
          <w:fldChar w:fldCharType="begin"/>
        </w:r>
        <w:r w:rsidR="00266D12">
          <w:rPr>
            <w:noProof/>
            <w:webHidden/>
          </w:rPr>
          <w:instrText xml:space="preserve"> PAGEREF _Toc407187232 \h </w:instrText>
        </w:r>
        <w:r w:rsidR="00266D12">
          <w:rPr>
            <w:noProof/>
            <w:webHidden/>
          </w:rPr>
        </w:r>
        <w:r w:rsidR="00266D12">
          <w:rPr>
            <w:noProof/>
            <w:webHidden/>
          </w:rPr>
          <w:fldChar w:fldCharType="separate"/>
        </w:r>
        <w:r w:rsidR="00266D12">
          <w:rPr>
            <w:noProof/>
            <w:webHidden/>
          </w:rPr>
          <w:t>18</w:t>
        </w:r>
        <w:r w:rsidR="00266D12">
          <w:rPr>
            <w:noProof/>
            <w:webHidden/>
          </w:rPr>
          <w:fldChar w:fldCharType="end"/>
        </w:r>
      </w:hyperlink>
    </w:p>
    <w:p w:rsidR="00266D12" w:rsidRDefault="002B2777">
      <w:pPr>
        <w:pStyle w:val="TOC2"/>
        <w:tabs>
          <w:tab w:val="left" w:pos="880"/>
          <w:tab w:val="right" w:leader="dot" w:pos="9040"/>
        </w:tabs>
        <w:rPr>
          <w:rFonts w:asciiTheme="minorHAnsi" w:eastAsiaTheme="minorEastAsia" w:hAnsiTheme="minorHAnsi" w:cstheme="minorBidi"/>
          <w:noProof/>
          <w:sz w:val="22"/>
          <w:szCs w:val="22"/>
          <w:lang w:val="en-GB" w:eastAsia="en-GB"/>
        </w:rPr>
      </w:pPr>
      <w:hyperlink w:anchor="_Toc407187233" w:history="1">
        <w:r w:rsidR="00266D12" w:rsidRPr="00AC6C52">
          <w:rPr>
            <w:rStyle w:val="Hyperlink"/>
            <w:noProof/>
          </w:rPr>
          <w:t>5.3.</w:t>
        </w:r>
        <w:r w:rsidR="00266D12">
          <w:rPr>
            <w:rFonts w:asciiTheme="minorHAnsi" w:eastAsiaTheme="minorEastAsia" w:hAnsiTheme="minorHAnsi" w:cstheme="minorBidi"/>
            <w:noProof/>
            <w:sz w:val="22"/>
            <w:szCs w:val="22"/>
            <w:lang w:val="en-GB" w:eastAsia="en-GB"/>
          </w:rPr>
          <w:tab/>
        </w:r>
        <w:r w:rsidR="00266D12" w:rsidRPr="00AC6C52">
          <w:rPr>
            <w:rStyle w:val="Hyperlink"/>
            <w:noProof/>
          </w:rPr>
          <w:t>Communication</w:t>
        </w:r>
        <w:r w:rsidR="00266D12">
          <w:rPr>
            <w:noProof/>
            <w:webHidden/>
          </w:rPr>
          <w:tab/>
        </w:r>
        <w:r w:rsidR="00266D12">
          <w:rPr>
            <w:noProof/>
            <w:webHidden/>
          </w:rPr>
          <w:fldChar w:fldCharType="begin"/>
        </w:r>
        <w:r w:rsidR="00266D12">
          <w:rPr>
            <w:noProof/>
            <w:webHidden/>
          </w:rPr>
          <w:instrText xml:space="preserve"> PAGEREF _Toc407187233 \h </w:instrText>
        </w:r>
        <w:r w:rsidR="00266D12">
          <w:rPr>
            <w:noProof/>
            <w:webHidden/>
          </w:rPr>
        </w:r>
        <w:r w:rsidR="00266D12">
          <w:rPr>
            <w:noProof/>
            <w:webHidden/>
          </w:rPr>
          <w:fldChar w:fldCharType="separate"/>
        </w:r>
        <w:r w:rsidR="00266D12">
          <w:rPr>
            <w:noProof/>
            <w:webHidden/>
          </w:rPr>
          <w:t>18</w:t>
        </w:r>
        <w:r w:rsidR="00266D12">
          <w:rPr>
            <w:noProof/>
            <w:webHidden/>
          </w:rPr>
          <w:fldChar w:fldCharType="end"/>
        </w:r>
      </w:hyperlink>
    </w:p>
    <w:p w:rsidR="00CA7C54" w:rsidRPr="0047427B" w:rsidRDefault="009516B1" w:rsidP="00A013BC">
      <w:pPr>
        <w:jc w:val="both"/>
        <w:rPr>
          <w:rFonts w:asciiTheme="minorHAnsi" w:hAnsiTheme="minorHAnsi" w:cstheme="minorHAnsi"/>
        </w:rPr>
      </w:pPr>
      <w:r w:rsidRPr="00E33388">
        <w:rPr>
          <w:rFonts w:asciiTheme="minorHAnsi" w:hAnsiTheme="minorHAnsi" w:cstheme="minorHAnsi"/>
          <w:b/>
          <w:bCs/>
          <w:noProof/>
        </w:rPr>
        <w:fldChar w:fldCharType="end"/>
      </w:r>
    </w:p>
    <w:p w:rsidR="009516B1" w:rsidRPr="000E2818" w:rsidRDefault="009516B1" w:rsidP="0047427B">
      <w:pPr>
        <w:pStyle w:val="Heading1"/>
        <w:numPr>
          <w:ilvl w:val="0"/>
          <w:numId w:val="0"/>
        </w:numPr>
        <w:spacing w:before="0" w:after="0"/>
        <w:rPr>
          <w:rFonts w:asciiTheme="minorHAnsi" w:hAnsiTheme="minorHAnsi" w:cstheme="minorHAnsi"/>
          <w:sz w:val="24"/>
          <w:szCs w:val="24"/>
        </w:rPr>
      </w:pPr>
      <w:bookmarkStart w:id="4" w:name="_Toc407187207"/>
      <w:bookmarkStart w:id="5" w:name="_Toc326748697"/>
      <w:r w:rsidRPr="000E2818">
        <w:rPr>
          <w:rFonts w:asciiTheme="minorHAnsi" w:hAnsiTheme="minorHAnsi" w:cstheme="minorHAnsi"/>
          <w:sz w:val="24"/>
          <w:szCs w:val="24"/>
        </w:rPr>
        <w:t>List of tables</w:t>
      </w:r>
      <w:bookmarkEnd w:id="4"/>
    </w:p>
    <w:p w:rsidR="006A7E81" w:rsidRPr="000E2818" w:rsidRDefault="006A7E81">
      <w:pPr>
        <w:pStyle w:val="TableofFigures"/>
        <w:tabs>
          <w:tab w:val="right" w:leader="dot" w:pos="9040"/>
        </w:tabs>
        <w:rPr>
          <w:rFonts w:asciiTheme="minorHAnsi" w:hAnsiTheme="minorHAnsi" w:cstheme="minorHAnsi"/>
        </w:rPr>
      </w:pPr>
    </w:p>
    <w:p w:rsidR="009764CA" w:rsidRDefault="009516B1">
      <w:pPr>
        <w:pStyle w:val="TableofFigures"/>
        <w:tabs>
          <w:tab w:val="right" w:leader="dot" w:pos="9040"/>
        </w:tabs>
        <w:rPr>
          <w:rFonts w:asciiTheme="minorHAnsi" w:eastAsiaTheme="minorEastAsia" w:hAnsiTheme="minorHAnsi" w:cstheme="minorBidi"/>
          <w:noProof/>
          <w:sz w:val="22"/>
          <w:szCs w:val="22"/>
          <w:lang w:val="en-GB" w:eastAsia="en-GB"/>
        </w:rPr>
      </w:pPr>
      <w:r w:rsidRPr="000E2818">
        <w:rPr>
          <w:rFonts w:asciiTheme="minorHAnsi" w:hAnsiTheme="minorHAnsi" w:cstheme="minorHAnsi"/>
        </w:rPr>
        <w:fldChar w:fldCharType="begin"/>
      </w:r>
      <w:r w:rsidRPr="000E2818">
        <w:rPr>
          <w:rFonts w:asciiTheme="minorHAnsi" w:hAnsiTheme="minorHAnsi" w:cstheme="minorHAnsi"/>
        </w:rPr>
        <w:instrText xml:space="preserve"> TOC \h \z \c "Table" </w:instrText>
      </w:r>
      <w:r w:rsidRPr="000E2818">
        <w:rPr>
          <w:rFonts w:asciiTheme="minorHAnsi" w:hAnsiTheme="minorHAnsi" w:cstheme="minorHAnsi"/>
        </w:rPr>
        <w:fldChar w:fldCharType="separate"/>
      </w:r>
      <w:hyperlink w:anchor="_Toc407187887" w:history="1">
        <w:r w:rsidR="009764CA" w:rsidRPr="00263124">
          <w:rPr>
            <w:rStyle w:val="Hyperlink"/>
            <w:noProof/>
          </w:rPr>
          <w:t>Table 1: Conversion factor volumes solid m³ to other</w:t>
        </w:r>
        <w:r w:rsidR="009764CA">
          <w:rPr>
            <w:noProof/>
            <w:webHidden/>
          </w:rPr>
          <w:tab/>
        </w:r>
        <w:r w:rsidR="009764CA">
          <w:rPr>
            <w:noProof/>
            <w:webHidden/>
          </w:rPr>
          <w:fldChar w:fldCharType="begin"/>
        </w:r>
        <w:r w:rsidR="009764CA">
          <w:rPr>
            <w:noProof/>
            <w:webHidden/>
          </w:rPr>
          <w:instrText xml:space="preserve"> PAGEREF _Toc407187887 \h </w:instrText>
        </w:r>
        <w:r w:rsidR="009764CA">
          <w:rPr>
            <w:noProof/>
            <w:webHidden/>
          </w:rPr>
        </w:r>
        <w:r w:rsidR="009764CA">
          <w:rPr>
            <w:noProof/>
            <w:webHidden/>
          </w:rPr>
          <w:fldChar w:fldCharType="separate"/>
        </w:r>
        <w:r w:rsidR="009764CA">
          <w:rPr>
            <w:noProof/>
            <w:webHidden/>
          </w:rPr>
          <w:t>8</w:t>
        </w:r>
        <w:r w:rsidR="009764CA">
          <w:rPr>
            <w:noProof/>
            <w:webHidden/>
          </w:rPr>
          <w:fldChar w:fldCharType="end"/>
        </w:r>
      </w:hyperlink>
    </w:p>
    <w:p w:rsidR="009764CA" w:rsidRDefault="002B2777">
      <w:pPr>
        <w:pStyle w:val="TableofFigures"/>
        <w:tabs>
          <w:tab w:val="right" w:leader="dot" w:pos="9040"/>
        </w:tabs>
        <w:rPr>
          <w:rFonts w:asciiTheme="minorHAnsi" w:eastAsiaTheme="minorEastAsia" w:hAnsiTheme="minorHAnsi" w:cstheme="minorBidi"/>
          <w:noProof/>
          <w:sz w:val="22"/>
          <w:szCs w:val="22"/>
          <w:lang w:val="en-GB" w:eastAsia="en-GB"/>
        </w:rPr>
      </w:pPr>
      <w:hyperlink w:anchor="_Toc407187888" w:history="1">
        <w:r w:rsidR="009764CA" w:rsidRPr="00263124">
          <w:rPr>
            <w:rStyle w:val="Hyperlink"/>
            <w:noProof/>
          </w:rPr>
          <w:t>Table 2: Conversion factor volumes other to solid m³</w:t>
        </w:r>
        <w:r w:rsidR="009764CA">
          <w:rPr>
            <w:noProof/>
            <w:webHidden/>
          </w:rPr>
          <w:tab/>
        </w:r>
        <w:r w:rsidR="009764CA">
          <w:rPr>
            <w:noProof/>
            <w:webHidden/>
          </w:rPr>
          <w:fldChar w:fldCharType="begin"/>
        </w:r>
        <w:r w:rsidR="009764CA">
          <w:rPr>
            <w:noProof/>
            <w:webHidden/>
          </w:rPr>
          <w:instrText xml:space="preserve"> PAGEREF _Toc407187888 \h </w:instrText>
        </w:r>
        <w:r w:rsidR="009764CA">
          <w:rPr>
            <w:noProof/>
            <w:webHidden/>
          </w:rPr>
        </w:r>
        <w:r w:rsidR="009764CA">
          <w:rPr>
            <w:noProof/>
            <w:webHidden/>
          </w:rPr>
          <w:fldChar w:fldCharType="separate"/>
        </w:r>
        <w:r w:rsidR="009764CA">
          <w:rPr>
            <w:noProof/>
            <w:webHidden/>
          </w:rPr>
          <w:t>8</w:t>
        </w:r>
        <w:r w:rsidR="009764CA">
          <w:rPr>
            <w:noProof/>
            <w:webHidden/>
          </w:rPr>
          <w:fldChar w:fldCharType="end"/>
        </w:r>
      </w:hyperlink>
    </w:p>
    <w:p w:rsidR="009764CA" w:rsidRDefault="002B2777">
      <w:pPr>
        <w:pStyle w:val="TableofFigures"/>
        <w:tabs>
          <w:tab w:val="right" w:leader="dot" w:pos="9040"/>
        </w:tabs>
        <w:rPr>
          <w:rFonts w:asciiTheme="minorHAnsi" w:eastAsiaTheme="minorEastAsia" w:hAnsiTheme="minorHAnsi" w:cstheme="minorBidi"/>
          <w:noProof/>
          <w:sz w:val="22"/>
          <w:szCs w:val="22"/>
          <w:lang w:val="en-GB" w:eastAsia="en-GB"/>
        </w:rPr>
      </w:pPr>
      <w:hyperlink w:anchor="_Toc407187889" w:history="1">
        <w:r w:rsidR="009764CA" w:rsidRPr="00263124">
          <w:rPr>
            <w:rStyle w:val="Hyperlink"/>
            <w:noProof/>
          </w:rPr>
          <w:t>Table 3: Aggregated data S -&gt; U” table</w:t>
        </w:r>
        <w:r w:rsidR="009764CA">
          <w:rPr>
            <w:noProof/>
            <w:webHidden/>
          </w:rPr>
          <w:tab/>
        </w:r>
        <w:r w:rsidR="009764CA">
          <w:rPr>
            <w:noProof/>
            <w:webHidden/>
          </w:rPr>
          <w:fldChar w:fldCharType="begin"/>
        </w:r>
        <w:r w:rsidR="009764CA">
          <w:rPr>
            <w:noProof/>
            <w:webHidden/>
          </w:rPr>
          <w:instrText xml:space="preserve"> PAGEREF _Toc407187889 \h </w:instrText>
        </w:r>
        <w:r w:rsidR="009764CA">
          <w:rPr>
            <w:noProof/>
            <w:webHidden/>
          </w:rPr>
        </w:r>
        <w:r w:rsidR="009764CA">
          <w:rPr>
            <w:noProof/>
            <w:webHidden/>
          </w:rPr>
          <w:fldChar w:fldCharType="separate"/>
        </w:r>
        <w:r w:rsidR="009764CA">
          <w:rPr>
            <w:noProof/>
            <w:webHidden/>
          </w:rPr>
          <w:t>8</w:t>
        </w:r>
        <w:r w:rsidR="009764CA">
          <w:rPr>
            <w:noProof/>
            <w:webHidden/>
          </w:rPr>
          <w:fldChar w:fldCharType="end"/>
        </w:r>
      </w:hyperlink>
    </w:p>
    <w:p w:rsidR="009764CA" w:rsidRDefault="002B2777">
      <w:pPr>
        <w:pStyle w:val="TableofFigures"/>
        <w:tabs>
          <w:tab w:val="right" w:leader="dot" w:pos="9040"/>
        </w:tabs>
        <w:rPr>
          <w:rFonts w:asciiTheme="minorHAnsi" w:eastAsiaTheme="minorEastAsia" w:hAnsiTheme="minorHAnsi" w:cstheme="minorBidi"/>
          <w:noProof/>
          <w:sz w:val="22"/>
          <w:szCs w:val="22"/>
          <w:lang w:val="en-GB" w:eastAsia="en-GB"/>
        </w:rPr>
      </w:pPr>
      <w:hyperlink w:anchor="_Toc407187890" w:history="1">
        <w:r w:rsidR="009764CA" w:rsidRPr="00263124">
          <w:rPr>
            <w:rStyle w:val="Hyperlink"/>
            <w:noProof/>
          </w:rPr>
          <w:t>Table 4: National Renewable Energy Action Plan progress report table 4</w:t>
        </w:r>
        <w:r w:rsidR="009764CA">
          <w:rPr>
            <w:noProof/>
            <w:webHidden/>
          </w:rPr>
          <w:tab/>
        </w:r>
        <w:r w:rsidR="009764CA">
          <w:rPr>
            <w:noProof/>
            <w:webHidden/>
          </w:rPr>
          <w:fldChar w:fldCharType="begin"/>
        </w:r>
        <w:r w:rsidR="009764CA">
          <w:rPr>
            <w:noProof/>
            <w:webHidden/>
          </w:rPr>
          <w:instrText xml:space="preserve"> PAGEREF _Toc407187890 \h </w:instrText>
        </w:r>
        <w:r w:rsidR="009764CA">
          <w:rPr>
            <w:noProof/>
            <w:webHidden/>
          </w:rPr>
        </w:r>
        <w:r w:rsidR="009764CA">
          <w:rPr>
            <w:noProof/>
            <w:webHidden/>
          </w:rPr>
          <w:fldChar w:fldCharType="separate"/>
        </w:r>
        <w:r w:rsidR="009764CA">
          <w:rPr>
            <w:noProof/>
            <w:webHidden/>
          </w:rPr>
          <w:t>15</w:t>
        </w:r>
        <w:r w:rsidR="009764CA">
          <w:rPr>
            <w:noProof/>
            <w:webHidden/>
          </w:rPr>
          <w:fldChar w:fldCharType="end"/>
        </w:r>
      </w:hyperlink>
    </w:p>
    <w:p w:rsidR="009516B1" w:rsidRPr="000E2818" w:rsidRDefault="009516B1" w:rsidP="004A68F9">
      <w:pPr>
        <w:pStyle w:val="TableofFigures"/>
        <w:tabs>
          <w:tab w:val="right" w:leader="dot" w:pos="9040"/>
        </w:tabs>
        <w:rPr>
          <w:rFonts w:asciiTheme="minorHAnsi" w:hAnsiTheme="minorHAnsi" w:cstheme="minorHAnsi"/>
        </w:rPr>
      </w:pPr>
      <w:r w:rsidRPr="000E2818">
        <w:rPr>
          <w:rFonts w:asciiTheme="minorHAnsi" w:hAnsiTheme="minorHAnsi" w:cstheme="minorHAnsi"/>
        </w:rPr>
        <w:fldChar w:fldCharType="end"/>
      </w:r>
      <w:bookmarkStart w:id="6" w:name="_Toc326594727"/>
    </w:p>
    <w:p w:rsidR="009516B1" w:rsidRPr="000E2818" w:rsidRDefault="009516B1" w:rsidP="0047427B">
      <w:pPr>
        <w:pStyle w:val="Heading1"/>
        <w:numPr>
          <w:ilvl w:val="0"/>
          <w:numId w:val="0"/>
        </w:numPr>
        <w:spacing w:before="0" w:after="0"/>
        <w:ind w:left="360" w:hanging="360"/>
        <w:rPr>
          <w:rFonts w:asciiTheme="minorHAnsi" w:hAnsiTheme="minorHAnsi" w:cstheme="minorHAnsi"/>
          <w:sz w:val="24"/>
          <w:szCs w:val="24"/>
        </w:rPr>
      </w:pPr>
      <w:bookmarkStart w:id="7" w:name="_Toc407187208"/>
      <w:r w:rsidRPr="000E2818">
        <w:rPr>
          <w:rFonts w:asciiTheme="minorHAnsi" w:hAnsiTheme="minorHAnsi" w:cstheme="minorHAnsi"/>
          <w:sz w:val="24"/>
          <w:szCs w:val="24"/>
        </w:rPr>
        <w:t>List of figures</w:t>
      </w:r>
      <w:bookmarkEnd w:id="6"/>
      <w:bookmarkEnd w:id="7"/>
    </w:p>
    <w:p w:rsidR="00A013BC" w:rsidRPr="000E2818" w:rsidRDefault="00A013BC" w:rsidP="00A013BC">
      <w:pPr>
        <w:pStyle w:val="TableofFigures"/>
        <w:tabs>
          <w:tab w:val="right" w:leader="dot" w:pos="9040"/>
        </w:tabs>
        <w:rPr>
          <w:rFonts w:asciiTheme="minorHAnsi" w:hAnsiTheme="minorHAnsi" w:cstheme="minorHAnsi"/>
        </w:rPr>
      </w:pPr>
    </w:p>
    <w:p w:rsidR="00266D12" w:rsidRDefault="009516B1">
      <w:pPr>
        <w:pStyle w:val="TableofFigures"/>
        <w:tabs>
          <w:tab w:val="right" w:leader="dot" w:pos="9040"/>
        </w:tabs>
        <w:rPr>
          <w:rFonts w:asciiTheme="minorHAnsi" w:eastAsiaTheme="minorEastAsia" w:hAnsiTheme="minorHAnsi" w:cstheme="minorBidi"/>
          <w:noProof/>
          <w:sz w:val="22"/>
          <w:szCs w:val="22"/>
          <w:lang w:val="en-GB" w:eastAsia="en-GB"/>
        </w:rPr>
      </w:pPr>
      <w:r w:rsidRPr="000E2818">
        <w:rPr>
          <w:rFonts w:asciiTheme="minorHAnsi" w:hAnsiTheme="minorHAnsi" w:cstheme="minorHAnsi"/>
        </w:rPr>
        <w:fldChar w:fldCharType="begin"/>
      </w:r>
      <w:r w:rsidRPr="000E2818">
        <w:rPr>
          <w:rFonts w:asciiTheme="minorHAnsi" w:hAnsiTheme="minorHAnsi" w:cstheme="minorHAnsi"/>
        </w:rPr>
        <w:instrText xml:space="preserve"> TOC \h \z \c "Figure" </w:instrText>
      </w:r>
      <w:r w:rsidRPr="000E2818">
        <w:rPr>
          <w:rFonts w:asciiTheme="minorHAnsi" w:hAnsiTheme="minorHAnsi" w:cstheme="minorHAnsi"/>
        </w:rPr>
        <w:fldChar w:fldCharType="separate"/>
      </w:r>
      <w:hyperlink w:anchor="_Toc407187234" w:history="1">
        <w:r w:rsidR="00266D12" w:rsidRPr="00530862">
          <w:rPr>
            <w:rStyle w:val="Hyperlink"/>
            <w:noProof/>
          </w:rPr>
          <w:t>Figure 1: Scope of the JWEE 2013</w:t>
        </w:r>
        <w:r w:rsidR="00266D12">
          <w:rPr>
            <w:noProof/>
            <w:webHidden/>
          </w:rPr>
          <w:tab/>
        </w:r>
        <w:r w:rsidR="00266D12">
          <w:rPr>
            <w:noProof/>
            <w:webHidden/>
          </w:rPr>
          <w:fldChar w:fldCharType="begin"/>
        </w:r>
        <w:r w:rsidR="00266D12">
          <w:rPr>
            <w:noProof/>
            <w:webHidden/>
          </w:rPr>
          <w:instrText xml:space="preserve"> PAGEREF _Toc407187234 \h </w:instrText>
        </w:r>
        <w:r w:rsidR="00266D12">
          <w:rPr>
            <w:noProof/>
            <w:webHidden/>
          </w:rPr>
        </w:r>
        <w:r w:rsidR="00266D12">
          <w:rPr>
            <w:noProof/>
            <w:webHidden/>
          </w:rPr>
          <w:fldChar w:fldCharType="separate"/>
        </w:r>
        <w:r w:rsidR="00266D12">
          <w:rPr>
            <w:noProof/>
            <w:webHidden/>
          </w:rPr>
          <w:t>10</w:t>
        </w:r>
        <w:r w:rsidR="00266D12">
          <w:rPr>
            <w:noProof/>
            <w:webHidden/>
          </w:rPr>
          <w:fldChar w:fldCharType="end"/>
        </w:r>
      </w:hyperlink>
    </w:p>
    <w:p w:rsidR="00266D12" w:rsidRDefault="002B2777">
      <w:pPr>
        <w:pStyle w:val="TableofFigures"/>
        <w:tabs>
          <w:tab w:val="right" w:leader="dot" w:pos="9040"/>
        </w:tabs>
        <w:rPr>
          <w:rFonts w:asciiTheme="minorHAnsi" w:eastAsiaTheme="minorEastAsia" w:hAnsiTheme="minorHAnsi" w:cstheme="minorBidi"/>
          <w:noProof/>
          <w:sz w:val="22"/>
          <w:szCs w:val="22"/>
          <w:lang w:val="en-GB" w:eastAsia="en-GB"/>
        </w:rPr>
      </w:pPr>
      <w:hyperlink r:id="rId16" w:anchor="_Toc407187235" w:history="1">
        <w:r w:rsidR="00266D12" w:rsidRPr="00530862">
          <w:rPr>
            <w:rStyle w:val="Hyperlink"/>
            <w:noProof/>
          </w:rPr>
          <w:t>Figure 2: Data collection procedure</w:t>
        </w:r>
        <w:r w:rsidR="00266D12">
          <w:rPr>
            <w:noProof/>
            <w:webHidden/>
          </w:rPr>
          <w:tab/>
        </w:r>
        <w:r w:rsidR="00266D12">
          <w:rPr>
            <w:noProof/>
            <w:webHidden/>
          </w:rPr>
          <w:fldChar w:fldCharType="begin"/>
        </w:r>
        <w:r w:rsidR="00266D12">
          <w:rPr>
            <w:noProof/>
            <w:webHidden/>
          </w:rPr>
          <w:instrText xml:space="preserve"> PAGEREF _Toc407187235 \h </w:instrText>
        </w:r>
        <w:r w:rsidR="00266D12">
          <w:rPr>
            <w:noProof/>
            <w:webHidden/>
          </w:rPr>
        </w:r>
        <w:r w:rsidR="00266D12">
          <w:rPr>
            <w:noProof/>
            <w:webHidden/>
          </w:rPr>
          <w:fldChar w:fldCharType="separate"/>
        </w:r>
        <w:r w:rsidR="00266D12">
          <w:rPr>
            <w:noProof/>
            <w:webHidden/>
          </w:rPr>
          <w:t>19</w:t>
        </w:r>
        <w:r w:rsidR="00266D12">
          <w:rPr>
            <w:noProof/>
            <w:webHidden/>
          </w:rPr>
          <w:fldChar w:fldCharType="end"/>
        </w:r>
      </w:hyperlink>
    </w:p>
    <w:p w:rsidR="009516B1" w:rsidRPr="00E33388" w:rsidRDefault="009516B1" w:rsidP="00A013BC">
      <w:pPr>
        <w:rPr>
          <w:rFonts w:asciiTheme="minorHAnsi" w:hAnsiTheme="minorHAnsi" w:cstheme="minorHAnsi"/>
        </w:rPr>
      </w:pPr>
      <w:r w:rsidRPr="000E2818">
        <w:rPr>
          <w:rFonts w:asciiTheme="minorHAnsi" w:hAnsiTheme="minorHAnsi" w:cstheme="minorHAnsi"/>
        </w:rPr>
        <w:fldChar w:fldCharType="end"/>
      </w:r>
    </w:p>
    <w:p w:rsidR="009516B1" w:rsidRDefault="009516B1" w:rsidP="00A013BC">
      <w:pPr>
        <w:rPr>
          <w:rFonts w:ascii="Calibri" w:hAnsi="Calibri" w:cs="Calibri"/>
          <w:b/>
          <w:bCs/>
          <w:kern w:val="32"/>
          <w:sz w:val="28"/>
          <w:szCs w:val="32"/>
        </w:rPr>
      </w:pPr>
      <w:r w:rsidRPr="00BE2AD0">
        <w:rPr>
          <w:rFonts w:asciiTheme="minorHAnsi" w:hAnsiTheme="minorHAnsi" w:cstheme="minorHAnsi"/>
        </w:rPr>
        <w:br w:type="page"/>
      </w:r>
    </w:p>
    <w:p w:rsidR="00507BAB" w:rsidRPr="005F4C06" w:rsidRDefault="00B544DF">
      <w:pPr>
        <w:pStyle w:val="Heading1"/>
        <w:numPr>
          <w:ilvl w:val="0"/>
          <w:numId w:val="0"/>
        </w:numPr>
      </w:pPr>
      <w:bookmarkStart w:id="8" w:name="_Toc407187209"/>
      <w:r w:rsidRPr="005F4C06">
        <w:lastRenderedPageBreak/>
        <w:t>Acronyms</w:t>
      </w:r>
      <w:r w:rsidR="008D475C" w:rsidRPr="005F4C06">
        <w:t xml:space="preserve"> </w:t>
      </w:r>
      <w:bookmarkStart w:id="9" w:name="_Toc203125774"/>
      <w:r w:rsidR="003F4AD8">
        <w:t>and Abbreviations</w:t>
      </w:r>
      <w:bookmarkEnd w:id="5"/>
      <w:bookmarkEnd w:id="8"/>
    </w:p>
    <w:p w:rsidR="009E5CA8" w:rsidRDefault="009E5CA8" w:rsidP="00D4451B">
      <w:pPr>
        <w:jc w:val="both"/>
        <w:rPr>
          <w:rFonts w:asciiTheme="minorHAnsi" w:hAnsiTheme="minorHAnsi" w:cstheme="minorHAnsi"/>
        </w:rPr>
      </w:pPr>
      <w:proofErr w:type="spellStart"/>
      <w:proofErr w:type="gramStart"/>
      <w:r w:rsidRPr="00944815">
        <w:rPr>
          <w:rFonts w:asciiTheme="minorHAnsi" w:hAnsiTheme="minorHAnsi" w:cstheme="minorHAnsi"/>
        </w:rPr>
        <w:t>bv</w:t>
      </w:r>
      <w:proofErr w:type="spellEnd"/>
      <w:proofErr w:type="gramEnd"/>
      <w:r w:rsidRPr="00944815">
        <w:rPr>
          <w:rFonts w:asciiTheme="minorHAnsi" w:hAnsiTheme="minorHAnsi" w:cstheme="minorHAnsi"/>
        </w:rPr>
        <w:tab/>
      </w:r>
      <w:r w:rsidR="002031B3">
        <w:rPr>
          <w:rFonts w:asciiTheme="minorHAnsi" w:hAnsiTheme="minorHAnsi" w:cstheme="minorHAnsi"/>
        </w:rPr>
        <w:tab/>
      </w:r>
      <w:r w:rsidRPr="00944815">
        <w:rPr>
          <w:rFonts w:asciiTheme="minorHAnsi" w:hAnsiTheme="minorHAnsi" w:cstheme="minorHAnsi"/>
        </w:rPr>
        <w:t xml:space="preserve">m³ bulk volume </w:t>
      </w:r>
    </w:p>
    <w:p w:rsidR="009E5CA8" w:rsidRDefault="009E5CA8" w:rsidP="00D4451B">
      <w:pPr>
        <w:jc w:val="both"/>
        <w:rPr>
          <w:rFonts w:asciiTheme="minorHAnsi" w:hAnsiTheme="minorHAnsi" w:cstheme="minorHAnsi"/>
        </w:rPr>
      </w:pPr>
      <w:r w:rsidRPr="00C62BA7">
        <w:rPr>
          <w:rFonts w:asciiTheme="minorHAnsi" w:hAnsiTheme="minorHAnsi" w:cstheme="minorHAnsi"/>
        </w:rPr>
        <w:t>CN</w:t>
      </w:r>
      <w:r w:rsidRPr="00C62BA7">
        <w:rPr>
          <w:rFonts w:asciiTheme="minorHAnsi" w:hAnsiTheme="minorHAnsi" w:cstheme="minorHAnsi"/>
        </w:rPr>
        <w:tab/>
      </w:r>
      <w:r w:rsidR="002031B3">
        <w:rPr>
          <w:rFonts w:asciiTheme="minorHAnsi" w:hAnsiTheme="minorHAnsi" w:cstheme="minorHAnsi"/>
        </w:rPr>
        <w:tab/>
      </w:r>
      <w:r>
        <w:rPr>
          <w:rFonts w:asciiTheme="minorHAnsi" w:hAnsiTheme="minorHAnsi" w:cstheme="minorHAnsi"/>
        </w:rPr>
        <w:t>Combined Nomenclature</w:t>
      </w:r>
    </w:p>
    <w:p w:rsidR="009E5CA8" w:rsidRPr="00944815" w:rsidRDefault="009E5CA8" w:rsidP="00D4451B">
      <w:pPr>
        <w:jc w:val="both"/>
        <w:rPr>
          <w:rFonts w:asciiTheme="minorHAnsi" w:hAnsiTheme="minorHAnsi" w:cstheme="minorHAnsi"/>
        </w:rPr>
      </w:pPr>
      <w:r w:rsidRPr="00944815">
        <w:rPr>
          <w:rFonts w:asciiTheme="minorHAnsi" w:hAnsiTheme="minorHAnsi" w:cstheme="minorHAnsi"/>
        </w:rPr>
        <w:t>FAO</w:t>
      </w:r>
      <w:r w:rsidRPr="00944815">
        <w:rPr>
          <w:rFonts w:asciiTheme="minorHAnsi" w:hAnsiTheme="minorHAnsi" w:cstheme="minorHAnsi"/>
        </w:rPr>
        <w:tab/>
      </w:r>
      <w:r w:rsidR="002031B3">
        <w:rPr>
          <w:rFonts w:asciiTheme="minorHAnsi" w:hAnsiTheme="minorHAnsi" w:cstheme="minorHAnsi"/>
        </w:rPr>
        <w:tab/>
      </w:r>
      <w:r w:rsidRPr="00944815">
        <w:rPr>
          <w:rFonts w:asciiTheme="minorHAnsi" w:hAnsiTheme="minorHAnsi" w:cstheme="minorHAnsi"/>
        </w:rPr>
        <w:t>Food and Agriculture Organization of the United Nations</w:t>
      </w:r>
    </w:p>
    <w:p w:rsidR="009E5CA8" w:rsidRDefault="009E5CA8" w:rsidP="00D4451B">
      <w:pPr>
        <w:jc w:val="both"/>
        <w:rPr>
          <w:rFonts w:asciiTheme="minorHAnsi" w:hAnsiTheme="minorHAnsi" w:cstheme="minorHAnsi"/>
        </w:rPr>
      </w:pPr>
      <w:r w:rsidRPr="00C62BA7">
        <w:rPr>
          <w:rFonts w:asciiTheme="minorHAnsi" w:hAnsiTheme="minorHAnsi" w:cstheme="minorHAnsi"/>
        </w:rPr>
        <w:t>HS</w:t>
      </w:r>
      <w:r w:rsidRPr="00C62BA7">
        <w:rPr>
          <w:rFonts w:asciiTheme="minorHAnsi" w:hAnsiTheme="minorHAnsi" w:cstheme="minorHAnsi"/>
        </w:rPr>
        <w:tab/>
      </w:r>
      <w:r w:rsidR="002031B3">
        <w:rPr>
          <w:rFonts w:asciiTheme="minorHAnsi" w:hAnsiTheme="minorHAnsi" w:cstheme="minorHAnsi"/>
        </w:rPr>
        <w:tab/>
      </w:r>
      <w:r w:rsidRPr="003F4AD8">
        <w:rPr>
          <w:rFonts w:asciiTheme="minorHAnsi" w:hAnsiTheme="minorHAnsi" w:cstheme="minorHAnsi"/>
        </w:rPr>
        <w:t>Harmonized Commodity Description and Coding System</w:t>
      </w:r>
    </w:p>
    <w:p w:rsidR="009E5CA8" w:rsidRDefault="009E5CA8" w:rsidP="00D4451B">
      <w:pPr>
        <w:jc w:val="both"/>
        <w:rPr>
          <w:rFonts w:asciiTheme="minorHAnsi" w:hAnsiTheme="minorHAnsi" w:cstheme="minorHAnsi"/>
        </w:rPr>
      </w:pPr>
      <w:r w:rsidRPr="00C62BA7">
        <w:rPr>
          <w:rFonts w:asciiTheme="minorHAnsi" w:hAnsiTheme="minorHAnsi" w:cstheme="minorHAnsi"/>
        </w:rPr>
        <w:t xml:space="preserve">IEA </w:t>
      </w:r>
      <w:r w:rsidRPr="00C62BA7">
        <w:rPr>
          <w:rFonts w:asciiTheme="minorHAnsi" w:hAnsiTheme="minorHAnsi" w:cstheme="minorHAnsi"/>
        </w:rPr>
        <w:tab/>
      </w:r>
      <w:r w:rsidR="002031B3">
        <w:rPr>
          <w:rFonts w:asciiTheme="minorHAnsi" w:hAnsiTheme="minorHAnsi" w:cstheme="minorHAnsi"/>
        </w:rPr>
        <w:tab/>
      </w:r>
      <w:r>
        <w:rPr>
          <w:rFonts w:asciiTheme="minorHAnsi" w:hAnsiTheme="minorHAnsi" w:cstheme="minorHAnsi"/>
        </w:rPr>
        <w:t>International Energy Agency</w:t>
      </w:r>
    </w:p>
    <w:p w:rsidR="009E5CA8" w:rsidRPr="00D4451B" w:rsidRDefault="009E5CA8" w:rsidP="00D4451B">
      <w:pPr>
        <w:jc w:val="both"/>
        <w:rPr>
          <w:rFonts w:asciiTheme="minorHAnsi" w:hAnsiTheme="minorHAnsi" w:cstheme="minorHAnsi"/>
        </w:rPr>
      </w:pPr>
      <w:r>
        <w:rPr>
          <w:rFonts w:asciiTheme="minorHAnsi" w:hAnsiTheme="minorHAnsi" w:cstheme="minorHAnsi"/>
        </w:rPr>
        <w:t>ISIC</w:t>
      </w:r>
      <w:r>
        <w:rPr>
          <w:rFonts w:asciiTheme="minorHAnsi" w:hAnsiTheme="minorHAnsi" w:cstheme="minorHAnsi"/>
        </w:rPr>
        <w:tab/>
      </w:r>
      <w:r w:rsidR="002031B3">
        <w:rPr>
          <w:rFonts w:asciiTheme="minorHAnsi" w:hAnsiTheme="minorHAnsi" w:cstheme="minorHAnsi"/>
        </w:rPr>
        <w:tab/>
      </w:r>
      <w:r w:rsidRPr="00A74B33">
        <w:rPr>
          <w:rFonts w:ascii="Calibri" w:hAnsi="Calibri" w:cs="Calibri"/>
        </w:rPr>
        <w:t>International Standard Industrial Classification</w:t>
      </w:r>
    </w:p>
    <w:p w:rsidR="009E5CA8" w:rsidRPr="00D22B76" w:rsidRDefault="009E5CA8" w:rsidP="00D4451B">
      <w:pPr>
        <w:jc w:val="both"/>
        <w:rPr>
          <w:rFonts w:asciiTheme="minorHAnsi" w:hAnsiTheme="minorHAnsi" w:cstheme="minorHAnsi"/>
        </w:rPr>
      </w:pPr>
      <w:r w:rsidRPr="00D22B76">
        <w:rPr>
          <w:rFonts w:asciiTheme="minorHAnsi" w:hAnsiTheme="minorHAnsi" w:cstheme="minorHAnsi"/>
        </w:rPr>
        <w:t>JFSQ</w:t>
      </w:r>
      <w:r w:rsidRPr="00D22B76">
        <w:rPr>
          <w:rFonts w:asciiTheme="minorHAnsi" w:hAnsiTheme="minorHAnsi" w:cstheme="minorHAnsi"/>
        </w:rPr>
        <w:tab/>
      </w:r>
      <w:r w:rsidR="002031B3" w:rsidRPr="00D22B76">
        <w:rPr>
          <w:rFonts w:asciiTheme="minorHAnsi" w:hAnsiTheme="minorHAnsi" w:cstheme="minorHAnsi"/>
        </w:rPr>
        <w:tab/>
      </w:r>
      <w:r w:rsidRPr="00D22B76">
        <w:rPr>
          <w:rFonts w:asciiTheme="minorHAnsi" w:hAnsiTheme="minorHAnsi" w:cstheme="minorHAnsi"/>
        </w:rPr>
        <w:t>Joint Forest Sector Questionnaire</w:t>
      </w:r>
    </w:p>
    <w:p w:rsidR="00507BAB" w:rsidRPr="00944815" w:rsidRDefault="00507BAB" w:rsidP="00D4451B">
      <w:pPr>
        <w:jc w:val="both"/>
        <w:rPr>
          <w:rFonts w:asciiTheme="minorHAnsi" w:hAnsiTheme="minorHAnsi" w:cstheme="minorHAnsi"/>
        </w:rPr>
      </w:pPr>
      <w:r w:rsidRPr="00944815">
        <w:rPr>
          <w:rFonts w:asciiTheme="minorHAnsi" w:hAnsiTheme="minorHAnsi" w:cstheme="minorHAnsi"/>
        </w:rPr>
        <w:t>JWEE</w:t>
      </w:r>
      <w:r w:rsidR="00783A68" w:rsidRPr="00944815">
        <w:rPr>
          <w:rFonts w:asciiTheme="minorHAnsi" w:hAnsiTheme="minorHAnsi" w:cstheme="minorHAnsi"/>
        </w:rPr>
        <w:tab/>
      </w:r>
      <w:r w:rsidR="002031B3">
        <w:rPr>
          <w:rFonts w:asciiTheme="minorHAnsi" w:hAnsiTheme="minorHAnsi" w:cstheme="minorHAnsi"/>
        </w:rPr>
        <w:tab/>
      </w:r>
      <w:r w:rsidRPr="00944815">
        <w:rPr>
          <w:rFonts w:asciiTheme="minorHAnsi" w:hAnsiTheme="minorHAnsi" w:cstheme="minorHAnsi"/>
        </w:rPr>
        <w:t>Joint Wood Energy Enquiry</w:t>
      </w:r>
    </w:p>
    <w:p w:rsidR="009E5CA8" w:rsidRDefault="009E5CA8" w:rsidP="00D4451B">
      <w:pPr>
        <w:ind w:left="1440" w:hanging="1440"/>
        <w:jc w:val="both"/>
        <w:rPr>
          <w:rFonts w:asciiTheme="minorHAnsi" w:hAnsiTheme="minorHAnsi" w:cstheme="minorHAnsi"/>
        </w:rPr>
      </w:pPr>
      <w:r w:rsidRPr="00944815">
        <w:rPr>
          <w:rFonts w:asciiTheme="minorHAnsi" w:hAnsiTheme="minorHAnsi" w:cstheme="minorHAnsi"/>
        </w:rPr>
        <w:t>JWPFS</w:t>
      </w:r>
      <w:r>
        <w:rPr>
          <w:rFonts w:asciiTheme="minorHAnsi" w:hAnsiTheme="minorHAnsi" w:cstheme="minorHAnsi"/>
        </w:rPr>
        <w:t>EM</w:t>
      </w:r>
      <w:r w:rsidRPr="00944815">
        <w:rPr>
          <w:rFonts w:asciiTheme="minorHAnsi" w:hAnsiTheme="minorHAnsi" w:cstheme="minorHAnsi"/>
        </w:rPr>
        <w:tab/>
        <w:t>Joint FAO/UNECE Working Party on Forest Statistics, Economics and Management</w:t>
      </w:r>
    </w:p>
    <w:p w:rsidR="009E5CA8" w:rsidRPr="00D22B76" w:rsidRDefault="009E5CA8" w:rsidP="00D4451B">
      <w:pPr>
        <w:jc w:val="both"/>
        <w:rPr>
          <w:rFonts w:asciiTheme="minorHAnsi" w:hAnsiTheme="minorHAnsi" w:cstheme="minorHAnsi"/>
          <w:lang w:val="de-DE"/>
        </w:rPr>
      </w:pPr>
      <w:r w:rsidRPr="00D22B76">
        <w:rPr>
          <w:rFonts w:asciiTheme="minorHAnsi" w:hAnsiTheme="minorHAnsi" w:cstheme="minorHAnsi"/>
          <w:lang w:val="de-DE"/>
        </w:rPr>
        <w:t>l</w:t>
      </w:r>
      <w:r w:rsidRPr="00D22B76">
        <w:rPr>
          <w:rFonts w:asciiTheme="minorHAnsi" w:hAnsiTheme="minorHAnsi" w:cstheme="minorHAnsi"/>
          <w:lang w:val="de-DE"/>
        </w:rPr>
        <w:tab/>
      </w:r>
      <w:r w:rsidR="002031B3" w:rsidRPr="00D22B76">
        <w:rPr>
          <w:rFonts w:asciiTheme="minorHAnsi" w:hAnsiTheme="minorHAnsi" w:cstheme="minorHAnsi"/>
          <w:lang w:val="de-DE"/>
        </w:rPr>
        <w:tab/>
      </w:r>
      <w:proofErr w:type="spellStart"/>
      <w:r w:rsidRPr="00D22B76">
        <w:rPr>
          <w:rFonts w:asciiTheme="minorHAnsi" w:hAnsiTheme="minorHAnsi" w:cstheme="minorHAnsi"/>
          <w:lang w:val="de-DE"/>
        </w:rPr>
        <w:t>Litre</w:t>
      </w:r>
      <w:proofErr w:type="spellEnd"/>
    </w:p>
    <w:p w:rsidR="009E5CA8" w:rsidRPr="00D4451B" w:rsidRDefault="009E5CA8" w:rsidP="00D4451B">
      <w:pPr>
        <w:jc w:val="both"/>
        <w:rPr>
          <w:rFonts w:asciiTheme="minorHAnsi" w:hAnsiTheme="minorHAnsi" w:cstheme="minorHAnsi"/>
          <w:lang w:val="de-DE"/>
        </w:rPr>
      </w:pPr>
      <w:r w:rsidRPr="002031B3">
        <w:rPr>
          <w:rFonts w:asciiTheme="minorHAnsi" w:hAnsiTheme="minorHAnsi" w:cstheme="minorHAnsi"/>
          <w:lang w:val="de-DE"/>
        </w:rPr>
        <w:t>m³</w:t>
      </w:r>
      <w:r w:rsidR="002031B3" w:rsidRPr="00D4451B">
        <w:rPr>
          <w:rFonts w:asciiTheme="minorHAnsi" w:hAnsiTheme="minorHAnsi" w:cstheme="minorHAnsi"/>
          <w:lang w:val="de-DE"/>
        </w:rPr>
        <w:tab/>
      </w:r>
      <w:r w:rsidR="002031B3">
        <w:rPr>
          <w:rFonts w:asciiTheme="minorHAnsi" w:hAnsiTheme="minorHAnsi" w:cstheme="minorHAnsi"/>
          <w:lang w:val="de-DE"/>
        </w:rPr>
        <w:tab/>
      </w:r>
      <w:r w:rsidRPr="002031B3">
        <w:rPr>
          <w:rFonts w:asciiTheme="minorHAnsi" w:hAnsiTheme="minorHAnsi" w:cstheme="minorHAnsi"/>
          <w:lang w:val="de-DE"/>
        </w:rPr>
        <w:t xml:space="preserve">solid </w:t>
      </w:r>
      <w:proofErr w:type="spellStart"/>
      <w:r w:rsidRPr="002031B3">
        <w:rPr>
          <w:rFonts w:asciiTheme="minorHAnsi" w:hAnsiTheme="minorHAnsi" w:cstheme="minorHAnsi"/>
          <w:lang w:val="de-DE"/>
        </w:rPr>
        <w:t>cubic</w:t>
      </w:r>
      <w:proofErr w:type="spellEnd"/>
      <w:r w:rsidRPr="002031B3">
        <w:rPr>
          <w:rFonts w:asciiTheme="minorHAnsi" w:hAnsiTheme="minorHAnsi" w:cstheme="minorHAnsi"/>
          <w:lang w:val="de-DE"/>
        </w:rPr>
        <w:t xml:space="preserve"> </w:t>
      </w:r>
      <w:proofErr w:type="spellStart"/>
      <w:r w:rsidRPr="002031B3">
        <w:rPr>
          <w:rFonts w:asciiTheme="minorHAnsi" w:hAnsiTheme="minorHAnsi" w:cstheme="minorHAnsi"/>
          <w:lang w:val="de-DE"/>
        </w:rPr>
        <w:t>metre</w:t>
      </w:r>
      <w:proofErr w:type="spellEnd"/>
      <w:r w:rsidRPr="002031B3">
        <w:rPr>
          <w:rFonts w:asciiTheme="minorHAnsi" w:hAnsiTheme="minorHAnsi" w:cstheme="minorHAnsi"/>
          <w:lang w:val="de-DE"/>
        </w:rPr>
        <w:t xml:space="preserve">, </w:t>
      </w:r>
      <w:proofErr w:type="spellStart"/>
      <w:r w:rsidRPr="002031B3">
        <w:rPr>
          <w:rFonts w:asciiTheme="minorHAnsi" w:hAnsiTheme="minorHAnsi" w:cstheme="minorHAnsi"/>
          <w:lang w:val="de-DE"/>
        </w:rPr>
        <w:t>underbark</w:t>
      </w:r>
      <w:proofErr w:type="spellEnd"/>
    </w:p>
    <w:p w:rsidR="00507BAB" w:rsidRPr="00944815" w:rsidRDefault="00507BAB" w:rsidP="00D4451B">
      <w:pPr>
        <w:jc w:val="both"/>
        <w:rPr>
          <w:rFonts w:asciiTheme="minorHAnsi" w:hAnsiTheme="minorHAnsi" w:cstheme="minorHAnsi"/>
        </w:rPr>
      </w:pPr>
      <w:r w:rsidRPr="00944815">
        <w:rPr>
          <w:rFonts w:asciiTheme="minorHAnsi" w:hAnsiTheme="minorHAnsi" w:cstheme="minorHAnsi"/>
        </w:rPr>
        <w:t>NAI</w:t>
      </w:r>
      <w:r w:rsidR="00783A68" w:rsidRPr="00944815">
        <w:rPr>
          <w:rFonts w:asciiTheme="minorHAnsi" w:hAnsiTheme="minorHAnsi" w:cstheme="minorHAnsi"/>
        </w:rPr>
        <w:tab/>
      </w:r>
      <w:r w:rsidR="002031B3">
        <w:rPr>
          <w:rFonts w:asciiTheme="minorHAnsi" w:hAnsiTheme="minorHAnsi" w:cstheme="minorHAnsi"/>
        </w:rPr>
        <w:tab/>
      </w:r>
      <w:r w:rsidRPr="00944815">
        <w:rPr>
          <w:rFonts w:asciiTheme="minorHAnsi" w:hAnsiTheme="minorHAnsi" w:cstheme="minorHAnsi"/>
        </w:rPr>
        <w:t>Net Annual Increment</w:t>
      </w:r>
    </w:p>
    <w:p w:rsidR="009E5CA8" w:rsidRPr="00944815" w:rsidRDefault="009E5CA8" w:rsidP="00D4451B">
      <w:pPr>
        <w:jc w:val="both"/>
        <w:rPr>
          <w:rFonts w:asciiTheme="minorHAnsi" w:hAnsiTheme="minorHAnsi" w:cstheme="minorHAnsi"/>
        </w:rPr>
      </w:pPr>
      <w:r>
        <w:rPr>
          <w:rFonts w:asciiTheme="minorHAnsi" w:hAnsiTheme="minorHAnsi" w:cstheme="minorHAnsi"/>
        </w:rPr>
        <w:t>N</w:t>
      </w:r>
      <w:r w:rsidRPr="00944815">
        <w:rPr>
          <w:rFonts w:asciiTheme="minorHAnsi" w:hAnsiTheme="minorHAnsi" w:cstheme="minorHAnsi"/>
        </w:rPr>
        <w:t>REAP</w:t>
      </w:r>
      <w:r w:rsidRPr="00944815">
        <w:rPr>
          <w:rFonts w:asciiTheme="minorHAnsi" w:hAnsiTheme="minorHAnsi" w:cstheme="minorHAnsi"/>
        </w:rPr>
        <w:tab/>
      </w:r>
      <w:r w:rsidR="002031B3">
        <w:rPr>
          <w:rFonts w:asciiTheme="minorHAnsi" w:hAnsiTheme="minorHAnsi" w:cstheme="minorHAnsi"/>
        </w:rPr>
        <w:tab/>
      </w:r>
      <w:r w:rsidRPr="00944815">
        <w:rPr>
          <w:rFonts w:asciiTheme="minorHAnsi" w:hAnsiTheme="minorHAnsi" w:cstheme="minorHAnsi"/>
        </w:rPr>
        <w:t>National Renewable Energy Action Plan</w:t>
      </w:r>
    </w:p>
    <w:p w:rsidR="009E5CA8" w:rsidRPr="00944815" w:rsidRDefault="009E5CA8" w:rsidP="00D4451B">
      <w:pPr>
        <w:jc w:val="both"/>
        <w:rPr>
          <w:rFonts w:asciiTheme="minorHAnsi" w:hAnsiTheme="minorHAnsi" w:cstheme="minorHAnsi"/>
        </w:rPr>
      </w:pPr>
      <w:r>
        <w:rPr>
          <w:rFonts w:asciiTheme="minorHAnsi" w:hAnsiTheme="minorHAnsi" w:cstheme="minorHAnsi"/>
        </w:rPr>
        <w:t>PWBF</w:t>
      </w:r>
      <w:r w:rsidRPr="00944815">
        <w:rPr>
          <w:rFonts w:asciiTheme="minorHAnsi" w:hAnsiTheme="minorHAnsi" w:cstheme="minorHAnsi"/>
        </w:rPr>
        <w:tab/>
      </w:r>
      <w:r w:rsidR="002031B3">
        <w:rPr>
          <w:rFonts w:asciiTheme="minorHAnsi" w:hAnsiTheme="minorHAnsi" w:cstheme="minorHAnsi"/>
        </w:rPr>
        <w:tab/>
      </w:r>
      <w:r w:rsidRPr="00944815">
        <w:rPr>
          <w:rFonts w:asciiTheme="minorHAnsi" w:hAnsiTheme="minorHAnsi" w:cstheme="minorHAnsi"/>
        </w:rPr>
        <w:t>Processed wood based fuels</w:t>
      </w:r>
    </w:p>
    <w:p w:rsidR="009E5CA8" w:rsidRDefault="009E5CA8" w:rsidP="00D4451B">
      <w:pPr>
        <w:jc w:val="both"/>
        <w:rPr>
          <w:rFonts w:asciiTheme="minorHAnsi" w:hAnsiTheme="minorHAnsi" w:cstheme="minorHAnsi"/>
        </w:rPr>
      </w:pPr>
      <w:r>
        <w:rPr>
          <w:rFonts w:asciiTheme="minorHAnsi" w:hAnsiTheme="minorHAnsi" w:cstheme="minorHAnsi"/>
        </w:rPr>
        <w:t>RENQUES</w:t>
      </w:r>
      <w:r w:rsidRPr="00561237">
        <w:rPr>
          <w:rFonts w:asciiTheme="minorHAnsi" w:hAnsiTheme="minorHAnsi" w:cstheme="minorHAnsi"/>
        </w:rPr>
        <w:tab/>
        <w:t>IEA</w:t>
      </w:r>
      <w:r>
        <w:rPr>
          <w:rFonts w:asciiTheme="minorHAnsi" w:hAnsiTheme="minorHAnsi" w:cstheme="minorHAnsi"/>
        </w:rPr>
        <w:t>/</w:t>
      </w:r>
      <w:r w:rsidRPr="00561237">
        <w:rPr>
          <w:rFonts w:asciiTheme="minorHAnsi" w:hAnsiTheme="minorHAnsi" w:cstheme="minorHAnsi"/>
        </w:rPr>
        <w:t>Eurostat</w:t>
      </w:r>
      <w:r>
        <w:rPr>
          <w:rFonts w:asciiTheme="minorHAnsi" w:hAnsiTheme="minorHAnsi" w:cstheme="minorHAnsi"/>
        </w:rPr>
        <w:t>/</w:t>
      </w:r>
      <w:r w:rsidRPr="00561237">
        <w:rPr>
          <w:rFonts w:asciiTheme="minorHAnsi" w:hAnsiTheme="minorHAnsi" w:cstheme="minorHAnsi"/>
        </w:rPr>
        <w:t>UNECE country annual questionnaire renewables and wastes</w:t>
      </w:r>
    </w:p>
    <w:p w:rsidR="009E5CA8" w:rsidRDefault="002031B3" w:rsidP="00D4451B">
      <w:pPr>
        <w:jc w:val="both"/>
        <w:rPr>
          <w:rFonts w:asciiTheme="minorHAnsi" w:hAnsiTheme="minorHAnsi" w:cstheme="minorHAnsi"/>
        </w:rPr>
      </w:pPr>
      <w:proofErr w:type="spellStart"/>
      <w:r w:rsidRPr="00944815">
        <w:rPr>
          <w:rFonts w:asciiTheme="minorHAnsi" w:hAnsiTheme="minorHAnsi" w:cstheme="minorHAnsi"/>
        </w:rPr>
        <w:t>R</w:t>
      </w:r>
      <w:r w:rsidR="009E5CA8" w:rsidRPr="00944815">
        <w:rPr>
          <w:rFonts w:asciiTheme="minorHAnsi" w:hAnsiTheme="minorHAnsi" w:cstheme="minorHAnsi"/>
        </w:rPr>
        <w:t>we</w:t>
      </w:r>
      <w:proofErr w:type="spellEnd"/>
      <w:r>
        <w:rPr>
          <w:rFonts w:asciiTheme="minorHAnsi" w:hAnsiTheme="minorHAnsi" w:cstheme="minorHAnsi"/>
        </w:rPr>
        <w:tab/>
      </w:r>
      <w:r>
        <w:rPr>
          <w:rFonts w:asciiTheme="minorHAnsi" w:hAnsiTheme="minorHAnsi" w:cstheme="minorHAnsi"/>
        </w:rPr>
        <w:tab/>
      </w:r>
      <w:proofErr w:type="spellStart"/>
      <w:r w:rsidR="009E5CA8" w:rsidRPr="00944815">
        <w:rPr>
          <w:rFonts w:asciiTheme="minorHAnsi" w:hAnsiTheme="minorHAnsi" w:cstheme="minorHAnsi"/>
        </w:rPr>
        <w:t>Roundwood</w:t>
      </w:r>
      <w:proofErr w:type="spellEnd"/>
      <w:r w:rsidR="009E5CA8" w:rsidRPr="00944815">
        <w:rPr>
          <w:rFonts w:asciiTheme="minorHAnsi" w:hAnsiTheme="minorHAnsi" w:cstheme="minorHAnsi"/>
        </w:rPr>
        <w:t xml:space="preserve"> equivalent in m³</w:t>
      </w:r>
    </w:p>
    <w:p w:rsidR="009E5CA8" w:rsidRPr="00944815" w:rsidRDefault="009E5CA8" w:rsidP="00D4451B">
      <w:pPr>
        <w:jc w:val="both"/>
        <w:rPr>
          <w:rFonts w:asciiTheme="minorHAnsi" w:hAnsiTheme="minorHAnsi" w:cstheme="minorHAnsi"/>
        </w:rPr>
      </w:pPr>
      <w:r w:rsidRPr="00944815">
        <w:rPr>
          <w:rFonts w:asciiTheme="minorHAnsi" w:hAnsiTheme="minorHAnsi" w:cstheme="minorHAnsi"/>
        </w:rPr>
        <w:t>S1</w:t>
      </w:r>
      <w:r w:rsidRPr="00944815">
        <w:rPr>
          <w:rFonts w:asciiTheme="minorHAnsi" w:hAnsiTheme="minorHAnsi" w:cstheme="minorHAnsi"/>
        </w:rPr>
        <w:tab/>
      </w:r>
      <w:r w:rsidR="002031B3">
        <w:rPr>
          <w:rFonts w:asciiTheme="minorHAnsi" w:hAnsiTheme="minorHAnsi" w:cstheme="minorHAnsi"/>
        </w:rPr>
        <w:tab/>
      </w:r>
      <w:r w:rsidRPr="00944815">
        <w:rPr>
          <w:rFonts w:asciiTheme="minorHAnsi" w:hAnsiTheme="minorHAnsi" w:cstheme="minorHAnsi"/>
        </w:rPr>
        <w:t>Direct source of wood</w:t>
      </w:r>
    </w:p>
    <w:p w:rsidR="009E5CA8" w:rsidRPr="00944815" w:rsidRDefault="009E5CA8" w:rsidP="00D4451B">
      <w:pPr>
        <w:jc w:val="both"/>
        <w:rPr>
          <w:rFonts w:asciiTheme="minorHAnsi" w:hAnsiTheme="minorHAnsi" w:cstheme="minorHAnsi"/>
        </w:rPr>
      </w:pPr>
      <w:r w:rsidRPr="00944815">
        <w:rPr>
          <w:rFonts w:asciiTheme="minorHAnsi" w:hAnsiTheme="minorHAnsi" w:cstheme="minorHAnsi"/>
        </w:rPr>
        <w:t>S2</w:t>
      </w:r>
      <w:r w:rsidRPr="00944815">
        <w:rPr>
          <w:rFonts w:asciiTheme="minorHAnsi" w:hAnsiTheme="minorHAnsi" w:cstheme="minorHAnsi"/>
        </w:rPr>
        <w:tab/>
      </w:r>
      <w:r w:rsidR="002031B3">
        <w:rPr>
          <w:rFonts w:asciiTheme="minorHAnsi" w:hAnsiTheme="minorHAnsi" w:cstheme="minorHAnsi"/>
        </w:rPr>
        <w:tab/>
      </w:r>
      <w:r w:rsidRPr="00944815">
        <w:rPr>
          <w:rFonts w:asciiTheme="minorHAnsi" w:hAnsiTheme="minorHAnsi" w:cstheme="minorHAnsi"/>
        </w:rPr>
        <w:t>Indirect source of wood</w:t>
      </w:r>
    </w:p>
    <w:p w:rsidR="009E5CA8" w:rsidRPr="00944815" w:rsidRDefault="009E5CA8" w:rsidP="00D4451B">
      <w:pPr>
        <w:jc w:val="both"/>
        <w:rPr>
          <w:rFonts w:asciiTheme="minorHAnsi" w:hAnsiTheme="minorHAnsi" w:cstheme="minorHAnsi"/>
        </w:rPr>
      </w:pPr>
      <w:r w:rsidRPr="00944815">
        <w:rPr>
          <w:rFonts w:asciiTheme="minorHAnsi" w:hAnsiTheme="minorHAnsi" w:cstheme="minorHAnsi"/>
        </w:rPr>
        <w:t>S3</w:t>
      </w:r>
      <w:r w:rsidRPr="00944815">
        <w:rPr>
          <w:rFonts w:asciiTheme="minorHAnsi" w:hAnsiTheme="minorHAnsi" w:cstheme="minorHAnsi"/>
        </w:rPr>
        <w:tab/>
      </w:r>
      <w:r w:rsidR="002031B3">
        <w:rPr>
          <w:rFonts w:asciiTheme="minorHAnsi" w:hAnsiTheme="minorHAnsi" w:cstheme="minorHAnsi"/>
        </w:rPr>
        <w:tab/>
      </w:r>
      <w:r w:rsidRPr="00944815">
        <w:rPr>
          <w:rFonts w:asciiTheme="minorHAnsi" w:hAnsiTheme="minorHAnsi" w:cstheme="minorHAnsi"/>
        </w:rPr>
        <w:t xml:space="preserve">Post-consumer recovered wood/wood waste </w:t>
      </w:r>
    </w:p>
    <w:p w:rsidR="009E5CA8" w:rsidRDefault="009E5CA8" w:rsidP="00D4451B">
      <w:pPr>
        <w:jc w:val="both"/>
        <w:rPr>
          <w:rFonts w:asciiTheme="minorHAnsi" w:hAnsiTheme="minorHAnsi" w:cstheme="minorHAnsi"/>
        </w:rPr>
      </w:pPr>
      <w:r w:rsidRPr="00944815">
        <w:rPr>
          <w:rFonts w:asciiTheme="minorHAnsi" w:hAnsiTheme="minorHAnsi" w:cstheme="minorHAnsi"/>
        </w:rPr>
        <w:t>S4</w:t>
      </w:r>
      <w:r w:rsidRPr="00944815">
        <w:rPr>
          <w:rFonts w:asciiTheme="minorHAnsi" w:hAnsiTheme="minorHAnsi" w:cstheme="minorHAnsi"/>
        </w:rPr>
        <w:tab/>
      </w:r>
      <w:r w:rsidR="002031B3">
        <w:rPr>
          <w:rFonts w:asciiTheme="minorHAnsi" w:hAnsiTheme="minorHAnsi" w:cstheme="minorHAnsi"/>
        </w:rPr>
        <w:tab/>
      </w:r>
      <w:r w:rsidRPr="00944815">
        <w:rPr>
          <w:rFonts w:asciiTheme="minorHAnsi" w:hAnsiTheme="minorHAnsi" w:cstheme="minorHAnsi"/>
        </w:rPr>
        <w:t>Unspecific source of wood</w:t>
      </w:r>
    </w:p>
    <w:p w:rsidR="009E5CA8" w:rsidRPr="002E6BB7" w:rsidRDefault="009E5CA8" w:rsidP="00D4451B">
      <w:pPr>
        <w:jc w:val="both"/>
        <w:rPr>
          <w:rFonts w:asciiTheme="minorHAnsi" w:hAnsiTheme="minorHAnsi" w:cstheme="minorHAnsi"/>
        </w:rPr>
      </w:pPr>
      <w:r w:rsidRPr="002E6BB7">
        <w:rPr>
          <w:rFonts w:asciiTheme="minorHAnsi" w:hAnsiTheme="minorHAnsi" w:cstheme="minorHAnsi"/>
        </w:rPr>
        <w:t>SFM</w:t>
      </w:r>
      <w:r w:rsidRPr="002E6BB7">
        <w:rPr>
          <w:rFonts w:asciiTheme="minorHAnsi" w:hAnsiTheme="minorHAnsi" w:cstheme="minorHAnsi"/>
        </w:rPr>
        <w:tab/>
      </w:r>
      <w:r w:rsidR="002031B3">
        <w:rPr>
          <w:rFonts w:asciiTheme="minorHAnsi" w:hAnsiTheme="minorHAnsi" w:cstheme="minorHAnsi"/>
        </w:rPr>
        <w:tab/>
      </w:r>
      <w:r w:rsidRPr="002E6BB7">
        <w:rPr>
          <w:rFonts w:asciiTheme="minorHAnsi" w:hAnsiTheme="minorHAnsi" w:cstheme="minorHAnsi"/>
        </w:rPr>
        <w:t>Sustainable Forest Management</w:t>
      </w:r>
    </w:p>
    <w:p w:rsidR="009E5CA8" w:rsidRPr="009764CA" w:rsidRDefault="009E5CA8" w:rsidP="00D4451B">
      <w:pPr>
        <w:jc w:val="both"/>
        <w:rPr>
          <w:rFonts w:asciiTheme="minorHAnsi" w:hAnsiTheme="minorHAnsi" w:cstheme="minorHAnsi"/>
          <w:lang w:val="fr-CH"/>
        </w:rPr>
      </w:pPr>
      <w:r w:rsidRPr="009764CA">
        <w:rPr>
          <w:rFonts w:asciiTheme="minorHAnsi" w:hAnsiTheme="minorHAnsi" w:cstheme="minorHAnsi"/>
          <w:lang w:val="fr-CH"/>
        </w:rPr>
        <w:t>t</w:t>
      </w:r>
      <w:r w:rsidRPr="009764CA">
        <w:rPr>
          <w:rFonts w:asciiTheme="minorHAnsi" w:hAnsiTheme="minorHAnsi" w:cstheme="minorHAnsi"/>
          <w:lang w:val="fr-CH"/>
        </w:rPr>
        <w:tab/>
      </w:r>
      <w:r w:rsidR="002031B3" w:rsidRPr="009764CA">
        <w:rPr>
          <w:rFonts w:asciiTheme="minorHAnsi" w:hAnsiTheme="minorHAnsi" w:cstheme="minorHAnsi"/>
          <w:lang w:val="fr-CH"/>
        </w:rPr>
        <w:tab/>
      </w:r>
      <w:r w:rsidRPr="009764CA">
        <w:rPr>
          <w:rFonts w:asciiTheme="minorHAnsi" w:hAnsiTheme="minorHAnsi" w:cstheme="minorHAnsi"/>
          <w:lang w:val="fr-CH"/>
        </w:rPr>
        <w:t xml:space="preserve">metric tonnes [megagram] </w:t>
      </w:r>
    </w:p>
    <w:p w:rsidR="009E5CA8" w:rsidRPr="009764CA" w:rsidRDefault="009E5CA8" w:rsidP="00D4451B">
      <w:pPr>
        <w:jc w:val="both"/>
        <w:rPr>
          <w:rFonts w:asciiTheme="minorHAnsi" w:hAnsiTheme="minorHAnsi" w:cstheme="minorHAnsi"/>
          <w:lang w:val="fr-CH"/>
        </w:rPr>
      </w:pPr>
      <w:proofErr w:type="gramStart"/>
      <w:r w:rsidRPr="009764CA">
        <w:rPr>
          <w:rFonts w:asciiTheme="minorHAnsi" w:hAnsiTheme="minorHAnsi" w:cstheme="minorHAnsi"/>
          <w:lang w:val="fr-CH"/>
        </w:rPr>
        <w:t>t</w:t>
      </w:r>
      <w:proofErr w:type="gramEnd"/>
      <w:r w:rsidRPr="009764CA">
        <w:rPr>
          <w:rFonts w:asciiTheme="minorHAnsi" w:hAnsiTheme="minorHAnsi" w:cstheme="minorHAnsi"/>
          <w:lang w:val="fr-CH"/>
        </w:rPr>
        <w:t xml:space="preserve"> d.m.</w:t>
      </w:r>
      <w:r w:rsidRPr="009764CA">
        <w:rPr>
          <w:rFonts w:asciiTheme="minorHAnsi" w:hAnsiTheme="minorHAnsi" w:cstheme="minorHAnsi"/>
          <w:lang w:val="fr-CH"/>
        </w:rPr>
        <w:tab/>
      </w:r>
      <w:r w:rsidR="002031B3" w:rsidRPr="009764CA">
        <w:rPr>
          <w:rFonts w:asciiTheme="minorHAnsi" w:hAnsiTheme="minorHAnsi" w:cstheme="minorHAnsi"/>
          <w:lang w:val="fr-CH"/>
        </w:rPr>
        <w:tab/>
      </w:r>
      <w:proofErr w:type="spellStart"/>
      <w:r w:rsidRPr="009764CA">
        <w:rPr>
          <w:rFonts w:asciiTheme="minorHAnsi" w:hAnsiTheme="minorHAnsi" w:cstheme="minorHAnsi"/>
          <w:lang w:val="fr-CH"/>
        </w:rPr>
        <w:t>Metric</w:t>
      </w:r>
      <w:proofErr w:type="spellEnd"/>
      <w:r w:rsidRPr="009764CA">
        <w:rPr>
          <w:rFonts w:asciiTheme="minorHAnsi" w:hAnsiTheme="minorHAnsi" w:cstheme="minorHAnsi"/>
          <w:lang w:val="fr-CH"/>
        </w:rPr>
        <w:t xml:space="preserve"> tonnes dry </w:t>
      </w:r>
      <w:proofErr w:type="spellStart"/>
      <w:r w:rsidRPr="009764CA">
        <w:rPr>
          <w:rFonts w:asciiTheme="minorHAnsi" w:hAnsiTheme="minorHAnsi" w:cstheme="minorHAnsi"/>
          <w:lang w:val="fr-CH"/>
        </w:rPr>
        <w:t>matter</w:t>
      </w:r>
      <w:proofErr w:type="spellEnd"/>
    </w:p>
    <w:p w:rsidR="009E5CA8" w:rsidRPr="009764CA" w:rsidRDefault="009E5CA8" w:rsidP="00D4451B">
      <w:pPr>
        <w:jc w:val="both"/>
        <w:rPr>
          <w:rFonts w:asciiTheme="minorHAnsi" w:hAnsiTheme="minorHAnsi" w:cstheme="minorHAnsi"/>
          <w:lang w:val="fr-CH"/>
        </w:rPr>
      </w:pPr>
      <w:proofErr w:type="gramStart"/>
      <w:r w:rsidRPr="009764CA">
        <w:rPr>
          <w:rFonts w:asciiTheme="minorHAnsi" w:hAnsiTheme="minorHAnsi" w:cstheme="minorHAnsi"/>
          <w:lang w:val="fr-CH"/>
        </w:rPr>
        <w:t>t</w:t>
      </w:r>
      <w:proofErr w:type="gramEnd"/>
      <w:r w:rsidRPr="009764CA">
        <w:rPr>
          <w:rFonts w:asciiTheme="minorHAnsi" w:hAnsiTheme="minorHAnsi" w:cstheme="minorHAnsi"/>
          <w:lang w:val="fr-CH"/>
        </w:rPr>
        <w:t xml:space="preserve"> </w:t>
      </w:r>
      <w:proofErr w:type="spellStart"/>
      <w:r w:rsidRPr="009764CA">
        <w:rPr>
          <w:rFonts w:asciiTheme="minorHAnsi" w:hAnsiTheme="minorHAnsi" w:cstheme="minorHAnsi"/>
          <w:lang w:val="fr-CH"/>
        </w:rPr>
        <w:t>f.m</w:t>
      </w:r>
      <w:proofErr w:type="spellEnd"/>
      <w:r w:rsidRPr="009764CA">
        <w:rPr>
          <w:rFonts w:asciiTheme="minorHAnsi" w:hAnsiTheme="minorHAnsi" w:cstheme="minorHAnsi"/>
          <w:lang w:val="fr-CH"/>
        </w:rPr>
        <w:t>.</w:t>
      </w:r>
      <w:r w:rsidRPr="009764CA">
        <w:rPr>
          <w:rFonts w:asciiTheme="minorHAnsi" w:hAnsiTheme="minorHAnsi" w:cstheme="minorHAnsi"/>
          <w:lang w:val="fr-CH"/>
        </w:rPr>
        <w:tab/>
      </w:r>
      <w:r w:rsidR="002031B3" w:rsidRPr="009764CA">
        <w:rPr>
          <w:rFonts w:asciiTheme="minorHAnsi" w:hAnsiTheme="minorHAnsi" w:cstheme="minorHAnsi"/>
          <w:lang w:val="fr-CH"/>
        </w:rPr>
        <w:tab/>
      </w:r>
      <w:proofErr w:type="spellStart"/>
      <w:r w:rsidRPr="009764CA">
        <w:rPr>
          <w:rFonts w:asciiTheme="minorHAnsi" w:hAnsiTheme="minorHAnsi" w:cstheme="minorHAnsi"/>
          <w:lang w:val="fr-CH"/>
        </w:rPr>
        <w:t>Metric</w:t>
      </w:r>
      <w:proofErr w:type="spellEnd"/>
      <w:r w:rsidRPr="009764CA">
        <w:rPr>
          <w:rFonts w:asciiTheme="minorHAnsi" w:hAnsiTheme="minorHAnsi" w:cstheme="minorHAnsi"/>
          <w:lang w:val="fr-CH"/>
        </w:rPr>
        <w:t xml:space="preserve"> tonnes </w:t>
      </w:r>
      <w:proofErr w:type="spellStart"/>
      <w:r w:rsidRPr="009764CA">
        <w:rPr>
          <w:rFonts w:asciiTheme="minorHAnsi" w:hAnsiTheme="minorHAnsi" w:cstheme="minorHAnsi"/>
          <w:lang w:val="fr-CH"/>
        </w:rPr>
        <w:t>fresh</w:t>
      </w:r>
      <w:proofErr w:type="spellEnd"/>
      <w:r w:rsidRPr="009764CA">
        <w:rPr>
          <w:rFonts w:asciiTheme="minorHAnsi" w:hAnsiTheme="minorHAnsi" w:cstheme="minorHAnsi"/>
          <w:lang w:val="fr-CH"/>
        </w:rPr>
        <w:t xml:space="preserve"> </w:t>
      </w:r>
      <w:proofErr w:type="spellStart"/>
      <w:r w:rsidRPr="009764CA">
        <w:rPr>
          <w:rFonts w:asciiTheme="minorHAnsi" w:hAnsiTheme="minorHAnsi" w:cstheme="minorHAnsi"/>
          <w:lang w:val="fr-CH"/>
        </w:rPr>
        <w:t>matter</w:t>
      </w:r>
      <w:proofErr w:type="spellEnd"/>
    </w:p>
    <w:p w:rsidR="009E5CA8" w:rsidRPr="009764CA" w:rsidRDefault="009E5CA8" w:rsidP="00D4451B">
      <w:pPr>
        <w:jc w:val="both"/>
        <w:rPr>
          <w:rFonts w:asciiTheme="minorHAnsi" w:hAnsiTheme="minorHAnsi" w:cstheme="minorHAnsi"/>
          <w:lang w:val="fr-CH"/>
        </w:rPr>
      </w:pPr>
      <w:r w:rsidRPr="009764CA">
        <w:rPr>
          <w:rFonts w:asciiTheme="minorHAnsi" w:hAnsiTheme="minorHAnsi" w:cstheme="minorHAnsi"/>
          <w:lang w:val="fr-CH"/>
        </w:rPr>
        <w:t>TJ</w:t>
      </w:r>
      <w:r w:rsidRPr="009764CA">
        <w:rPr>
          <w:rFonts w:asciiTheme="minorHAnsi" w:hAnsiTheme="minorHAnsi" w:cstheme="minorHAnsi"/>
          <w:lang w:val="fr-CH"/>
        </w:rPr>
        <w:tab/>
      </w:r>
      <w:r w:rsidR="002031B3" w:rsidRPr="009764CA">
        <w:rPr>
          <w:rFonts w:asciiTheme="minorHAnsi" w:hAnsiTheme="minorHAnsi" w:cstheme="minorHAnsi"/>
          <w:lang w:val="fr-CH"/>
        </w:rPr>
        <w:tab/>
      </w:r>
      <w:proofErr w:type="spellStart"/>
      <w:r w:rsidRPr="009764CA">
        <w:rPr>
          <w:rFonts w:asciiTheme="minorHAnsi" w:hAnsiTheme="minorHAnsi" w:cstheme="minorHAnsi"/>
          <w:lang w:val="fr-CH"/>
        </w:rPr>
        <w:t>terajoules</w:t>
      </w:r>
      <w:proofErr w:type="spellEnd"/>
    </w:p>
    <w:p w:rsidR="009E5CA8" w:rsidRDefault="009E5CA8" w:rsidP="00D4451B">
      <w:pPr>
        <w:jc w:val="both"/>
        <w:rPr>
          <w:rFonts w:asciiTheme="minorHAnsi" w:hAnsiTheme="minorHAnsi" w:cstheme="minorHAnsi"/>
        </w:rPr>
      </w:pPr>
      <w:proofErr w:type="gramStart"/>
      <w:r>
        <w:rPr>
          <w:rFonts w:asciiTheme="minorHAnsi" w:hAnsiTheme="minorHAnsi" w:cstheme="minorHAnsi"/>
        </w:rPr>
        <w:t>toe</w:t>
      </w:r>
      <w:proofErr w:type="gramEnd"/>
      <w:r>
        <w:rPr>
          <w:rFonts w:asciiTheme="minorHAnsi" w:hAnsiTheme="minorHAnsi" w:cstheme="minorHAnsi"/>
        </w:rPr>
        <w:tab/>
      </w:r>
      <w:r w:rsidR="002031B3">
        <w:rPr>
          <w:rFonts w:asciiTheme="minorHAnsi" w:hAnsiTheme="minorHAnsi" w:cstheme="minorHAnsi"/>
        </w:rPr>
        <w:tab/>
      </w:r>
      <w:r>
        <w:rPr>
          <w:rFonts w:asciiTheme="minorHAnsi" w:hAnsiTheme="minorHAnsi" w:cstheme="minorHAnsi"/>
        </w:rPr>
        <w:t>tonnes of oil equivalent</w:t>
      </w:r>
    </w:p>
    <w:p w:rsidR="009E5CA8" w:rsidRPr="00944815" w:rsidRDefault="009E5CA8" w:rsidP="00D4451B">
      <w:pPr>
        <w:ind w:left="1440" w:hanging="1440"/>
        <w:jc w:val="both"/>
        <w:rPr>
          <w:rFonts w:asciiTheme="minorHAnsi" w:hAnsiTheme="minorHAnsi" w:cstheme="minorHAnsi"/>
        </w:rPr>
      </w:pPr>
      <w:r w:rsidRPr="00944815">
        <w:rPr>
          <w:rFonts w:asciiTheme="minorHAnsi" w:hAnsiTheme="minorHAnsi" w:cstheme="minorHAnsi"/>
        </w:rPr>
        <w:t>U1</w:t>
      </w:r>
      <w:r w:rsidRPr="00944815">
        <w:rPr>
          <w:rFonts w:asciiTheme="minorHAnsi" w:hAnsiTheme="minorHAnsi" w:cstheme="minorHAnsi"/>
        </w:rPr>
        <w:tab/>
        <w:t>Use of wood for energy by commercial heat and power/main activity producer</w:t>
      </w:r>
    </w:p>
    <w:p w:rsidR="009E5CA8" w:rsidRPr="00944815" w:rsidRDefault="009E5CA8" w:rsidP="00D4451B">
      <w:pPr>
        <w:jc w:val="both"/>
        <w:rPr>
          <w:rFonts w:asciiTheme="minorHAnsi" w:hAnsiTheme="minorHAnsi" w:cstheme="minorHAnsi"/>
        </w:rPr>
      </w:pPr>
      <w:r w:rsidRPr="00944815">
        <w:rPr>
          <w:rFonts w:asciiTheme="minorHAnsi" w:hAnsiTheme="minorHAnsi" w:cstheme="minorHAnsi"/>
        </w:rPr>
        <w:t>U2</w:t>
      </w:r>
      <w:r w:rsidRPr="00944815">
        <w:rPr>
          <w:rFonts w:asciiTheme="minorHAnsi" w:hAnsiTheme="minorHAnsi" w:cstheme="minorHAnsi"/>
        </w:rPr>
        <w:tab/>
      </w:r>
      <w:r w:rsidR="002031B3">
        <w:rPr>
          <w:rFonts w:asciiTheme="minorHAnsi" w:hAnsiTheme="minorHAnsi" w:cstheme="minorHAnsi"/>
        </w:rPr>
        <w:tab/>
      </w:r>
      <w:r w:rsidRPr="00944815">
        <w:rPr>
          <w:rFonts w:asciiTheme="minorHAnsi" w:hAnsiTheme="minorHAnsi" w:cstheme="minorHAnsi"/>
        </w:rPr>
        <w:t>Use of wood for energy by wood processing industries</w:t>
      </w:r>
    </w:p>
    <w:p w:rsidR="009E5CA8" w:rsidRPr="00944815" w:rsidRDefault="009E5CA8" w:rsidP="00D4451B">
      <w:pPr>
        <w:jc w:val="both"/>
        <w:rPr>
          <w:rFonts w:asciiTheme="minorHAnsi" w:hAnsiTheme="minorHAnsi" w:cstheme="minorHAnsi"/>
        </w:rPr>
      </w:pPr>
      <w:r w:rsidRPr="00944815">
        <w:rPr>
          <w:rFonts w:asciiTheme="minorHAnsi" w:hAnsiTheme="minorHAnsi" w:cstheme="minorHAnsi"/>
        </w:rPr>
        <w:t>U3</w:t>
      </w:r>
      <w:r w:rsidRPr="00944815">
        <w:rPr>
          <w:rFonts w:asciiTheme="minorHAnsi" w:hAnsiTheme="minorHAnsi" w:cstheme="minorHAnsi"/>
        </w:rPr>
        <w:tab/>
      </w:r>
      <w:r w:rsidR="002031B3">
        <w:rPr>
          <w:rFonts w:asciiTheme="minorHAnsi" w:hAnsiTheme="minorHAnsi" w:cstheme="minorHAnsi"/>
        </w:rPr>
        <w:tab/>
      </w:r>
      <w:r w:rsidRPr="00944815">
        <w:rPr>
          <w:rFonts w:asciiTheme="minorHAnsi" w:hAnsiTheme="minorHAnsi" w:cstheme="minorHAnsi"/>
        </w:rPr>
        <w:t>Use of wood for energy by private households</w:t>
      </w:r>
    </w:p>
    <w:p w:rsidR="009E5CA8" w:rsidRDefault="009E5CA8" w:rsidP="00D4451B">
      <w:pPr>
        <w:jc w:val="both"/>
        <w:rPr>
          <w:rFonts w:asciiTheme="minorHAnsi" w:hAnsiTheme="minorHAnsi" w:cstheme="minorHAnsi"/>
        </w:rPr>
      </w:pPr>
      <w:r w:rsidRPr="00944815">
        <w:rPr>
          <w:rFonts w:asciiTheme="minorHAnsi" w:hAnsiTheme="minorHAnsi" w:cstheme="minorHAnsi"/>
        </w:rPr>
        <w:t>U4</w:t>
      </w:r>
      <w:r w:rsidRPr="00944815">
        <w:rPr>
          <w:rFonts w:asciiTheme="minorHAnsi" w:hAnsiTheme="minorHAnsi" w:cstheme="minorHAnsi"/>
        </w:rPr>
        <w:tab/>
      </w:r>
      <w:r w:rsidR="002031B3">
        <w:rPr>
          <w:rFonts w:asciiTheme="minorHAnsi" w:hAnsiTheme="minorHAnsi" w:cstheme="minorHAnsi"/>
        </w:rPr>
        <w:tab/>
      </w:r>
      <w:r w:rsidRPr="00944815">
        <w:rPr>
          <w:rFonts w:asciiTheme="minorHAnsi" w:hAnsiTheme="minorHAnsi" w:cstheme="minorHAnsi"/>
        </w:rPr>
        <w:t>Use of wood for energy by undefined user</w:t>
      </w:r>
    </w:p>
    <w:p w:rsidR="006A7E81" w:rsidRDefault="00507BAB" w:rsidP="006A7E81">
      <w:pPr>
        <w:jc w:val="both"/>
        <w:rPr>
          <w:rFonts w:asciiTheme="minorHAnsi" w:hAnsiTheme="minorHAnsi" w:cstheme="minorHAnsi"/>
        </w:rPr>
      </w:pPr>
      <w:r w:rsidRPr="00944815">
        <w:rPr>
          <w:rFonts w:asciiTheme="minorHAnsi" w:hAnsiTheme="minorHAnsi" w:cstheme="minorHAnsi"/>
        </w:rPr>
        <w:t>UNECE</w:t>
      </w:r>
      <w:r w:rsidR="00783A68" w:rsidRPr="00944815">
        <w:rPr>
          <w:rFonts w:asciiTheme="minorHAnsi" w:hAnsiTheme="minorHAnsi" w:cstheme="minorHAnsi"/>
        </w:rPr>
        <w:tab/>
      </w:r>
      <w:r w:rsidR="002031B3">
        <w:rPr>
          <w:rFonts w:asciiTheme="minorHAnsi" w:hAnsiTheme="minorHAnsi" w:cstheme="minorHAnsi"/>
        </w:rPr>
        <w:tab/>
      </w:r>
      <w:r w:rsidRPr="00944815">
        <w:rPr>
          <w:rFonts w:asciiTheme="minorHAnsi" w:hAnsiTheme="minorHAnsi" w:cstheme="minorHAnsi"/>
        </w:rPr>
        <w:t>United Nations Economic Commission for Europe</w:t>
      </w:r>
    </w:p>
    <w:p w:rsidR="006A7E81" w:rsidRDefault="006A7E81">
      <w:pPr>
        <w:rPr>
          <w:rFonts w:asciiTheme="minorHAnsi" w:hAnsiTheme="minorHAnsi" w:cstheme="minorHAnsi"/>
        </w:rPr>
      </w:pPr>
    </w:p>
    <w:p w:rsidR="000E2818" w:rsidRDefault="000E2818">
      <w:pPr>
        <w:rPr>
          <w:rFonts w:ascii="Calibri" w:hAnsi="Calibri" w:cs="Calibri"/>
          <w:b/>
          <w:bCs/>
          <w:kern w:val="32"/>
          <w:sz w:val="28"/>
          <w:szCs w:val="32"/>
        </w:rPr>
      </w:pPr>
      <w:r>
        <w:br w:type="page"/>
      </w:r>
    </w:p>
    <w:p w:rsidR="003F4AD8" w:rsidRDefault="00714E7C" w:rsidP="0047427B">
      <w:pPr>
        <w:pStyle w:val="Heading1"/>
        <w:numPr>
          <w:ilvl w:val="0"/>
          <w:numId w:val="0"/>
        </w:numPr>
        <w:spacing w:before="0" w:after="0"/>
        <w:ind w:left="360" w:hanging="360"/>
      </w:pPr>
      <w:bookmarkStart w:id="10" w:name="_Toc407187210"/>
      <w:r w:rsidRPr="00D22B76">
        <w:lastRenderedPageBreak/>
        <w:t>F</w:t>
      </w:r>
      <w:bookmarkStart w:id="11" w:name="_Toc326748698"/>
      <w:r w:rsidR="003F4AD8">
        <w:t>oreword</w:t>
      </w:r>
      <w:bookmarkEnd w:id="10"/>
      <w:bookmarkEnd w:id="11"/>
    </w:p>
    <w:bookmarkEnd w:id="9"/>
    <w:p w:rsidR="00C00C37" w:rsidRDefault="00C00C37" w:rsidP="00A013BC">
      <w:pPr>
        <w:jc w:val="both"/>
        <w:rPr>
          <w:rFonts w:ascii="Calibri" w:hAnsi="Calibri" w:cs="Calibri"/>
          <w:bCs/>
        </w:rPr>
      </w:pPr>
    </w:p>
    <w:p w:rsidR="00F034AA" w:rsidRDefault="00714E7C" w:rsidP="00A013BC">
      <w:pPr>
        <w:jc w:val="both"/>
        <w:rPr>
          <w:rFonts w:ascii="Calibri" w:hAnsi="Calibri" w:cs="Calibri"/>
          <w:bCs/>
        </w:rPr>
      </w:pPr>
      <w:r>
        <w:rPr>
          <w:rFonts w:ascii="Calibri" w:hAnsi="Calibri" w:cs="Calibri"/>
          <w:bCs/>
        </w:rPr>
        <w:t>A major objective in energy policy in Europe and beyond is to increase the share of renewable energ</w:t>
      </w:r>
      <w:r w:rsidR="00064855">
        <w:rPr>
          <w:rFonts w:ascii="Calibri" w:hAnsi="Calibri" w:cs="Calibri"/>
          <w:bCs/>
        </w:rPr>
        <w:t>y</w:t>
      </w:r>
      <w:r>
        <w:rPr>
          <w:rFonts w:ascii="Calibri" w:hAnsi="Calibri" w:cs="Calibri"/>
          <w:bCs/>
        </w:rPr>
        <w:t xml:space="preserve">: ambitious targets have been agreed and incentives have been put in place in several countries. National renewable energy action plans specifying </w:t>
      </w:r>
      <w:r w:rsidR="00F034AA">
        <w:rPr>
          <w:rFonts w:ascii="Calibri" w:hAnsi="Calibri" w:cs="Calibri"/>
          <w:bCs/>
        </w:rPr>
        <w:t>how these targets will be achieved have been drawn up in all European Union member states: similar plans exist for most other European countries or are being drawn up.</w:t>
      </w:r>
    </w:p>
    <w:p w:rsidR="00F034AA" w:rsidRDefault="00F034AA" w:rsidP="00A013BC">
      <w:pPr>
        <w:jc w:val="both"/>
        <w:rPr>
          <w:rFonts w:ascii="Calibri" w:hAnsi="Calibri" w:cs="Calibri"/>
          <w:bCs/>
        </w:rPr>
      </w:pPr>
    </w:p>
    <w:p w:rsidR="00F034AA" w:rsidRDefault="00F034AA" w:rsidP="00A013BC">
      <w:pPr>
        <w:jc w:val="both"/>
        <w:rPr>
          <w:rFonts w:ascii="Calibri" w:hAnsi="Calibri" w:cs="Calibri"/>
          <w:bCs/>
        </w:rPr>
      </w:pPr>
      <w:r w:rsidRPr="00F034AA">
        <w:rPr>
          <w:rFonts w:ascii="Calibri" w:hAnsi="Calibri" w:cs="Calibri"/>
          <w:bCs/>
        </w:rPr>
        <w:t xml:space="preserve">Wood is currently the principal source of renewable energy in the UNECE region, accounting for </w:t>
      </w:r>
      <w:r>
        <w:rPr>
          <w:rFonts w:ascii="Calibri" w:hAnsi="Calibri" w:cs="Calibri"/>
          <w:bCs/>
        </w:rPr>
        <w:t>about</w:t>
      </w:r>
      <w:r w:rsidRPr="00F034AA">
        <w:rPr>
          <w:rFonts w:ascii="Calibri" w:hAnsi="Calibri" w:cs="Calibri"/>
          <w:bCs/>
        </w:rPr>
        <w:t xml:space="preserve"> half of all renewable energy consumption. In addition to addressing climate and energy commitments, wood energy has the potential to create new job opportunities in rural areas by stimulating wood harvesting and processing and the development of wood fuel markets and trade opportunities. Strong political support has seen wood energy markets grow</w:t>
      </w:r>
      <w:r w:rsidR="00E03EA4">
        <w:rPr>
          <w:rFonts w:ascii="Calibri" w:hAnsi="Calibri" w:cs="Calibri"/>
          <w:bCs/>
        </w:rPr>
        <w:t>,</w:t>
      </w:r>
      <w:r w:rsidRPr="00F034AA">
        <w:rPr>
          <w:rFonts w:ascii="Calibri" w:hAnsi="Calibri" w:cs="Calibri"/>
          <w:bCs/>
        </w:rPr>
        <w:t xml:space="preserve"> notwithstanding the economic downturn and the consequent sharp decline in demand for forest products.</w:t>
      </w:r>
      <w:r w:rsidR="00E03EA4">
        <w:rPr>
          <w:rFonts w:ascii="Calibri" w:hAnsi="Calibri" w:cs="Calibri"/>
          <w:bCs/>
        </w:rPr>
        <w:t xml:space="preserve"> Increasing energy prices have also contributed to this growth – the impact of the decline in 2014 remains to be seen.</w:t>
      </w:r>
    </w:p>
    <w:p w:rsidR="00F034AA" w:rsidRDefault="00F034AA" w:rsidP="00A013BC">
      <w:pPr>
        <w:jc w:val="both"/>
        <w:rPr>
          <w:rFonts w:ascii="Calibri" w:hAnsi="Calibri" w:cs="Calibri"/>
          <w:bCs/>
        </w:rPr>
      </w:pPr>
    </w:p>
    <w:p w:rsidR="00F034AA" w:rsidRPr="00F034AA" w:rsidRDefault="00F034AA" w:rsidP="00A013BC">
      <w:pPr>
        <w:jc w:val="both"/>
        <w:rPr>
          <w:rFonts w:ascii="Calibri" w:hAnsi="Calibri" w:cs="Calibri"/>
          <w:bCs/>
        </w:rPr>
      </w:pPr>
      <w:r>
        <w:rPr>
          <w:rFonts w:ascii="Calibri" w:hAnsi="Calibri" w:cs="Calibri"/>
          <w:bCs/>
        </w:rPr>
        <w:t xml:space="preserve">Recent studies have shown that more wood is used for energy than previously estimated, and that a substantial part of this comes from non-forest resources such as industrial co-products, landscape care wood and recovered wood. </w:t>
      </w:r>
    </w:p>
    <w:p w:rsidR="00030F84" w:rsidRDefault="00030F84" w:rsidP="00A013BC">
      <w:pPr>
        <w:jc w:val="both"/>
        <w:rPr>
          <w:rFonts w:ascii="Calibri" w:hAnsi="Calibri" w:cs="Calibri"/>
          <w:bCs/>
        </w:rPr>
      </w:pPr>
    </w:p>
    <w:p w:rsidR="00030F84" w:rsidRDefault="00030F84" w:rsidP="00A013BC">
      <w:pPr>
        <w:jc w:val="both"/>
        <w:rPr>
          <w:rFonts w:ascii="Calibri" w:hAnsi="Calibri" w:cs="Calibri"/>
          <w:bCs/>
        </w:rPr>
      </w:pPr>
      <w:r w:rsidRPr="00030F84">
        <w:rPr>
          <w:rFonts w:ascii="Calibri" w:hAnsi="Calibri" w:cs="Calibri"/>
          <w:bCs/>
        </w:rPr>
        <w:t xml:space="preserve">For wood and paper products production, most countries have </w:t>
      </w:r>
      <w:r>
        <w:rPr>
          <w:rFonts w:ascii="Calibri" w:hAnsi="Calibri" w:cs="Calibri"/>
          <w:bCs/>
        </w:rPr>
        <w:t>reliable</w:t>
      </w:r>
      <w:r w:rsidRPr="00030F84">
        <w:rPr>
          <w:rFonts w:ascii="Calibri" w:hAnsi="Calibri" w:cs="Calibri"/>
          <w:bCs/>
        </w:rPr>
        <w:t xml:space="preserve"> information available for the current and expected wood fibre </w:t>
      </w:r>
      <w:r>
        <w:rPr>
          <w:rFonts w:ascii="Calibri" w:hAnsi="Calibri" w:cs="Calibri"/>
          <w:bCs/>
        </w:rPr>
        <w:t>supply and demand</w:t>
      </w:r>
      <w:r w:rsidRPr="00030F84">
        <w:rPr>
          <w:rFonts w:ascii="Calibri" w:hAnsi="Calibri" w:cs="Calibri"/>
          <w:bCs/>
        </w:rPr>
        <w:t xml:space="preserve">. On the other hand, wood energy statistics are often scattered among different entities and </w:t>
      </w:r>
      <w:r>
        <w:rPr>
          <w:rFonts w:ascii="Calibri" w:hAnsi="Calibri" w:cs="Calibri"/>
          <w:bCs/>
        </w:rPr>
        <w:t>integrated</w:t>
      </w:r>
      <w:r w:rsidRPr="00030F84">
        <w:rPr>
          <w:rFonts w:ascii="Calibri" w:hAnsi="Calibri" w:cs="Calibri"/>
          <w:bCs/>
        </w:rPr>
        <w:t xml:space="preserve"> within statistics on energy from renewables and waste.</w:t>
      </w:r>
      <w:r>
        <w:rPr>
          <w:rFonts w:ascii="Calibri" w:hAnsi="Calibri" w:cs="Calibri"/>
          <w:bCs/>
        </w:rPr>
        <w:t xml:space="preserve"> Energy statistics typically focus on the consumption and transformation side rather than the underlying supply patterns and origin of fuels. Developing reliable statistics on the sources and uses of wood energy is thus a highly cross-</w:t>
      </w:r>
      <w:proofErr w:type="spellStart"/>
      <w:r>
        <w:rPr>
          <w:rFonts w:ascii="Calibri" w:hAnsi="Calibri" w:cs="Calibri"/>
          <w:bCs/>
        </w:rPr>
        <w:t>sectoral</w:t>
      </w:r>
      <w:proofErr w:type="spellEnd"/>
      <w:r>
        <w:rPr>
          <w:rFonts w:ascii="Calibri" w:hAnsi="Calibri" w:cs="Calibri"/>
          <w:bCs/>
        </w:rPr>
        <w:t xml:space="preserve"> and complex exercise.</w:t>
      </w:r>
    </w:p>
    <w:p w:rsidR="00030F84" w:rsidRDefault="00030F84" w:rsidP="00A013BC">
      <w:pPr>
        <w:jc w:val="both"/>
        <w:rPr>
          <w:rFonts w:ascii="Calibri" w:hAnsi="Calibri" w:cs="Calibri"/>
          <w:bCs/>
        </w:rPr>
      </w:pPr>
    </w:p>
    <w:p w:rsidR="00A013BC" w:rsidRDefault="00B17F6C" w:rsidP="00A013BC">
      <w:pPr>
        <w:jc w:val="both"/>
        <w:rPr>
          <w:rFonts w:ascii="Calibri" w:hAnsi="Calibri" w:cs="Calibri"/>
          <w:bCs/>
        </w:rPr>
      </w:pPr>
      <w:r>
        <w:rPr>
          <w:rFonts w:ascii="Calibri" w:hAnsi="Calibri" w:cs="Calibri"/>
          <w:bCs/>
        </w:rPr>
        <w:t xml:space="preserve">The UNECE/FAO Joint Wood Energy Enquiry addresses this information gap by providing a framework for dialogue and cooperation between all relevant wood energy stakeholders. The Joint Wood Energy Enquiry </w:t>
      </w:r>
      <w:r w:rsidR="00030F84" w:rsidRPr="00030F84">
        <w:rPr>
          <w:rFonts w:ascii="Calibri" w:hAnsi="Calibri" w:cs="Calibri"/>
          <w:bCs/>
        </w:rPr>
        <w:t>provides spe</w:t>
      </w:r>
      <w:r>
        <w:rPr>
          <w:rFonts w:ascii="Calibri" w:hAnsi="Calibri" w:cs="Calibri"/>
          <w:bCs/>
        </w:rPr>
        <w:t>cific information on the origin</w:t>
      </w:r>
      <w:r w:rsidR="00030F84" w:rsidRPr="00030F84">
        <w:rPr>
          <w:rFonts w:ascii="Calibri" w:hAnsi="Calibri" w:cs="Calibri"/>
          <w:bCs/>
        </w:rPr>
        <w:t xml:space="preserve"> and amount of wood energy </w:t>
      </w:r>
      <w:r>
        <w:rPr>
          <w:rFonts w:ascii="Calibri" w:hAnsi="Calibri" w:cs="Calibri"/>
          <w:bCs/>
        </w:rPr>
        <w:t>consumed</w:t>
      </w:r>
      <w:r w:rsidR="00030F84" w:rsidRPr="00030F84">
        <w:rPr>
          <w:rFonts w:ascii="Calibri" w:hAnsi="Calibri" w:cs="Calibri"/>
          <w:bCs/>
        </w:rPr>
        <w:t xml:space="preserve"> by different </w:t>
      </w:r>
      <w:r>
        <w:rPr>
          <w:rFonts w:ascii="Calibri" w:hAnsi="Calibri" w:cs="Calibri"/>
          <w:bCs/>
        </w:rPr>
        <w:t xml:space="preserve">users. </w:t>
      </w:r>
      <w:r w:rsidR="00030F84" w:rsidRPr="00030F84">
        <w:rPr>
          <w:rFonts w:ascii="Calibri" w:hAnsi="Calibri" w:cs="Calibri"/>
          <w:bCs/>
        </w:rPr>
        <w:t xml:space="preserve">This knowledge allows decision makers to enhance socio-economic welfare by reducing conflicts between energy and material use </w:t>
      </w:r>
      <w:r w:rsidR="00623C92">
        <w:rPr>
          <w:rFonts w:ascii="Calibri" w:hAnsi="Calibri" w:cs="Calibri"/>
          <w:bCs/>
        </w:rPr>
        <w:t>while guaranteeing the fulfillment of renewable energy targets and sustainable forest management commitments</w:t>
      </w:r>
      <w:r w:rsidR="00030F84" w:rsidRPr="00030F84">
        <w:rPr>
          <w:rFonts w:ascii="Calibri" w:hAnsi="Calibri" w:cs="Calibri"/>
          <w:bCs/>
        </w:rPr>
        <w:t>.</w:t>
      </w:r>
      <w:r w:rsidR="00623C92">
        <w:rPr>
          <w:rFonts w:ascii="Calibri" w:hAnsi="Calibri" w:cs="Calibri"/>
          <w:bCs/>
        </w:rPr>
        <w:t xml:space="preserve"> Reliable statistics </w:t>
      </w:r>
      <w:r w:rsidR="00FC53BA">
        <w:rPr>
          <w:rFonts w:ascii="Calibri" w:hAnsi="Calibri" w:cs="Calibri"/>
          <w:bCs/>
        </w:rPr>
        <w:t xml:space="preserve">remain fundamental </w:t>
      </w:r>
      <w:r w:rsidR="00623C92">
        <w:rPr>
          <w:rFonts w:ascii="Calibri" w:hAnsi="Calibri" w:cs="Calibri"/>
          <w:bCs/>
        </w:rPr>
        <w:t>for policy formulation at both national and international level.</w:t>
      </w:r>
    </w:p>
    <w:p w:rsidR="00A013BC" w:rsidRDefault="00A013BC">
      <w:pPr>
        <w:rPr>
          <w:rFonts w:ascii="Calibri" w:hAnsi="Calibri" w:cs="Calibri"/>
          <w:bCs/>
        </w:rPr>
      </w:pPr>
      <w:r>
        <w:rPr>
          <w:rFonts w:ascii="Calibri" w:hAnsi="Calibri" w:cs="Calibri"/>
          <w:bCs/>
        </w:rPr>
        <w:br w:type="page"/>
      </w:r>
    </w:p>
    <w:p w:rsidR="00281D88" w:rsidRPr="005F4C06" w:rsidRDefault="00281D88" w:rsidP="0047427B">
      <w:pPr>
        <w:pStyle w:val="Heading1"/>
        <w:spacing w:before="0" w:after="0"/>
      </w:pPr>
      <w:bookmarkStart w:id="12" w:name="_Toc335925325"/>
      <w:bookmarkStart w:id="13" w:name="_Toc336000498"/>
      <w:bookmarkStart w:id="14" w:name="_Toc335925326"/>
      <w:bookmarkStart w:id="15" w:name="_Toc336000499"/>
      <w:bookmarkStart w:id="16" w:name="_Toc326748699"/>
      <w:bookmarkStart w:id="17" w:name="_Toc407187211"/>
      <w:bookmarkEnd w:id="12"/>
      <w:bookmarkEnd w:id="13"/>
      <w:bookmarkEnd w:id="14"/>
      <w:bookmarkEnd w:id="15"/>
      <w:r w:rsidRPr="005F4C06">
        <w:lastRenderedPageBreak/>
        <w:t>About</w:t>
      </w:r>
      <w:bookmarkEnd w:id="16"/>
      <w:bookmarkEnd w:id="17"/>
    </w:p>
    <w:p w:rsidR="00C00C37" w:rsidRDefault="00C00C37" w:rsidP="00C00C37">
      <w:pPr>
        <w:jc w:val="both"/>
        <w:rPr>
          <w:rFonts w:ascii="Calibri" w:hAnsi="Calibri" w:cs="Calibri"/>
        </w:rPr>
      </w:pPr>
    </w:p>
    <w:p w:rsidR="00CF10DF" w:rsidRPr="00DA4B53" w:rsidRDefault="00281D88" w:rsidP="00C00C37">
      <w:pPr>
        <w:jc w:val="both"/>
        <w:rPr>
          <w:rFonts w:ascii="Calibri" w:hAnsi="Calibri" w:cs="Calibri"/>
        </w:rPr>
      </w:pPr>
      <w:r w:rsidRPr="00DA4B53">
        <w:rPr>
          <w:rFonts w:ascii="Calibri" w:hAnsi="Calibri" w:cs="Calibri"/>
        </w:rPr>
        <w:t xml:space="preserve">The </w:t>
      </w:r>
      <w:r w:rsidR="004D446C">
        <w:rPr>
          <w:rFonts w:ascii="Calibri" w:hAnsi="Calibri" w:cs="Calibri"/>
        </w:rPr>
        <w:t xml:space="preserve">UNECE/FAO </w:t>
      </w:r>
      <w:r w:rsidRPr="00DA4B53">
        <w:rPr>
          <w:rFonts w:ascii="Calibri" w:hAnsi="Calibri" w:cs="Calibri"/>
        </w:rPr>
        <w:t>Joint Wood Energy Enquiry collects information on wood energy for the reference year 201</w:t>
      </w:r>
      <w:r w:rsidR="005515EB">
        <w:rPr>
          <w:rFonts w:ascii="Calibri" w:hAnsi="Calibri" w:cs="Calibri"/>
        </w:rPr>
        <w:t>3</w:t>
      </w:r>
      <w:r w:rsidRPr="00DA4B53">
        <w:rPr>
          <w:rFonts w:ascii="Calibri" w:hAnsi="Calibri" w:cs="Calibri"/>
        </w:rPr>
        <w:t xml:space="preserve"> and is referred to as </w:t>
      </w:r>
      <w:r w:rsidR="004D446C">
        <w:rPr>
          <w:rFonts w:ascii="Calibri" w:hAnsi="Calibri" w:cs="Calibri"/>
        </w:rPr>
        <w:t>“</w:t>
      </w:r>
      <w:r w:rsidRPr="00DA4B53">
        <w:rPr>
          <w:rFonts w:ascii="Calibri" w:hAnsi="Calibri" w:cs="Calibri"/>
        </w:rPr>
        <w:t>JWEE</w:t>
      </w:r>
      <w:r w:rsidR="004D446C">
        <w:rPr>
          <w:rFonts w:ascii="Calibri" w:hAnsi="Calibri" w:cs="Calibri"/>
        </w:rPr>
        <w:t xml:space="preserve"> 201</w:t>
      </w:r>
      <w:r w:rsidR="005515EB">
        <w:rPr>
          <w:rFonts w:ascii="Calibri" w:hAnsi="Calibri" w:cs="Calibri"/>
        </w:rPr>
        <w:t>3</w:t>
      </w:r>
      <w:r w:rsidR="004D446C">
        <w:rPr>
          <w:rFonts w:ascii="Calibri" w:hAnsi="Calibri" w:cs="Calibri"/>
        </w:rPr>
        <w:t>”</w:t>
      </w:r>
      <w:r w:rsidRPr="00DA4B53">
        <w:rPr>
          <w:rFonts w:ascii="Calibri" w:hAnsi="Calibri" w:cs="Calibri"/>
        </w:rPr>
        <w:t>hereafter</w:t>
      </w:r>
      <w:r w:rsidR="004D446C">
        <w:rPr>
          <w:rFonts w:ascii="Calibri" w:hAnsi="Calibri" w:cs="Calibri"/>
        </w:rPr>
        <w:t>.</w:t>
      </w:r>
      <w:r w:rsidR="00CF10DF" w:rsidRPr="00DA4B53">
        <w:rPr>
          <w:rFonts w:ascii="Calibri" w:hAnsi="Calibri" w:cs="Calibri"/>
        </w:rPr>
        <w:t xml:space="preserve"> </w:t>
      </w:r>
    </w:p>
    <w:p w:rsidR="009E182C" w:rsidRDefault="009E182C" w:rsidP="00C00C37">
      <w:pPr>
        <w:jc w:val="both"/>
        <w:rPr>
          <w:rFonts w:ascii="Calibri" w:hAnsi="Calibri" w:cs="Calibri"/>
        </w:rPr>
      </w:pPr>
    </w:p>
    <w:p w:rsidR="00281D88" w:rsidRPr="00DA4B53" w:rsidRDefault="00CF10DF" w:rsidP="00C00C37">
      <w:pPr>
        <w:jc w:val="both"/>
        <w:rPr>
          <w:rFonts w:ascii="Calibri" w:hAnsi="Calibri" w:cs="Calibri"/>
        </w:rPr>
      </w:pPr>
      <w:r w:rsidRPr="00DA4B53">
        <w:rPr>
          <w:rFonts w:ascii="Calibri" w:hAnsi="Calibri" w:cs="Calibri"/>
        </w:rPr>
        <w:t>The JWEE</w:t>
      </w:r>
      <w:r w:rsidR="00281D88" w:rsidRPr="00DA4B53">
        <w:rPr>
          <w:rFonts w:ascii="Calibri" w:hAnsi="Calibri" w:cs="Calibri"/>
        </w:rPr>
        <w:t xml:space="preserve"> has been developed and </w:t>
      </w:r>
      <w:r w:rsidRPr="00DA4B53">
        <w:rPr>
          <w:rFonts w:ascii="Calibri" w:hAnsi="Calibri" w:cs="Calibri"/>
        </w:rPr>
        <w:t xml:space="preserve">constantly </w:t>
      </w:r>
      <w:r w:rsidR="00281D88" w:rsidRPr="00DA4B53">
        <w:rPr>
          <w:rFonts w:ascii="Calibri" w:hAnsi="Calibri" w:cs="Calibri"/>
        </w:rPr>
        <w:t xml:space="preserve">further refined since 2006. It is a joint exercise involving the </w:t>
      </w:r>
      <w:r w:rsidR="004D446C">
        <w:rPr>
          <w:rFonts w:ascii="Calibri" w:hAnsi="Calibri" w:cs="Calibri"/>
        </w:rPr>
        <w:t xml:space="preserve">Forestry and </w:t>
      </w:r>
      <w:r w:rsidR="00281D88" w:rsidRPr="00DA4B53">
        <w:rPr>
          <w:rFonts w:ascii="Calibri" w:hAnsi="Calibri" w:cs="Calibri"/>
        </w:rPr>
        <w:t>Timber Section of the United Nations Economic Commission for Europe (UNECE/FAO Forestry and Timber Section)</w:t>
      </w:r>
      <w:r w:rsidR="004D446C">
        <w:rPr>
          <w:rFonts w:ascii="Calibri" w:hAnsi="Calibri" w:cs="Calibri"/>
        </w:rPr>
        <w:t>,</w:t>
      </w:r>
      <w:r w:rsidR="00281D88" w:rsidRPr="00DA4B53">
        <w:rPr>
          <w:rFonts w:ascii="Calibri" w:hAnsi="Calibri" w:cs="Calibri"/>
        </w:rPr>
        <w:t xml:space="preserve"> the Food and Agriculture Organization of the United Nations (FAO) as well as </w:t>
      </w:r>
      <w:r w:rsidR="00B34717">
        <w:rPr>
          <w:rFonts w:ascii="Calibri" w:hAnsi="Calibri" w:cs="Calibri"/>
        </w:rPr>
        <w:t>national statisticians</w:t>
      </w:r>
      <w:r w:rsidR="00B34717" w:rsidRPr="00DA4B53">
        <w:rPr>
          <w:rFonts w:ascii="Calibri" w:hAnsi="Calibri" w:cs="Calibri"/>
        </w:rPr>
        <w:t xml:space="preserve"> </w:t>
      </w:r>
      <w:r w:rsidR="00281D88" w:rsidRPr="00DA4B53">
        <w:rPr>
          <w:rFonts w:ascii="Calibri" w:hAnsi="Calibri" w:cs="Calibri"/>
        </w:rPr>
        <w:t xml:space="preserve">and experts </w:t>
      </w:r>
      <w:r w:rsidR="00B34717">
        <w:rPr>
          <w:rFonts w:ascii="Calibri" w:hAnsi="Calibri" w:cs="Calibri"/>
        </w:rPr>
        <w:t>from</w:t>
      </w:r>
      <w:r w:rsidR="00B34717" w:rsidRPr="00DA4B53">
        <w:rPr>
          <w:rFonts w:ascii="Calibri" w:hAnsi="Calibri" w:cs="Calibri"/>
        </w:rPr>
        <w:t xml:space="preserve"> </w:t>
      </w:r>
      <w:r w:rsidR="00B34717">
        <w:rPr>
          <w:rFonts w:ascii="Calibri" w:hAnsi="Calibri" w:cs="Calibri"/>
        </w:rPr>
        <w:t xml:space="preserve">the </w:t>
      </w:r>
      <w:r w:rsidR="00281D88" w:rsidRPr="00DA4B53">
        <w:rPr>
          <w:rFonts w:ascii="Calibri" w:hAnsi="Calibri" w:cs="Calibri"/>
        </w:rPr>
        <w:t xml:space="preserve">forestry, energy and waste </w:t>
      </w:r>
      <w:r w:rsidR="00B34717">
        <w:rPr>
          <w:rFonts w:ascii="Calibri" w:hAnsi="Calibri" w:cs="Calibri"/>
        </w:rPr>
        <w:t>sectors</w:t>
      </w:r>
      <w:r w:rsidR="00281D88" w:rsidRPr="00DA4B53">
        <w:rPr>
          <w:rFonts w:ascii="Calibri" w:hAnsi="Calibri" w:cs="Calibri"/>
        </w:rPr>
        <w:t>.</w:t>
      </w:r>
      <w:r w:rsidR="002B0C19">
        <w:rPr>
          <w:rFonts w:ascii="Calibri" w:hAnsi="Calibri" w:cs="Calibri"/>
        </w:rPr>
        <w:t xml:space="preserve">  The main forum to exchange views on the JWEE is the Joint FAO/UNECE Working Party on Forest Statistics, Economics and Management.  In 2012 a workshop was held in Paris</w:t>
      </w:r>
      <w:r w:rsidR="002B0C19">
        <w:rPr>
          <w:rStyle w:val="FootnoteReference"/>
          <w:rFonts w:ascii="Calibri" w:hAnsi="Calibri" w:cs="Calibri"/>
        </w:rPr>
        <w:footnoteReference w:id="1"/>
      </w:r>
      <w:r w:rsidR="002B0C19">
        <w:rPr>
          <w:rFonts w:ascii="Calibri" w:hAnsi="Calibri" w:cs="Calibri"/>
        </w:rPr>
        <w:t xml:space="preserve"> to further improve information exchange.</w:t>
      </w:r>
    </w:p>
    <w:p w:rsidR="009E182C" w:rsidRDefault="009E182C" w:rsidP="00C00C37">
      <w:pPr>
        <w:jc w:val="both"/>
        <w:rPr>
          <w:rFonts w:ascii="Calibri" w:hAnsi="Calibri" w:cs="Calibri"/>
        </w:rPr>
      </w:pPr>
    </w:p>
    <w:p w:rsidR="00CF10DF" w:rsidRDefault="00CF10DF" w:rsidP="00C00C37">
      <w:pPr>
        <w:jc w:val="both"/>
        <w:rPr>
          <w:rFonts w:ascii="Calibri" w:hAnsi="Calibri" w:cs="Calibri"/>
        </w:rPr>
      </w:pPr>
      <w:r w:rsidRPr="00CF10DF">
        <w:rPr>
          <w:rFonts w:ascii="Calibri" w:hAnsi="Calibri" w:cs="Calibri"/>
        </w:rPr>
        <w:t xml:space="preserve">Member </w:t>
      </w:r>
      <w:r w:rsidR="00021BFF">
        <w:rPr>
          <w:rFonts w:ascii="Calibri" w:hAnsi="Calibri" w:cs="Calibri"/>
        </w:rPr>
        <w:t>states</w:t>
      </w:r>
      <w:r w:rsidR="00021BFF" w:rsidRPr="00CF10DF">
        <w:rPr>
          <w:rFonts w:ascii="Calibri" w:hAnsi="Calibri" w:cs="Calibri"/>
        </w:rPr>
        <w:t xml:space="preserve">’ </w:t>
      </w:r>
      <w:r w:rsidRPr="00CF10DF">
        <w:rPr>
          <w:rFonts w:ascii="Calibri" w:hAnsi="Calibri" w:cs="Calibri"/>
        </w:rPr>
        <w:t xml:space="preserve">participation is </w:t>
      </w:r>
      <w:r w:rsidR="004D446C">
        <w:rPr>
          <w:rFonts w:ascii="Calibri" w:hAnsi="Calibri" w:cs="Calibri"/>
        </w:rPr>
        <w:t xml:space="preserve">on a </w:t>
      </w:r>
      <w:r w:rsidRPr="00CF10DF">
        <w:rPr>
          <w:rFonts w:ascii="Calibri" w:hAnsi="Calibri" w:cs="Calibri"/>
        </w:rPr>
        <w:t xml:space="preserve">voluntary </w:t>
      </w:r>
      <w:r w:rsidR="004D446C">
        <w:rPr>
          <w:rFonts w:ascii="Calibri" w:hAnsi="Calibri" w:cs="Calibri"/>
        </w:rPr>
        <w:t>basis</w:t>
      </w:r>
      <w:r w:rsidRPr="00CF10DF">
        <w:rPr>
          <w:rFonts w:ascii="Calibri" w:hAnsi="Calibri" w:cs="Calibri"/>
        </w:rPr>
        <w:t xml:space="preserve">. UNECE </w:t>
      </w:r>
      <w:r w:rsidR="004D446C">
        <w:rPr>
          <w:rFonts w:ascii="Calibri" w:hAnsi="Calibri" w:cs="Calibri"/>
        </w:rPr>
        <w:t xml:space="preserve">and FAO </w:t>
      </w:r>
      <w:r w:rsidRPr="00CF10DF">
        <w:rPr>
          <w:rFonts w:ascii="Calibri" w:hAnsi="Calibri" w:cs="Calibri"/>
        </w:rPr>
        <w:t xml:space="preserve">are able to provide some technical support and transfer of knowledge to member </w:t>
      </w:r>
      <w:r w:rsidR="00B34717">
        <w:rPr>
          <w:rFonts w:ascii="Calibri" w:hAnsi="Calibri" w:cs="Calibri"/>
        </w:rPr>
        <w:t>states</w:t>
      </w:r>
      <w:r w:rsidRPr="00CF10DF">
        <w:rPr>
          <w:rFonts w:ascii="Calibri" w:hAnsi="Calibri" w:cs="Calibri"/>
        </w:rPr>
        <w:t xml:space="preserve">, however, no financial support can be granted. </w:t>
      </w:r>
    </w:p>
    <w:p w:rsidR="009E182C" w:rsidRDefault="009E182C" w:rsidP="00C00C37">
      <w:pPr>
        <w:jc w:val="both"/>
        <w:rPr>
          <w:rFonts w:ascii="Calibri" w:hAnsi="Calibri" w:cs="Calibri"/>
        </w:rPr>
      </w:pPr>
    </w:p>
    <w:p w:rsidR="00281D88" w:rsidRDefault="00281D88" w:rsidP="00C00C37">
      <w:pPr>
        <w:jc w:val="both"/>
        <w:rPr>
          <w:rFonts w:ascii="Calibri" w:hAnsi="Calibri" w:cs="Calibri"/>
        </w:rPr>
      </w:pPr>
      <w:r w:rsidRPr="00EE0E3F">
        <w:rPr>
          <w:rFonts w:ascii="Calibri" w:hAnsi="Calibri" w:cs="Calibri"/>
        </w:rPr>
        <w:t>The JWEE</w:t>
      </w:r>
      <w:r w:rsidR="004D446C" w:rsidRPr="00EE0E3F">
        <w:rPr>
          <w:rFonts w:ascii="Calibri" w:hAnsi="Calibri" w:cs="Calibri"/>
        </w:rPr>
        <w:t xml:space="preserve"> </w:t>
      </w:r>
      <w:r w:rsidRPr="00EE0E3F">
        <w:rPr>
          <w:rFonts w:ascii="Calibri" w:hAnsi="Calibri" w:cs="Calibri"/>
        </w:rPr>
        <w:t>201</w:t>
      </w:r>
      <w:r w:rsidR="00E03EA4" w:rsidRPr="00EE0E3F">
        <w:rPr>
          <w:rFonts w:ascii="Calibri" w:hAnsi="Calibri" w:cs="Calibri"/>
        </w:rPr>
        <w:t>3</w:t>
      </w:r>
      <w:r w:rsidRPr="00EE0E3F">
        <w:rPr>
          <w:rFonts w:ascii="Calibri" w:hAnsi="Calibri" w:cs="Calibri"/>
        </w:rPr>
        <w:t xml:space="preserve"> is available on</w:t>
      </w:r>
      <w:r w:rsidR="007018A9" w:rsidRPr="00EE0E3F">
        <w:rPr>
          <w:rFonts w:ascii="Calibri" w:hAnsi="Calibri" w:cs="Calibri"/>
        </w:rPr>
        <w:t>line</w:t>
      </w:r>
      <w:r w:rsidR="00064808" w:rsidRPr="00EE0E3F">
        <w:rPr>
          <w:rFonts w:ascii="Calibri" w:hAnsi="Calibri" w:cs="Calibri"/>
        </w:rPr>
        <w:t xml:space="preserve"> in English</w:t>
      </w:r>
      <w:r w:rsidR="00EE0E3F">
        <w:rPr>
          <w:rFonts w:ascii="Calibri" w:hAnsi="Calibri" w:cs="Calibri"/>
        </w:rPr>
        <w:t>. A Russian language version is being prepared.</w:t>
      </w:r>
      <w:r w:rsidR="00064808">
        <w:rPr>
          <w:rFonts w:ascii="Calibri" w:hAnsi="Calibri" w:cs="Calibri"/>
        </w:rPr>
        <w:t xml:space="preserve"> </w:t>
      </w:r>
      <w:r w:rsidRPr="00DA4B53">
        <w:rPr>
          <w:rFonts w:ascii="Calibri" w:hAnsi="Calibri" w:cs="Calibri"/>
        </w:rPr>
        <w:t xml:space="preserve">Users are strongly encouraged to download the latest </w:t>
      </w:r>
      <w:r w:rsidR="004B696C">
        <w:rPr>
          <w:rFonts w:ascii="Calibri" w:hAnsi="Calibri" w:cs="Calibri"/>
        </w:rPr>
        <w:t>spreadsheet</w:t>
      </w:r>
      <w:r w:rsidRPr="00DA4B53">
        <w:rPr>
          <w:rFonts w:ascii="Calibri" w:hAnsi="Calibri" w:cs="Calibri"/>
        </w:rPr>
        <w:t xml:space="preserve"> from </w:t>
      </w:r>
      <w:hyperlink r:id="rId17" w:history="1">
        <w:r w:rsidR="002D6EE8" w:rsidRPr="00D40125">
          <w:rPr>
            <w:rStyle w:val="Hyperlink"/>
            <w:rFonts w:ascii="Calibri" w:hAnsi="Calibri" w:cs="Calibri"/>
          </w:rPr>
          <w:t>www.unece.org/forests/jwee.html</w:t>
        </w:r>
      </w:hyperlink>
      <w:r w:rsidRPr="004B696C">
        <w:rPr>
          <w:rFonts w:ascii="Calibri" w:hAnsi="Calibri" w:cs="Calibri"/>
        </w:rPr>
        <w:t>.</w:t>
      </w:r>
    </w:p>
    <w:p w:rsidR="00C00C37" w:rsidRPr="0047427B" w:rsidRDefault="00C00C37" w:rsidP="00C00C37">
      <w:pPr>
        <w:jc w:val="both"/>
        <w:rPr>
          <w:rFonts w:asciiTheme="minorHAnsi" w:hAnsiTheme="minorHAnsi" w:cstheme="minorHAnsi"/>
        </w:rPr>
      </w:pPr>
    </w:p>
    <w:p w:rsidR="00281D88" w:rsidRPr="005F4C06" w:rsidRDefault="00281D88" w:rsidP="0047427B">
      <w:pPr>
        <w:pStyle w:val="Heading1"/>
        <w:spacing w:before="0" w:after="0"/>
      </w:pPr>
      <w:bookmarkStart w:id="18" w:name="_Toc326748700"/>
      <w:bookmarkStart w:id="19" w:name="_Toc407187212"/>
      <w:r w:rsidRPr="005F4C06">
        <w:t>Objective</w:t>
      </w:r>
      <w:bookmarkEnd w:id="18"/>
      <w:bookmarkEnd w:id="19"/>
    </w:p>
    <w:p w:rsidR="00C00C37" w:rsidRDefault="00C00C37" w:rsidP="00C00C37">
      <w:pPr>
        <w:jc w:val="both"/>
        <w:rPr>
          <w:rFonts w:ascii="Calibri" w:hAnsi="Calibri" w:cs="Calibri"/>
        </w:rPr>
      </w:pPr>
    </w:p>
    <w:p w:rsidR="00FC53BA" w:rsidRDefault="00B34717" w:rsidP="00C00C37">
      <w:pPr>
        <w:jc w:val="both"/>
        <w:rPr>
          <w:rFonts w:ascii="Calibri" w:hAnsi="Calibri" w:cs="Calibri"/>
        </w:rPr>
      </w:pPr>
      <w:r w:rsidRPr="00D4451B">
        <w:rPr>
          <w:rFonts w:ascii="Calibri" w:hAnsi="Calibri" w:cs="Calibri"/>
        </w:rPr>
        <w:t xml:space="preserve">Wood energy data is often scattered among different entities or concealed within statistics on renewables and waste. </w:t>
      </w:r>
      <w:r w:rsidR="00FC53BA">
        <w:rPr>
          <w:rFonts w:ascii="Calibri" w:hAnsi="Calibri" w:cs="Calibri"/>
        </w:rPr>
        <w:t>The JWEE aims to</w:t>
      </w:r>
      <w:r w:rsidR="00FC53BA" w:rsidRPr="00DA4B53">
        <w:rPr>
          <w:rFonts w:ascii="Calibri" w:hAnsi="Calibri" w:cs="Calibri"/>
        </w:rPr>
        <w:t xml:space="preserve"> </w:t>
      </w:r>
      <w:r w:rsidR="00FC53BA">
        <w:rPr>
          <w:rFonts w:ascii="Calibri" w:hAnsi="Calibri" w:cs="Calibri"/>
        </w:rPr>
        <w:t xml:space="preserve">act as </w:t>
      </w:r>
      <w:r w:rsidR="00FC53BA" w:rsidRPr="00DA4B53">
        <w:rPr>
          <w:rFonts w:ascii="Calibri" w:hAnsi="Calibri" w:cs="Calibri"/>
        </w:rPr>
        <w:t>a bridge</w:t>
      </w:r>
      <w:r w:rsidR="00FC53BA">
        <w:rPr>
          <w:rFonts w:ascii="Calibri" w:hAnsi="Calibri" w:cs="Calibri"/>
        </w:rPr>
        <w:t xml:space="preserve">-builder </w:t>
      </w:r>
      <w:r w:rsidR="00FC53BA" w:rsidRPr="00DA4B53">
        <w:rPr>
          <w:rFonts w:ascii="Calibri" w:hAnsi="Calibri" w:cs="Calibri"/>
        </w:rPr>
        <w:t>between the energy, waste and forestry sector</w:t>
      </w:r>
      <w:r w:rsidR="00FC53BA">
        <w:rPr>
          <w:rFonts w:ascii="Calibri" w:hAnsi="Calibri" w:cs="Calibri"/>
        </w:rPr>
        <w:t>s, catalyzing</w:t>
      </w:r>
      <w:r w:rsidR="00FC53BA" w:rsidRPr="00DA4B53">
        <w:rPr>
          <w:rFonts w:ascii="Calibri" w:hAnsi="Calibri" w:cs="Calibri"/>
        </w:rPr>
        <w:t xml:space="preserve"> cross-</w:t>
      </w:r>
      <w:proofErr w:type="spellStart"/>
      <w:r w:rsidR="00FC53BA" w:rsidRPr="00DA4B53">
        <w:rPr>
          <w:rFonts w:ascii="Calibri" w:hAnsi="Calibri" w:cs="Calibri"/>
        </w:rPr>
        <w:t>sectoral</w:t>
      </w:r>
      <w:proofErr w:type="spellEnd"/>
      <w:r w:rsidR="00FC53BA" w:rsidRPr="00DA4B53">
        <w:rPr>
          <w:rFonts w:ascii="Calibri" w:hAnsi="Calibri" w:cs="Calibri"/>
        </w:rPr>
        <w:t xml:space="preserve"> collaboration </w:t>
      </w:r>
      <w:r w:rsidR="00FC53BA">
        <w:rPr>
          <w:rFonts w:ascii="Calibri" w:hAnsi="Calibri" w:cs="Calibri"/>
        </w:rPr>
        <w:t>among</w:t>
      </w:r>
      <w:r w:rsidR="00FC53BA" w:rsidRPr="00DA4B53">
        <w:rPr>
          <w:rFonts w:ascii="Calibri" w:hAnsi="Calibri" w:cs="Calibri"/>
        </w:rPr>
        <w:t xml:space="preserve"> </w:t>
      </w:r>
      <w:r w:rsidR="00FC53BA">
        <w:rPr>
          <w:rFonts w:ascii="Calibri" w:hAnsi="Calibri" w:cs="Calibri"/>
        </w:rPr>
        <w:t xml:space="preserve">national </w:t>
      </w:r>
      <w:r w:rsidR="00FC53BA" w:rsidRPr="00DA4B53">
        <w:rPr>
          <w:rFonts w:ascii="Calibri" w:hAnsi="Calibri" w:cs="Calibri"/>
        </w:rPr>
        <w:t>experts and relevant stakeholders.</w:t>
      </w:r>
      <w:r w:rsidR="00FC53BA">
        <w:rPr>
          <w:rFonts w:ascii="Calibri" w:hAnsi="Calibri" w:cs="Calibri"/>
        </w:rPr>
        <w:t xml:space="preserve"> </w:t>
      </w:r>
    </w:p>
    <w:p w:rsidR="00FC53BA" w:rsidRDefault="00FC53BA" w:rsidP="00C00C37">
      <w:pPr>
        <w:jc w:val="both"/>
        <w:rPr>
          <w:rFonts w:ascii="Calibri" w:hAnsi="Calibri" w:cs="Calibri"/>
        </w:rPr>
      </w:pPr>
    </w:p>
    <w:p w:rsidR="009845BD" w:rsidRDefault="00B34717" w:rsidP="00C00C37">
      <w:pPr>
        <w:jc w:val="both"/>
        <w:rPr>
          <w:rFonts w:ascii="Calibri" w:hAnsi="Calibri" w:cs="Calibri"/>
        </w:rPr>
      </w:pPr>
      <w:r w:rsidRPr="007727D3">
        <w:rPr>
          <w:rFonts w:ascii="Calibri" w:hAnsi="Calibri" w:cs="Calibri"/>
        </w:rPr>
        <w:t xml:space="preserve">The </w:t>
      </w:r>
      <w:r w:rsidRPr="00D4451B">
        <w:rPr>
          <w:rFonts w:ascii="Calibri" w:hAnsi="Calibri" w:cs="Calibri"/>
        </w:rPr>
        <w:t>JWEE</w:t>
      </w:r>
      <w:r w:rsidRPr="007727D3">
        <w:rPr>
          <w:rFonts w:ascii="Calibri" w:hAnsi="Calibri" w:cs="Calibri"/>
        </w:rPr>
        <w:t xml:space="preserve"> </w:t>
      </w:r>
      <w:r w:rsidRPr="00BA6094">
        <w:rPr>
          <w:rFonts w:ascii="Calibri" w:hAnsi="Calibri" w:cs="Calibri"/>
        </w:rPr>
        <w:t xml:space="preserve">asks for detailed and disaggregated data on </w:t>
      </w:r>
      <w:r w:rsidRPr="00D4451B">
        <w:rPr>
          <w:rFonts w:ascii="Calibri" w:hAnsi="Calibri" w:cs="Calibri"/>
        </w:rPr>
        <w:t xml:space="preserve">the </w:t>
      </w:r>
      <w:r w:rsidRPr="007727D3">
        <w:rPr>
          <w:rFonts w:ascii="Calibri" w:hAnsi="Calibri" w:cs="Calibri"/>
        </w:rPr>
        <w:t xml:space="preserve">supply and use </w:t>
      </w:r>
      <w:r w:rsidRPr="00BA6094">
        <w:rPr>
          <w:rFonts w:ascii="Calibri" w:hAnsi="Calibri" w:cs="Calibri"/>
        </w:rPr>
        <w:t>of wood energy.</w:t>
      </w:r>
      <w:r w:rsidRPr="00D4451B">
        <w:rPr>
          <w:rFonts w:ascii="Calibri" w:hAnsi="Calibri" w:cs="Calibri"/>
        </w:rPr>
        <w:t xml:space="preserve"> Such level of detail allows for an effective </w:t>
      </w:r>
      <w:r>
        <w:rPr>
          <w:rFonts w:ascii="Calibri" w:hAnsi="Calibri" w:cs="Calibri"/>
        </w:rPr>
        <w:t>analysis</w:t>
      </w:r>
      <w:r w:rsidRPr="00D4451B">
        <w:rPr>
          <w:rFonts w:ascii="Calibri" w:hAnsi="Calibri" w:cs="Calibri"/>
        </w:rPr>
        <w:t xml:space="preserve"> of trends and developments in the sector and a reliable assessment of the data quality.</w:t>
      </w:r>
      <w:r w:rsidRPr="007727D3">
        <w:rPr>
          <w:rFonts w:ascii="Calibri" w:hAnsi="Calibri" w:cs="Calibri"/>
        </w:rPr>
        <w:t xml:space="preserve"> </w:t>
      </w:r>
      <w:r w:rsidR="00281D88" w:rsidRPr="00DA4B53">
        <w:rPr>
          <w:rFonts w:ascii="Calibri" w:hAnsi="Calibri" w:cs="Calibri"/>
        </w:rPr>
        <w:t xml:space="preserve">The </w:t>
      </w:r>
      <w:r w:rsidR="007018A9">
        <w:rPr>
          <w:rFonts w:ascii="Calibri" w:hAnsi="Calibri" w:cs="Calibri"/>
        </w:rPr>
        <w:t>JWEE</w:t>
      </w:r>
      <w:r w:rsidR="00342976" w:rsidRPr="00DA4B53">
        <w:rPr>
          <w:rFonts w:ascii="Calibri" w:hAnsi="Calibri" w:cs="Calibri"/>
        </w:rPr>
        <w:t xml:space="preserve"> does not </w:t>
      </w:r>
      <w:r w:rsidR="007018A9">
        <w:rPr>
          <w:rFonts w:ascii="Calibri" w:hAnsi="Calibri" w:cs="Calibri"/>
        </w:rPr>
        <w:t xml:space="preserve">necessarily </w:t>
      </w:r>
      <w:r w:rsidR="005F5737">
        <w:rPr>
          <w:rFonts w:ascii="Calibri" w:hAnsi="Calibri" w:cs="Calibri"/>
        </w:rPr>
        <w:t xml:space="preserve">require </w:t>
      </w:r>
      <w:r w:rsidR="00342976" w:rsidRPr="00DA4B53">
        <w:rPr>
          <w:rFonts w:ascii="Calibri" w:hAnsi="Calibri" w:cs="Calibri"/>
        </w:rPr>
        <w:t xml:space="preserve">official data on wood energy, but rather </w:t>
      </w:r>
      <w:r w:rsidR="005F5737">
        <w:rPr>
          <w:rFonts w:ascii="Calibri" w:hAnsi="Calibri" w:cs="Calibri"/>
        </w:rPr>
        <w:t>looks</w:t>
      </w:r>
      <w:r w:rsidR="005F5737" w:rsidRPr="00DA4B53">
        <w:rPr>
          <w:rFonts w:ascii="Calibri" w:hAnsi="Calibri" w:cs="Calibri"/>
        </w:rPr>
        <w:t xml:space="preserve"> </w:t>
      </w:r>
      <w:r w:rsidR="00342976" w:rsidRPr="00DA4B53">
        <w:rPr>
          <w:rFonts w:ascii="Calibri" w:hAnsi="Calibri" w:cs="Calibri"/>
        </w:rPr>
        <w:t xml:space="preserve">for data that </w:t>
      </w:r>
      <w:r w:rsidR="00281D88" w:rsidRPr="00DA4B53">
        <w:rPr>
          <w:rFonts w:ascii="Calibri" w:hAnsi="Calibri" w:cs="Calibri"/>
        </w:rPr>
        <w:t>reflect</w:t>
      </w:r>
      <w:r w:rsidR="001400C0">
        <w:rPr>
          <w:rFonts w:ascii="Calibri" w:hAnsi="Calibri" w:cs="Calibri"/>
        </w:rPr>
        <w:t>s</w:t>
      </w:r>
      <w:r w:rsidR="00281D88" w:rsidRPr="00DA4B53">
        <w:rPr>
          <w:rFonts w:ascii="Calibri" w:hAnsi="Calibri" w:cs="Calibri"/>
        </w:rPr>
        <w:t xml:space="preserve"> realities in the wood energy sector in a timely manner.</w:t>
      </w:r>
      <w:r w:rsidR="001400C0">
        <w:rPr>
          <w:rFonts w:ascii="Calibri" w:hAnsi="Calibri" w:cs="Calibri"/>
        </w:rPr>
        <w:t xml:space="preserve"> </w:t>
      </w:r>
      <w:r w:rsidR="007018A9">
        <w:rPr>
          <w:rFonts w:ascii="Calibri" w:hAnsi="Calibri" w:cs="Calibri"/>
        </w:rPr>
        <w:t>C</w:t>
      </w:r>
      <w:r w:rsidR="00281D88" w:rsidRPr="00DA4B53">
        <w:rPr>
          <w:rFonts w:ascii="Calibri" w:hAnsi="Calibri" w:cs="Calibri"/>
        </w:rPr>
        <w:t xml:space="preserve">orrespondents and experts </w:t>
      </w:r>
      <w:r w:rsidR="007018A9">
        <w:rPr>
          <w:rFonts w:ascii="Calibri" w:hAnsi="Calibri" w:cs="Calibri"/>
        </w:rPr>
        <w:t xml:space="preserve">are encouraged </w:t>
      </w:r>
      <w:r w:rsidR="00281D88" w:rsidRPr="00DA4B53">
        <w:rPr>
          <w:rFonts w:ascii="Calibri" w:hAnsi="Calibri" w:cs="Calibri"/>
        </w:rPr>
        <w:t xml:space="preserve">to critically assess </w:t>
      </w:r>
      <w:r w:rsidR="00021BFF">
        <w:rPr>
          <w:rFonts w:ascii="Calibri" w:hAnsi="Calibri" w:cs="Calibri"/>
        </w:rPr>
        <w:t xml:space="preserve">available </w:t>
      </w:r>
      <w:r w:rsidR="00281D88" w:rsidRPr="00DA4B53">
        <w:rPr>
          <w:rFonts w:ascii="Calibri" w:hAnsi="Calibri" w:cs="Calibri"/>
        </w:rPr>
        <w:t xml:space="preserve">official data on wood energy and </w:t>
      </w:r>
      <w:r w:rsidR="007018A9">
        <w:rPr>
          <w:rFonts w:ascii="Calibri" w:hAnsi="Calibri" w:cs="Calibri"/>
        </w:rPr>
        <w:t>where appropriate complement it by</w:t>
      </w:r>
      <w:r w:rsidR="00281D88" w:rsidRPr="00DA4B53">
        <w:rPr>
          <w:rFonts w:ascii="Calibri" w:hAnsi="Calibri" w:cs="Calibri"/>
        </w:rPr>
        <w:t xml:space="preserve"> using empirical data from studies, science and industr</w:t>
      </w:r>
      <w:r w:rsidR="005F5737">
        <w:rPr>
          <w:rFonts w:ascii="Calibri" w:hAnsi="Calibri" w:cs="Calibri"/>
        </w:rPr>
        <w:t>y</w:t>
      </w:r>
      <w:r w:rsidR="00281D88" w:rsidRPr="00DA4B53">
        <w:rPr>
          <w:rFonts w:ascii="Calibri" w:hAnsi="Calibri" w:cs="Calibri"/>
        </w:rPr>
        <w:t>. E</w:t>
      </w:r>
      <w:r w:rsidR="00281D88" w:rsidRPr="00281D88">
        <w:rPr>
          <w:rFonts w:ascii="Calibri" w:hAnsi="Calibri" w:cs="Calibri"/>
        </w:rPr>
        <w:t>xpert</w:t>
      </w:r>
      <w:r w:rsidR="00342976">
        <w:rPr>
          <w:rFonts w:ascii="Calibri" w:hAnsi="Calibri" w:cs="Calibri"/>
        </w:rPr>
        <w:t xml:space="preserve"> </w:t>
      </w:r>
      <w:r w:rsidR="00281D88" w:rsidRPr="00281D88">
        <w:rPr>
          <w:rFonts w:ascii="Calibri" w:hAnsi="Calibri" w:cs="Calibri"/>
        </w:rPr>
        <w:t xml:space="preserve">estimates </w:t>
      </w:r>
      <w:r w:rsidR="00281D88">
        <w:rPr>
          <w:rFonts w:ascii="Calibri" w:hAnsi="Calibri" w:cs="Calibri"/>
        </w:rPr>
        <w:t xml:space="preserve">are </w:t>
      </w:r>
      <w:r w:rsidR="007018A9">
        <w:rPr>
          <w:rFonts w:ascii="Calibri" w:hAnsi="Calibri" w:cs="Calibri"/>
        </w:rPr>
        <w:t>also</w:t>
      </w:r>
      <w:r w:rsidR="00281D88">
        <w:rPr>
          <w:rFonts w:ascii="Calibri" w:hAnsi="Calibri" w:cs="Calibri"/>
        </w:rPr>
        <w:t xml:space="preserve"> </w:t>
      </w:r>
      <w:r w:rsidR="007018A9">
        <w:rPr>
          <w:rFonts w:ascii="Calibri" w:hAnsi="Calibri" w:cs="Calibri"/>
        </w:rPr>
        <w:t xml:space="preserve">welcome </w:t>
      </w:r>
      <w:r w:rsidR="00281D88">
        <w:rPr>
          <w:rFonts w:ascii="Calibri" w:hAnsi="Calibri" w:cs="Calibri"/>
        </w:rPr>
        <w:t>i</w:t>
      </w:r>
      <w:r w:rsidR="00281D88" w:rsidRPr="00DA4B53">
        <w:rPr>
          <w:rFonts w:ascii="Calibri" w:hAnsi="Calibri" w:cs="Calibri"/>
        </w:rPr>
        <w:t xml:space="preserve">n cases where </w:t>
      </w:r>
      <w:r w:rsidR="007018A9">
        <w:rPr>
          <w:rFonts w:ascii="Calibri" w:hAnsi="Calibri" w:cs="Calibri"/>
        </w:rPr>
        <w:t xml:space="preserve">no </w:t>
      </w:r>
      <w:r w:rsidR="00010E59">
        <w:rPr>
          <w:rFonts w:ascii="Calibri" w:hAnsi="Calibri" w:cs="Calibri"/>
        </w:rPr>
        <w:t xml:space="preserve">hard </w:t>
      </w:r>
      <w:r w:rsidR="00281D88" w:rsidRPr="00DA4B53">
        <w:rPr>
          <w:rFonts w:ascii="Calibri" w:hAnsi="Calibri" w:cs="Calibri"/>
        </w:rPr>
        <w:t xml:space="preserve">data </w:t>
      </w:r>
      <w:r w:rsidR="007018A9">
        <w:rPr>
          <w:rFonts w:ascii="Calibri" w:hAnsi="Calibri" w:cs="Calibri"/>
        </w:rPr>
        <w:t>is</w:t>
      </w:r>
      <w:r w:rsidR="007018A9" w:rsidRPr="00DA4B53">
        <w:rPr>
          <w:rFonts w:ascii="Calibri" w:hAnsi="Calibri" w:cs="Calibri"/>
        </w:rPr>
        <w:t xml:space="preserve"> </w:t>
      </w:r>
      <w:r w:rsidR="00281D88" w:rsidRPr="00DA4B53">
        <w:rPr>
          <w:rFonts w:ascii="Calibri" w:hAnsi="Calibri" w:cs="Calibri"/>
        </w:rPr>
        <w:t>available</w:t>
      </w:r>
      <w:r w:rsidR="00342976" w:rsidRPr="00DA4B53">
        <w:rPr>
          <w:rFonts w:ascii="Calibri" w:hAnsi="Calibri" w:cs="Calibri"/>
        </w:rPr>
        <w:t xml:space="preserve">. </w:t>
      </w:r>
      <w:r w:rsidR="00BA6094" w:rsidRPr="00D4451B">
        <w:rPr>
          <w:rFonts w:ascii="Calibri" w:hAnsi="Calibri" w:cs="Calibri"/>
        </w:rPr>
        <w:t xml:space="preserve">Past experience has shown that through the JWEE, member states </w:t>
      </w:r>
      <w:r w:rsidR="002C70CC">
        <w:rPr>
          <w:rFonts w:ascii="Calibri" w:hAnsi="Calibri" w:cs="Calibri"/>
        </w:rPr>
        <w:t xml:space="preserve">can </w:t>
      </w:r>
      <w:r w:rsidR="00BA6094" w:rsidRPr="00D4451B">
        <w:rPr>
          <w:rFonts w:ascii="Calibri" w:hAnsi="Calibri" w:cs="Calibri"/>
        </w:rPr>
        <w:t>enter</w:t>
      </w:r>
      <w:r w:rsidR="00C13D05" w:rsidRPr="00BA6094">
        <w:rPr>
          <w:rFonts w:ascii="Calibri" w:hAnsi="Calibri" w:cs="Calibri"/>
        </w:rPr>
        <w:t xml:space="preserve"> into a process of </w:t>
      </w:r>
      <w:r w:rsidR="00BA6094" w:rsidRPr="00D4451B">
        <w:rPr>
          <w:rFonts w:ascii="Calibri" w:hAnsi="Calibri" w:cs="Calibri"/>
        </w:rPr>
        <w:t xml:space="preserve">gradual </w:t>
      </w:r>
      <w:r w:rsidR="00C13D05" w:rsidRPr="007727D3">
        <w:rPr>
          <w:rFonts w:ascii="Calibri" w:hAnsi="Calibri" w:cs="Calibri"/>
        </w:rPr>
        <w:t>improvement of their wood energy data</w:t>
      </w:r>
      <w:r w:rsidR="00C13D05" w:rsidRPr="00BA6094">
        <w:rPr>
          <w:rFonts w:ascii="Calibri" w:hAnsi="Calibri" w:cs="Calibri"/>
        </w:rPr>
        <w:t>.</w:t>
      </w:r>
      <w:bookmarkStart w:id="20" w:name="_Toc325896175"/>
      <w:bookmarkStart w:id="21" w:name="_Toc206823658"/>
      <w:r w:rsidR="00010E59">
        <w:rPr>
          <w:rFonts w:ascii="Calibri" w:hAnsi="Calibri" w:cs="Calibri"/>
        </w:rPr>
        <w:t xml:space="preserve"> Correspondents may also be in a position </w:t>
      </w:r>
      <w:r w:rsidR="002C70CC">
        <w:rPr>
          <w:rFonts w:ascii="Calibri" w:hAnsi="Calibri" w:cs="Calibri"/>
        </w:rPr>
        <w:t>to</w:t>
      </w:r>
      <w:r w:rsidR="00010E59">
        <w:rPr>
          <w:rFonts w:ascii="Calibri" w:hAnsi="Calibri" w:cs="Calibri"/>
        </w:rPr>
        <w:t xml:space="preserve"> supply data for previous JWEE rounds</w:t>
      </w:r>
      <w:r w:rsidR="002C70CC">
        <w:rPr>
          <w:rFonts w:ascii="Calibri" w:hAnsi="Calibri" w:cs="Calibri"/>
        </w:rPr>
        <w:t>,</w:t>
      </w:r>
      <w:r w:rsidR="00010E59">
        <w:rPr>
          <w:rFonts w:ascii="Calibri" w:hAnsi="Calibri" w:cs="Calibri"/>
        </w:rPr>
        <w:t xml:space="preserve"> thus enabling the establishment of a time series.</w:t>
      </w:r>
    </w:p>
    <w:p w:rsidR="0038048C" w:rsidRPr="00DA4B53" w:rsidRDefault="0038048C" w:rsidP="00C00C37">
      <w:pPr>
        <w:jc w:val="both"/>
        <w:rPr>
          <w:rFonts w:ascii="Calibri" w:hAnsi="Calibri" w:cs="Calibri"/>
        </w:rPr>
      </w:pPr>
    </w:p>
    <w:p w:rsidR="00323452" w:rsidRPr="005F4C06" w:rsidRDefault="003D1CFD" w:rsidP="0047427B">
      <w:pPr>
        <w:pStyle w:val="Heading1"/>
        <w:spacing w:before="0" w:after="0"/>
      </w:pPr>
      <w:bookmarkStart w:id="22" w:name="_Toc326748702"/>
      <w:bookmarkStart w:id="23" w:name="_Toc407187213"/>
      <w:r w:rsidRPr="005F4C06">
        <w:t xml:space="preserve">Structure of </w:t>
      </w:r>
      <w:r w:rsidR="00D26F45" w:rsidRPr="005F4C06">
        <w:t xml:space="preserve">the </w:t>
      </w:r>
      <w:r w:rsidR="005C25B7" w:rsidRPr="005F4C06">
        <w:t>Enqui</w:t>
      </w:r>
      <w:r w:rsidR="00514794" w:rsidRPr="005F4C06">
        <w:t>r</w:t>
      </w:r>
      <w:r w:rsidR="00323452" w:rsidRPr="005F4C06">
        <w:t>y</w:t>
      </w:r>
      <w:bookmarkEnd w:id="22"/>
      <w:bookmarkEnd w:id="23"/>
    </w:p>
    <w:p w:rsidR="00C00C37" w:rsidRDefault="00C00C37" w:rsidP="00C00C37">
      <w:pPr>
        <w:jc w:val="both"/>
        <w:rPr>
          <w:rFonts w:ascii="Calibri" w:hAnsi="Calibri" w:cs="Calibri"/>
        </w:rPr>
      </w:pPr>
    </w:p>
    <w:p w:rsidR="00427D31" w:rsidRDefault="00514794" w:rsidP="00C00C37">
      <w:pPr>
        <w:jc w:val="both"/>
        <w:rPr>
          <w:rFonts w:ascii="Calibri" w:hAnsi="Calibri" w:cs="Calibri"/>
        </w:rPr>
      </w:pPr>
      <w:r w:rsidRPr="00CD25AD">
        <w:rPr>
          <w:rFonts w:ascii="Calibri" w:hAnsi="Calibri" w:cs="Calibri"/>
        </w:rPr>
        <w:t>The enquiry consists of a number of different tables/workbooks</w:t>
      </w:r>
      <w:r w:rsidRPr="00AC2ACB">
        <w:rPr>
          <w:rFonts w:ascii="Calibri" w:hAnsi="Calibri" w:cs="Calibri"/>
        </w:rPr>
        <w:t xml:space="preserve"> hav</w:t>
      </w:r>
      <w:r w:rsidR="00AF4646" w:rsidRPr="00AC2ACB">
        <w:rPr>
          <w:rFonts w:ascii="Calibri" w:hAnsi="Calibri" w:cs="Calibri"/>
        </w:rPr>
        <w:t>ing</w:t>
      </w:r>
      <w:r w:rsidRPr="00AC2ACB">
        <w:rPr>
          <w:rFonts w:ascii="Calibri" w:hAnsi="Calibri" w:cs="Calibri"/>
        </w:rPr>
        <w:t xml:space="preserve"> different functions. Only four tables are designed for </w:t>
      </w:r>
      <w:r w:rsidR="00AC2ACB" w:rsidRPr="00D4451B">
        <w:rPr>
          <w:rFonts w:ascii="Calibri" w:hAnsi="Calibri" w:cs="Calibri"/>
        </w:rPr>
        <w:t xml:space="preserve">raw </w:t>
      </w:r>
      <w:r w:rsidRPr="00CD25AD">
        <w:rPr>
          <w:rFonts w:ascii="Calibri" w:hAnsi="Calibri" w:cs="Calibri"/>
        </w:rPr>
        <w:t>data collection</w:t>
      </w:r>
      <w:r w:rsidR="00AC2ACB" w:rsidRPr="00D4451B">
        <w:rPr>
          <w:rFonts w:ascii="Calibri" w:hAnsi="Calibri" w:cs="Calibri"/>
        </w:rPr>
        <w:t>. Two additional tables compile</w:t>
      </w:r>
      <w:r w:rsidRPr="00AC2ACB">
        <w:rPr>
          <w:rFonts w:ascii="Calibri" w:hAnsi="Calibri" w:cs="Calibri"/>
        </w:rPr>
        <w:t xml:space="preserve"> the data </w:t>
      </w:r>
      <w:r w:rsidRPr="00AC2ACB">
        <w:rPr>
          <w:rFonts w:ascii="Calibri" w:hAnsi="Calibri" w:cs="Calibri"/>
        </w:rPr>
        <w:lastRenderedPageBreak/>
        <w:t xml:space="preserve">provided for </w:t>
      </w:r>
      <w:r w:rsidR="00AC2ACB" w:rsidRPr="00D4451B">
        <w:rPr>
          <w:rFonts w:ascii="Calibri" w:hAnsi="Calibri" w:cs="Calibri"/>
        </w:rPr>
        <w:t>verification and reporting purposes</w:t>
      </w:r>
      <w:r w:rsidRPr="007727D3">
        <w:rPr>
          <w:rFonts w:ascii="Calibri" w:hAnsi="Calibri" w:cs="Calibri"/>
        </w:rPr>
        <w:t xml:space="preserve">. The remaining sets of </w:t>
      </w:r>
      <w:r w:rsidRPr="00AC2ACB">
        <w:rPr>
          <w:rFonts w:ascii="Calibri" w:hAnsi="Calibri" w:cs="Calibri"/>
        </w:rPr>
        <w:t xml:space="preserve">tables provide </w:t>
      </w:r>
      <w:r w:rsidR="00CD25AD">
        <w:rPr>
          <w:rFonts w:ascii="Calibri" w:hAnsi="Calibri" w:cs="Calibri"/>
        </w:rPr>
        <w:t xml:space="preserve">background </w:t>
      </w:r>
      <w:r w:rsidRPr="00CD25AD">
        <w:rPr>
          <w:rFonts w:ascii="Calibri" w:hAnsi="Calibri" w:cs="Calibri"/>
        </w:rPr>
        <w:t xml:space="preserve">information </w:t>
      </w:r>
      <w:r w:rsidRPr="00AC2ACB">
        <w:rPr>
          <w:rFonts w:ascii="Calibri" w:hAnsi="Calibri" w:cs="Calibri"/>
        </w:rPr>
        <w:t xml:space="preserve">on </w:t>
      </w:r>
      <w:r w:rsidR="00CD25AD">
        <w:rPr>
          <w:rFonts w:ascii="Calibri" w:hAnsi="Calibri" w:cs="Calibri"/>
        </w:rPr>
        <w:t xml:space="preserve">the JWEE </w:t>
      </w:r>
      <w:r w:rsidRPr="00CD25AD">
        <w:rPr>
          <w:rFonts w:ascii="Calibri" w:hAnsi="Calibri" w:cs="Calibri"/>
        </w:rPr>
        <w:t>structure, definitions and conversion factors.</w:t>
      </w:r>
    </w:p>
    <w:p w:rsidR="001136A3" w:rsidRPr="007433E7" w:rsidRDefault="00514794" w:rsidP="0047427B">
      <w:pPr>
        <w:pStyle w:val="Heading2"/>
        <w:spacing w:before="0" w:after="0"/>
      </w:pPr>
      <w:bookmarkStart w:id="24" w:name="_Toc336000503"/>
      <w:bookmarkStart w:id="25" w:name="_Toc326748703"/>
      <w:bookmarkStart w:id="26" w:name="_Toc407187214"/>
      <w:bookmarkEnd w:id="24"/>
      <w:r w:rsidRPr="002E6BB7">
        <w:t>Background</w:t>
      </w:r>
      <w:r w:rsidRPr="007433E7">
        <w:t xml:space="preserve"> tables</w:t>
      </w:r>
      <w:bookmarkEnd w:id="25"/>
      <w:bookmarkEnd w:id="26"/>
    </w:p>
    <w:p w:rsidR="00C00C37" w:rsidRDefault="00C00C37" w:rsidP="00C00C37">
      <w:pPr>
        <w:jc w:val="both"/>
        <w:rPr>
          <w:rFonts w:ascii="Calibri" w:hAnsi="Calibri" w:cs="Calibri"/>
        </w:rPr>
      </w:pPr>
    </w:p>
    <w:p w:rsidR="00427D31" w:rsidRDefault="00B518C7" w:rsidP="00C00C37">
      <w:pPr>
        <w:jc w:val="both"/>
        <w:rPr>
          <w:rFonts w:ascii="Calibri" w:hAnsi="Calibri" w:cs="Calibri"/>
        </w:rPr>
      </w:pPr>
      <w:r w:rsidRPr="001349F7">
        <w:rPr>
          <w:rFonts w:ascii="Calibri" w:hAnsi="Calibri" w:cs="Calibri"/>
        </w:rPr>
        <w:t xml:space="preserve">The </w:t>
      </w:r>
      <w:r w:rsidR="00AF4646">
        <w:rPr>
          <w:rFonts w:ascii="Calibri" w:hAnsi="Calibri" w:cs="Calibri"/>
        </w:rPr>
        <w:t>JWEE</w:t>
      </w:r>
      <w:r w:rsidR="00AF4646" w:rsidRPr="001349F7">
        <w:rPr>
          <w:rFonts w:ascii="Calibri" w:hAnsi="Calibri" w:cs="Calibri"/>
        </w:rPr>
        <w:t xml:space="preserve"> </w:t>
      </w:r>
      <w:r w:rsidRPr="001349F7">
        <w:rPr>
          <w:rFonts w:ascii="Calibri" w:hAnsi="Calibri" w:cs="Calibri"/>
        </w:rPr>
        <w:t xml:space="preserve">has been developed to be self-explanatory even without this Manual at hand. </w:t>
      </w:r>
      <w:r w:rsidR="00AF4646">
        <w:rPr>
          <w:rFonts w:ascii="Calibri" w:hAnsi="Calibri" w:cs="Calibri"/>
        </w:rPr>
        <w:t>It</w:t>
      </w:r>
      <w:r w:rsidRPr="001349F7">
        <w:rPr>
          <w:rFonts w:ascii="Calibri" w:hAnsi="Calibri" w:cs="Calibri"/>
        </w:rPr>
        <w:t xml:space="preserve"> provides an extensive set of additional information </w:t>
      </w:r>
      <w:r w:rsidR="00AF4646">
        <w:rPr>
          <w:rFonts w:ascii="Calibri" w:hAnsi="Calibri" w:cs="Calibri"/>
        </w:rPr>
        <w:t xml:space="preserve">to </w:t>
      </w:r>
      <w:r w:rsidR="00AF4646" w:rsidRPr="001349F7">
        <w:rPr>
          <w:rFonts w:ascii="Calibri" w:hAnsi="Calibri" w:cs="Calibri"/>
        </w:rPr>
        <w:t xml:space="preserve">facilitate </w:t>
      </w:r>
      <w:r w:rsidR="00AF4646">
        <w:rPr>
          <w:rFonts w:ascii="Calibri" w:hAnsi="Calibri" w:cs="Calibri"/>
        </w:rPr>
        <w:t xml:space="preserve">the task of </w:t>
      </w:r>
      <w:r w:rsidR="00BA6094">
        <w:rPr>
          <w:rFonts w:ascii="Calibri" w:hAnsi="Calibri" w:cs="Calibri"/>
        </w:rPr>
        <w:t>correspondents</w:t>
      </w:r>
      <w:r w:rsidRPr="001349F7">
        <w:rPr>
          <w:rFonts w:ascii="Calibri" w:hAnsi="Calibri" w:cs="Calibri"/>
        </w:rPr>
        <w:t xml:space="preserve"> and experts.</w:t>
      </w:r>
    </w:p>
    <w:p w:rsidR="00C00C37" w:rsidRPr="0047427B" w:rsidRDefault="00C00C37" w:rsidP="00C00C37">
      <w:pPr>
        <w:jc w:val="both"/>
        <w:rPr>
          <w:rFonts w:asciiTheme="minorHAnsi" w:hAnsiTheme="minorHAnsi" w:cstheme="minorHAnsi"/>
        </w:rPr>
      </w:pPr>
    </w:p>
    <w:p w:rsidR="003C51EC" w:rsidRPr="00D82047" w:rsidRDefault="00514794" w:rsidP="0047427B">
      <w:pPr>
        <w:pStyle w:val="Heading3"/>
        <w:spacing w:before="0" w:after="0"/>
        <w:jc w:val="both"/>
      </w:pPr>
      <w:bookmarkStart w:id="27" w:name="_Toc326748704"/>
      <w:bookmarkStart w:id="28" w:name="_Toc407187215"/>
      <w:bookmarkEnd w:id="20"/>
      <w:r w:rsidRPr="00D82047">
        <w:t>“Introduction” tabl</w:t>
      </w:r>
      <w:r w:rsidR="003C51EC" w:rsidRPr="00D82047">
        <w:t>e</w:t>
      </w:r>
      <w:bookmarkEnd w:id="27"/>
      <w:bookmarkEnd w:id="28"/>
    </w:p>
    <w:p w:rsidR="00C00C37" w:rsidRDefault="00C00C37" w:rsidP="00C00C37">
      <w:pPr>
        <w:jc w:val="both"/>
        <w:rPr>
          <w:rFonts w:ascii="Calibri" w:hAnsi="Calibri" w:cs="Calibri"/>
        </w:rPr>
      </w:pPr>
    </w:p>
    <w:p w:rsidR="003C51EC" w:rsidRPr="005D4648" w:rsidRDefault="003C51EC" w:rsidP="00C00C37">
      <w:pPr>
        <w:jc w:val="both"/>
        <w:rPr>
          <w:rFonts w:ascii="Calibri" w:hAnsi="Calibri" w:cs="Calibri"/>
        </w:rPr>
      </w:pPr>
      <w:r w:rsidRPr="005D4648">
        <w:rPr>
          <w:rFonts w:ascii="Calibri" w:hAnsi="Calibri" w:cs="Calibri"/>
        </w:rPr>
        <w:t>The introduction worksheet is a “table of content</w:t>
      </w:r>
      <w:r w:rsidR="00AF4646">
        <w:rPr>
          <w:rFonts w:ascii="Calibri" w:hAnsi="Calibri" w:cs="Calibri"/>
        </w:rPr>
        <w:t>s</w:t>
      </w:r>
      <w:r w:rsidRPr="005D4648">
        <w:rPr>
          <w:rFonts w:ascii="Calibri" w:hAnsi="Calibri" w:cs="Calibri"/>
        </w:rPr>
        <w:t>” with hyperlinks to the different workbooks. Besides the links, every worksheet is briefly described to highlight its key content and function.</w:t>
      </w:r>
    </w:p>
    <w:p w:rsidR="009E182C" w:rsidRDefault="009E182C" w:rsidP="00C00C37">
      <w:pPr>
        <w:jc w:val="both"/>
        <w:rPr>
          <w:rFonts w:ascii="Calibri" w:hAnsi="Calibri" w:cs="Calibri"/>
        </w:rPr>
      </w:pPr>
    </w:p>
    <w:p w:rsidR="00427D31" w:rsidRDefault="003C51EC" w:rsidP="00C00C37">
      <w:pPr>
        <w:jc w:val="both"/>
        <w:rPr>
          <w:rFonts w:ascii="Calibri" w:hAnsi="Calibri" w:cs="Calibri"/>
        </w:rPr>
      </w:pPr>
      <w:r w:rsidRPr="005D4648">
        <w:rPr>
          <w:rFonts w:ascii="Calibri" w:hAnsi="Calibri" w:cs="Calibri"/>
        </w:rPr>
        <w:t xml:space="preserve">The only action required </w:t>
      </w:r>
      <w:r w:rsidR="00AF4646">
        <w:rPr>
          <w:rFonts w:ascii="Calibri" w:hAnsi="Calibri" w:cs="Calibri"/>
        </w:rPr>
        <w:t>from</w:t>
      </w:r>
      <w:r w:rsidR="00AF4646" w:rsidRPr="005D4648">
        <w:rPr>
          <w:rFonts w:ascii="Calibri" w:hAnsi="Calibri" w:cs="Calibri"/>
        </w:rPr>
        <w:t xml:space="preserve"> </w:t>
      </w:r>
      <w:r w:rsidR="00BA6094">
        <w:rPr>
          <w:rFonts w:ascii="Calibri" w:hAnsi="Calibri" w:cs="Calibri"/>
        </w:rPr>
        <w:t>correspondents</w:t>
      </w:r>
      <w:r w:rsidR="003B279D" w:rsidRPr="005D4648">
        <w:rPr>
          <w:rFonts w:ascii="Calibri" w:hAnsi="Calibri" w:cs="Calibri"/>
        </w:rPr>
        <w:t xml:space="preserve"> </w:t>
      </w:r>
      <w:r w:rsidRPr="005D4648">
        <w:rPr>
          <w:rFonts w:ascii="Calibri" w:hAnsi="Calibri" w:cs="Calibri"/>
        </w:rPr>
        <w:t xml:space="preserve">is </w:t>
      </w:r>
      <w:r w:rsidR="00AF4646">
        <w:rPr>
          <w:rFonts w:ascii="Calibri" w:hAnsi="Calibri" w:cs="Calibri"/>
        </w:rPr>
        <w:t>to</w:t>
      </w:r>
      <w:r w:rsidR="00AF4646" w:rsidRPr="005D4648">
        <w:rPr>
          <w:rFonts w:ascii="Calibri" w:hAnsi="Calibri" w:cs="Calibri"/>
        </w:rPr>
        <w:t xml:space="preserve"> </w:t>
      </w:r>
      <w:r w:rsidR="00AF4646">
        <w:rPr>
          <w:rFonts w:ascii="Calibri" w:hAnsi="Calibri" w:cs="Calibri"/>
        </w:rPr>
        <w:t>select</w:t>
      </w:r>
      <w:r w:rsidRPr="005D4648">
        <w:rPr>
          <w:rFonts w:ascii="Calibri" w:hAnsi="Calibri" w:cs="Calibri"/>
        </w:rPr>
        <w:t xml:space="preserve"> their </w:t>
      </w:r>
      <w:r w:rsidR="00BA6094">
        <w:rPr>
          <w:rFonts w:ascii="Calibri" w:hAnsi="Calibri" w:cs="Calibri"/>
        </w:rPr>
        <w:t>country</w:t>
      </w:r>
      <w:r w:rsidR="00BA6094" w:rsidRPr="005D4648">
        <w:rPr>
          <w:rFonts w:ascii="Calibri" w:hAnsi="Calibri" w:cs="Calibri"/>
        </w:rPr>
        <w:t xml:space="preserve"> </w:t>
      </w:r>
      <w:r w:rsidRPr="005D4648">
        <w:rPr>
          <w:rFonts w:ascii="Calibri" w:hAnsi="Calibri" w:cs="Calibri"/>
        </w:rPr>
        <w:t xml:space="preserve">in cell “B6”. After selecting the </w:t>
      </w:r>
      <w:r w:rsidR="00BA6094">
        <w:rPr>
          <w:rFonts w:ascii="Calibri" w:hAnsi="Calibri" w:cs="Calibri"/>
        </w:rPr>
        <w:t>country</w:t>
      </w:r>
      <w:r w:rsidRPr="005D4648">
        <w:rPr>
          <w:rFonts w:ascii="Calibri" w:hAnsi="Calibri" w:cs="Calibri"/>
        </w:rPr>
        <w:t xml:space="preserve">, the enquiry will </w:t>
      </w:r>
      <w:proofErr w:type="spellStart"/>
      <w:r w:rsidRPr="005D4648">
        <w:rPr>
          <w:rFonts w:ascii="Calibri" w:hAnsi="Calibri" w:cs="Calibri"/>
        </w:rPr>
        <w:t>i</w:t>
      </w:r>
      <w:proofErr w:type="spellEnd"/>
      <w:r w:rsidRPr="005D4648">
        <w:rPr>
          <w:rFonts w:ascii="Calibri" w:hAnsi="Calibri" w:cs="Calibri"/>
        </w:rPr>
        <w:t xml:space="preserve">) show the country on all the subsequent tables and ii) prefill </w:t>
      </w:r>
      <w:r w:rsidR="005D4648" w:rsidRPr="005D4648">
        <w:rPr>
          <w:rFonts w:ascii="Calibri" w:hAnsi="Calibri" w:cs="Calibri"/>
        </w:rPr>
        <w:t xml:space="preserve">some </w:t>
      </w:r>
      <w:r w:rsidRPr="005D4648">
        <w:rPr>
          <w:rFonts w:ascii="Calibri" w:hAnsi="Calibri" w:cs="Calibri"/>
        </w:rPr>
        <w:t>cells</w:t>
      </w:r>
      <w:r w:rsidR="005D4648" w:rsidRPr="005D4648">
        <w:rPr>
          <w:rFonts w:ascii="Calibri" w:hAnsi="Calibri" w:cs="Calibri"/>
        </w:rPr>
        <w:t xml:space="preserve"> in Tables TI and TII </w:t>
      </w:r>
      <w:r w:rsidR="00275456">
        <w:rPr>
          <w:rFonts w:ascii="Calibri" w:hAnsi="Calibri" w:cs="Calibri"/>
        </w:rPr>
        <w:t xml:space="preserve"> with </w:t>
      </w:r>
      <w:r w:rsidR="00AF4646">
        <w:rPr>
          <w:rFonts w:ascii="Calibri" w:hAnsi="Calibri" w:cs="Calibri"/>
        </w:rPr>
        <w:t xml:space="preserve">the </w:t>
      </w:r>
      <w:r w:rsidR="00275456">
        <w:rPr>
          <w:rFonts w:ascii="Calibri" w:hAnsi="Calibri" w:cs="Calibri"/>
        </w:rPr>
        <w:t xml:space="preserve">most recent </w:t>
      </w:r>
      <w:r w:rsidRPr="005D4648">
        <w:rPr>
          <w:rFonts w:ascii="Calibri" w:hAnsi="Calibri" w:cs="Calibri"/>
        </w:rPr>
        <w:t xml:space="preserve">information on </w:t>
      </w:r>
      <w:r w:rsidR="005D4648" w:rsidRPr="005D4648">
        <w:rPr>
          <w:rFonts w:ascii="Calibri" w:hAnsi="Calibri" w:cs="Calibri"/>
        </w:rPr>
        <w:t xml:space="preserve">production and trade of </w:t>
      </w:r>
      <w:r w:rsidRPr="005D4648">
        <w:rPr>
          <w:rFonts w:ascii="Calibri" w:hAnsi="Calibri" w:cs="Calibri"/>
        </w:rPr>
        <w:t>forest products</w:t>
      </w:r>
      <w:r w:rsidR="00BA6094">
        <w:rPr>
          <w:rFonts w:ascii="Calibri" w:hAnsi="Calibri" w:cs="Calibri"/>
        </w:rPr>
        <w:t xml:space="preserve"> for that country</w:t>
      </w:r>
      <w:r w:rsidRPr="005D4648">
        <w:rPr>
          <w:rFonts w:ascii="Calibri" w:hAnsi="Calibri" w:cs="Calibri"/>
        </w:rPr>
        <w:t>.</w:t>
      </w:r>
    </w:p>
    <w:p w:rsidR="00C00C37" w:rsidRPr="003C51EC" w:rsidRDefault="00C00C37" w:rsidP="00C00C37">
      <w:pPr>
        <w:jc w:val="both"/>
      </w:pPr>
    </w:p>
    <w:p w:rsidR="003C51EC" w:rsidRPr="00D82047" w:rsidRDefault="003C51EC" w:rsidP="0047427B">
      <w:pPr>
        <w:pStyle w:val="Heading3"/>
        <w:spacing w:before="0" w:after="0"/>
        <w:jc w:val="both"/>
      </w:pPr>
      <w:bookmarkStart w:id="29" w:name="_Toc326748705"/>
      <w:bookmarkStart w:id="30" w:name="_Toc407187216"/>
      <w:r w:rsidRPr="00D82047">
        <w:t>“Definitions” table</w:t>
      </w:r>
      <w:bookmarkEnd w:id="29"/>
      <w:bookmarkEnd w:id="30"/>
    </w:p>
    <w:p w:rsidR="00C00C37" w:rsidRDefault="00C00C37" w:rsidP="00C00C37">
      <w:pPr>
        <w:jc w:val="both"/>
        <w:rPr>
          <w:rFonts w:asciiTheme="minorHAnsi" w:hAnsiTheme="minorHAnsi" w:cstheme="minorHAnsi"/>
        </w:rPr>
      </w:pPr>
    </w:p>
    <w:p w:rsidR="009472F3" w:rsidRDefault="00A854F7" w:rsidP="00C00C37">
      <w:pPr>
        <w:jc w:val="both"/>
        <w:rPr>
          <w:rFonts w:asciiTheme="minorHAnsi" w:hAnsiTheme="minorHAnsi" w:cstheme="minorHAnsi"/>
        </w:rPr>
      </w:pPr>
      <w:r>
        <w:rPr>
          <w:rFonts w:asciiTheme="minorHAnsi" w:hAnsiTheme="minorHAnsi" w:cstheme="minorHAnsi"/>
        </w:rPr>
        <w:t>The JWEE</w:t>
      </w:r>
      <w:r w:rsidR="00AF4646">
        <w:rPr>
          <w:rFonts w:asciiTheme="minorHAnsi" w:hAnsiTheme="minorHAnsi" w:cstheme="minorHAnsi"/>
        </w:rPr>
        <w:t xml:space="preserve"> </w:t>
      </w:r>
      <w:r>
        <w:rPr>
          <w:rFonts w:asciiTheme="minorHAnsi" w:hAnsiTheme="minorHAnsi" w:cstheme="minorHAnsi"/>
        </w:rPr>
        <w:t>201</w:t>
      </w:r>
      <w:r w:rsidR="000560DE">
        <w:rPr>
          <w:rFonts w:asciiTheme="minorHAnsi" w:hAnsiTheme="minorHAnsi" w:cstheme="minorHAnsi"/>
        </w:rPr>
        <w:t>3</w:t>
      </w:r>
      <w:r>
        <w:rPr>
          <w:rFonts w:asciiTheme="minorHAnsi" w:hAnsiTheme="minorHAnsi" w:cstheme="minorHAnsi"/>
        </w:rPr>
        <w:t xml:space="preserve"> d</w:t>
      </w:r>
      <w:r w:rsidR="00AF4646">
        <w:rPr>
          <w:rFonts w:asciiTheme="minorHAnsi" w:hAnsiTheme="minorHAnsi" w:cstheme="minorHAnsi"/>
        </w:rPr>
        <w:t>oes</w:t>
      </w:r>
      <w:r>
        <w:rPr>
          <w:rFonts w:asciiTheme="minorHAnsi" w:hAnsiTheme="minorHAnsi" w:cstheme="minorHAnsi"/>
        </w:rPr>
        <w:t xml:space="preserve"> not introduce any new definition. Any </w:t>
      </w:r>
      <w:r w:rsidR="007B254B">
        <w:rPr>
          <w:rFonts w:asciiTheme="minorHAnsi" w:hAnsiTheme="minorHAnsi" w:cstheme="minorHAnsi"/>
        </w:rPr>
        <w:t xml:space="preserve">of the </w:t>
      </w:r>
      <w:r w:rsidR="005F5737">
        <w:rPr>
          <w:rFonts w:asciiTheme="minorHAnsi" w:hAnsiTheme="minorHAnsi" w:cstheme="minorHAnsi"/>
        </w:rPr>
        <w:t>80+</w:t>
      </w:r>
      <w:r w:rsidR="007B254B">
        <w:rPr>
          <w:rFonts w:asciiTheme="minorHAnsi" w:hAnsiTheme="minorHAnsi" w:cstheme="minorHAnsi"/>
        </w:rPr>
        <w:t xml:space="preserve"> different definitions</w:t>
      </w:r>
      <w:r>
        <w:rPr>
          <w:rFonts w:asciiTheme="minorHAnsi" w:hAnsiTheme="minorHAnsi" w:cstheme="minorHAnsi"/>
        </w:rPr>
        <w:t xml:space="preserve"> </w:t>
      </w:r>
      <w:r w:rsidR="007B254B">
        <w:rPr>
          <w:rFonts w:asciiTheme="minorHAnsi" w:hAnsiTheme="minorHAnsi" w:cstheme="minorHAnsi"/>
        </w:rPr>
        <w:t>refers</w:t>
      </w:r>
      <w:r>
        <w:rPr>
          <w:rFonts w:asciiTheme="minorHAnsi" w:hAnsiTheme="minorHAnsi" w:cstheme="minorHAnsi"/>
        </w:rPr>
        <w:t xml:space="preserve"> to</w:t>
      </w:r>
      <w:r w:rsidR="007B254B">
        <w:rPr>
          <w:rFonts w:asciiTheme="minorHAnsi" w:hAnsiTheme="minorHAnsi" w:cstheme="minorHAnsi"/>
        </w:rPr>
        <w:t xml:space="preserve"> established</w:t>
      </w:r>
      <w:r>
        <w:rPr>
          <w:rFonts w:asciiTheme="minorHAnsi" w:hAnsiTheme="minorHAnsi" w:cstheme="minorHAnsi"/>
        </w:rPr>
        <w:t xml:space="preserve"> definitions from the energy, forestry and waste sectors. </w:t>
      </w:r>
      <w:r w:rsidR="005F5737">
        <w:rPr>
          <w:rFonts w:asciiTheme="minorHAnsi" w:hAnsiTheme="minorHAnsi" w:cstheme="minorHAnsi"/>
        </w:rPr>
        <w:t>T</w:t>
      </w:r>
      <w:r w:rsidR="009472F3">
        <w:rPr>
          <w:rFonts w:asciiTheme="minorHAnsi" w:hAnsiTheme="minorHAnsi" w:cstheme="minorHAnsi"/>
        </w:rPr>
        <w:t>he</w:t>
      </w:r>
      <w:r w:rsidR="005F5737">
        <w:rPr>
          <w:rFonts w:asciiTheme="minorHAnsi" w:hAnsiTheme="minorHAnsi" w:cstheme="minorHAnsi"/>
        </w:rPr>
        <w:t>se</w:t>
      </w:r>
      <w:r w:rsidR="009472F3">
        <w:rPr>
          <w:rFonts w:asciiTheme="minorHAnsi" w:hAnsiTheme="minorHAnsi" w:cstheme="minorHAnsi"/>
        </w:rPr>
        <w:t xml:space="preserve"> </w:t>
      </w:r>
      <w:r w:rsidR="005F5737">
        <w:rPr>
          <w:rFonts w:asciiTheme="minorHAnsi" w:hAnsiTheme="minorHAnsi" w:cstheme="minorHAnsi"/>
        </w:rPr>
        <w:t xml:space="preserve">terms and </w:t>
      </w:r>
      <w:r w:rsidR="009472F3">
        <w:rPr>
          <w:rFonts w:asciiTheme="minorHAnsi" w:hAnsiTheme="minorHAnsi" w:cstheme="minorHAnsi"/>
        </w:rPr>
        <w:t xml:space="preserve">definitions </w:t>
      </w:r>
      <w:r w:rsidR="005F5737">
        <w:rPr>
          <w:rFonts w:asciiTheme="minorHAnsi" w:hAnsiTheme="minorHAnsi" w:cstheme="minorHAnsi"/>
        </w:rPr>
        <w:t>are listed according to the JWEE section in which they appear</w:t>
      </w:r>
      <w:r w:rsidR="009472F3">
        <w:rPr>
          <w:rFonts w:asciiTheme="minorHAnsi" w:hAnsiTheme="minorHAnsi" w:cstheme="minorHAnsi"/>
        </w:rPr>
        <w:t>:</w:t>
      </w:r>
    </w:p>
    <w:p w:rsidR="009472F3" w:rsidRDefault="009472F3" w:rsidP="00C00C37">
      <w:pPr>
        <w:jc w:val="both"/>
        <w:rPr>
          <w:rFonts w:asciiTheme="minorHAnsi" w:hAnsiTheme="minorHAnsi" w:cstheme="minorHAnsi"/>
        </w:rPr>
      </w:pPr>
    </w:p>
    <w:p w:rsidR="009472F3" w:rsidRPr="009472F3" w:rsidRDefault="009472F3" w:rsidP="00C00C37">
      <w:pPr>
        <w:pStyle w:val="ListParagraph"/>
        <w:numPr>
          <w:ilvl w:val="0"/>
          <w:numId w:val="24"/>
        </w:numPr>
        <w:jc w:val="both"/>
        <w:rPr>
          <w:rFonts w:asciiTheme="minorHAnsi" w:hAnsiTheme="minorHAnsi" w:cstheme="minorHAnsi"/>
        </w:rPr>
      </w:pPr>
      <w:r w:rsidRPr="009472F3">
        <w:rPr>
          <w:rFonts w:asciiTheme="minorHAnsi" w:hAnsiTheme="minorHAnsi" w:cstheme="minorHAnsi"/>
        </w:rPr>
        <w:t>Fibre sources and types (Table I)</w:t>
      </w:r>
    </w:p>
    <w:p w:rsidR="009472F3" w:rsidRPr="009472F3" w:rsidRDefault="009472F3" w:rsidP="00C00C37">
      <w:pPr>
        <w:pStyle w:val="ListParagraph"/>
        <w:numPr>
          <w:ilvl w:val="0"/>
          <w:numId w:val="24"/>
        </w:numPr>
        <w:jc w:val="both"/>
        <w:rPr>
          <w:rFonts w:asciiTheme="minorHAnsi" w:hAnsiTheme="minorHAnsi" w:cstheme="minorHAnsi"/>
        </w:rPr>
      </w:pPr>
      <w:r w:rsidRPr="009472F3">
        <w:rPr>
          <w:rFonts w:asciiTheme="minorHAnsi" w:hAnsiTheme="minorHAnsi" w:cstheme="minorHAnsi"/>
        </w:rPr>
        <w:t>Processed wood based fuels (Tables II and III)</w:t>
      </w:r>
    </w:p>
    <w:p w:rsidR="009472F3" w:rsidRPr="009472F3" w:rsidRDefault="009472F3" w:rsidP="00C00C37">
      <w:pPr>
        <w:pStyle w:val="ListParagraph"/>
        <w:numPr>
          <w:ilvl w:val="0"/>
          <w:numId w:val="24"/>
        </w:numPr>
        <w:jc w:val="both"/>
        <w:rPr>
          <w:rFonts w:asciiTheme="minorHAnsi" w:hAnsiTheme="minorHAnsi" w:cstheme="minorHAnsi"/>
        </w:rPr>
      </w:pPr>
      <w:r w:rsidRPr="009472F3">
        <w:rPr>
          <w:rFonts w:asciiTheme="minorHAnsi" w:hAnsiTheme="minorHAnsi" w:cstheme="minorHAnsi"/>
        </w:rPr>
        <w:t>Energy use (Table IV)</w:t>
      </w:r>
    </w:p>
    <w:p w:rsidR="009472F3" w:rsidRPr="009472F3" w:rsidRDefault="009472F3" w:rsidP="00C00C37">
      <w:pPr>
        <w:pStyle w:val="ListParagraph"/>
        <w:numPr>
          <w:ilvl w:val="0"/>
          <w:numId w:val="24"/>
        </w:numPr>
        <w:jc w:val="both"/>
        <w:rPr>
          <w:rFonts w:asciiTheme="minorHAnsi" w:hAnsiTheme="minorHAnsi" w:cstheme="minorHAnsi"/>
        </w:rPr>
      </w:pPr>
      <w:r w:rsidRPr="009472F3">
        <w:rPr>
          <w:rFonts w:asciiTheme="minorHAnsi" w:hAnsiTheme="minorHAnsi" w:cstheme="minorHAnsi"/>
        </w:rPr>
        <w:t>Conversion factors (Conversion factors)</w:t>
      </w:r>
    </w:p>
    <w:p w:rsidR="009472F3" w:rsidRPr="009472F3" w:rsidRDefault="00E43847" w:rsidP="00C00C37">
      <w:pPr>
        <w:pStyle w:val="ListParagraph"/>
        <w:numPr>
          <w:ilvl w:val="0"/>
          <w:numId w:val="24"/>
        </w:numPr>
        <w:jc w:val="both"/>
        <w:rPr>
          <w:rFonts w:asciiTheme="minorHAnsi" w:hAnsiTheme="minorHAnsi" w:cstheme="minorHAnsi"/>
        </w:rPr>
      </w:pPr>
      <w:r w:rsidRPr="009472F3">
        <w:rPr>
          <w:rFonts w:asciiTheme="minorHAnsi" w:hAnsiTheme="minorHAnsi" w:cstheme="minorHAnsi"/>
        </w:rPr>
        <w:t>Miscellaneous</w:t>
      </w:r>
      <w:r w:rsidR="009472F3" w:rsidRPr="009472F3">
        <w:rPr>
          <w:rFonts w:asciiTheme="minorHAnsi" w:hAnsiTheme="minorHAnsi" w:cstheme="minorHAnsi"/>
        </w:rPr>
        <w:t xml:space="preserve"> (other)</w:t>
      </w:r>
    </w:p>
    <w:p w:rsidR="009472F3" w:rsidRDefault="009472F3" w:rsidP="00C00C37">
      <w:pPr>
        <w:jc w:val="both"/>
        <w:rPr>
          <w:rFonts w:asciiTheme="minorHAnsi" w:hAnsiTheme="minorHAnsi" w:cstheme="minorHAnsi"/>
        </w:rPr>
      </w:pPr>
    </w:p>
    <w:p w:rsidR="00AF6818" w:rsidRDefault="009472F3" w:rsidP="00C00C37">
      <w:pPr>
        <w:jc w:val="both"/>
        <w:rPr>
          <w:rFonts w:asciiTheme="minorHAnsi" w:hAnsiTheme="minorHAnsi" w:cstheme="minorHAnsi"/>
        </w:rPr>
      </w:pPr>
      <w:r>
        <w:rPr>
          <w:rFonts w:asciiTheme="minorHAnsi" w:hAnsiTheme="minorHAnsi" w:cstheme="minorHAnsi"/>
        </w:rPr>
        <w:t xml:space="preserve">Each of the definitions is supplemented with its source and </w:t>
      </w:r>
      <w:r w:rsidR="002A28AB">
        <w:rPr>
          <w:rFonts w:asciiTheme="minorHAnsi" w:hAnsiTheme="minorHAnsi" w:cstheme="minorHAnsi"/>
        </w:rPr>
        <w:t xml:space="preserve">a </w:t>
      </w:r>
      <w:r>
        <w:rPr>
          <w:rFonts w:asciiTheme="minorHAnsi" w:hAnsiTheme="minorHAnsi" w:cstheme="minorHAnsi"/>
        </w:rPr>
        <w:t>hyperlink in a separate column.</w:t>
      </w:r>
      <w:r w:rsidR="00AF4646">
        <w:rPr>
          <w:rFonts w:asciiTheme="minorHAnsi" w:hAnsiTheme="minorHAnsi" w:cstheme="minorHAnsi"/>
        </w:rPr>
        <w:t xml:space="preserve"> </w:t>
      </w:r>
      <w:r w:rsidR="009E182C">
        <w:rPr>
          <w:rFonts w:asciiTheme="minorHAnsi" w:hAnsiTheme="minorHAnsi" w:cstheme="minorHAnsi"/>
        </w:rPr>
        <w:t>Corr</w:t>
      </w:r>
      <w:r w:rsidR="00AF4646">
        <w:rPr>
          <w:rFonts w:asciiTheme="minorHAnsi" w:hAnsiTheme="minorHAnsi" w:cstheme="minorHAnsi"/>
        </w:rPr>
        <w:t xml:space="preserve">espondents </w:t>
      </w:r>
      <w:r>
        <w:rPr>
          <w:rFonts w:asciiTheme="minorHAnsi" w:hAnsiTheme="minorHAnsi" w:cstheme="minorHAnsi"/>
        </w:rPr>
        <w:t xml:space="preserve">can </w:t>
      </w:r>
      <w:r w:rsidR="00AF4646">
        <w:rPr>
          <w:rFonts w:asciiTheme="minorHAnsi" w:hAnsiTheme="minorHAnsi" w:cstheme="minorHAnsi"/>
        </w:rPr>
        <w:t xml:space="preserve">thus look up and understand </w:t>
      </w:r>
      <w:r>
        <w:rPr>
          <w:rFonts w:asciiTheme="minorHAnsi" w:hAnsiTheme="minorHAnsi" w:cstheme="minorHAnsi"/>
        </w:rPr>
        <w:t xml:space="preserve">the context of </w:t>
      </w:r>
      <w:r w:rsidR="00AF4646">
        <w:rPr>
          <w:rFonts w:asciiTheme="minorHAnsi" w:hAnsiTheme="minorHAnsi" w:cstheme="minorHAnsi"/>
        </w:rPr>
        <w:t xml:space="preserve">each </w:t>
      </w:r>
      <w:r>
        <w:rPr>
          <w:rFonts w:asciiTheme="minorHAnsi" w:hAnsiTheme="minorHAnsi" w:cstheme="minorHAnsi"/>
        </w:rPr>
        <w:t>definition. Some of the hyperlinks refer to valuable information beyond the scope of the JWEE</w:t>
      </w:r>
      <w:r w:rsidR="00AF4646">
        <w:rPr>
          <w:rFonts w:asciiTheme="minorHAnsi" w:hAnsiTheme="minorHAnsi" w:cstheme="minorHAnsi"/>
        </w:rPr>
        <w:t xml:space="preserve"> </w:t>
      </w:r>
      <w:r>
        <w:rPr>
          <w:rFonts w:asciiTheme="minorHAnsi" w:hAnsiTheme="minorHAnsi" w:cstheme="minorHAnsi"/>
        </w:rPr>
        <w:t>201</w:t>
      </w:r>
      <w:r w:rsidR="000560DE">
        <w:rPr>
          <w:rFonts w:asciiTheme="minorHAnsi" w:hAnsiTheme="minorHAnsi" w:cstheme="minorHAnsi"/>
        </w:rPr>
        <w:t>3</w:t>
      </w:r>
      <w:r>
        <w:rPr>
          <w:rFonts w:asciiTheme="minorHAnsi" w:hAnsiTheme="minorHAnsi" w:cstheme="minorHAnsi"/>
        </w:rPr>
        <w:t>.</w:t>
      </w:r>
    </w:p>
    <w:p w:rsidR="00C00C37" w:rsidRDefault="00C00C37" w:rsidP="00C00C37">
      <w:pPr>
        <w:jc w:val="both"/>
        <w:rPr>
          <w:rFonts w:ascii="Calibri" w:hAnsi="Calibri" w:cs="Calibri"/>
          <w:b/>
          <w:bCs/>
          <w:szCs w:val="26"/>
        </w:rPr>
      </w:pPr>
    </w:p>
    <w:p w:rsidR="003C51EC" w:rsidRPr="00D82047" w:rsidRDefault="003C51EC" w:rsidP="0047427B">
      <w:pPr>
        <w:pStyle w:val="Heading3"/>
        <w:spacing w:before="0" w:after="0"/>
        <w:jc w:val="both"/>
      </w:pPr>
      <w:bookmarkStart w:id="31" w:name="_Toc326748706"/>
      <w:bookmarkStart w:id="32" w:name="_Toc407187217"/>
      <w:r w:rsidRPr="00D82047">
        <w:t>“Quality indicators” table</w:t>
      </w:r>
      <w:bookmarkEnd w:id="31"/>
      <w:bookmarkEnd w:id="32"/>
    </w:p>
    <w:p w:rsidR="00C00C37" w:rsidRDefault="00C00C37" w:rsidP="00C00C37">
      <w:pPr>
        <w:jc w:val="both"/>
        <w:rPr>
          <w:rFonts w:ascii="Calibri" w:hAnsi="Calibri" w:cs="Calibri"/>
        </w:rPr>
      </w:pPr>
    </w:p>
    <w:p w:rsidR="003D521C" w:rsidRDefault="003D521C" w:rsidP="00C00C37">
      <w:pPr>
        <w:jc w:val="both"/>
        <w:rPr>
          <w:rFonts w:ascii="Calibri" w:hAnsi="Calibri" w:cs="Calibri"/>
        </w:rPr>
      </w:pPr>
      <w:r>
        <w:rPr>
          <w:rFonts w:ascii="Calibri" w:hAnsi="Calibri" w:cs="Calibri"/>
        </w:rPr>
        <w:t>One of the features of the JWEE</w:t>
      </w:r>
      <w:r w:rsidR="00AF4646">
        <w:rPr>
          <w:rFonts w:ascii="Calibri" w:hAnsi="Calibri" w:cs="Calibri"/>
        </w:rPr>
        <w:t xml:space="preserve"> </w:t>
      </w:r>
      <w:r>
        <w:rPr>
          <w:rFonts w:ascii="Calibri" w:hAnsi="Calibri" w:cs="Calibri"/>
        </w:rPr>
        <w:t xml:space="preserve">is the intention of going beyond official data. </w:t>
      </w:r>
      <w:r w:rsidR="009E182C">
        <w:rPr>
          <w:rFonts w:ascii="Calibri" w:hAnsi="Calibri" w:cs="Calibri"/>
        </w:rPr>
        <w:t>Correspondents</w:t>
      </w:r>
      <w:r>
        <w:rPr>
          <w:rFonts w:ascii="Calibri" w:hAnsi="Calibri" w:cs="Calibri"/>
        </w:rPr>
        <w:t xml:space="preserve"> and experts are encouraged to use any source of information for providing as detailed information as possible. </w:t>
      </w:r>
    </w:p>
    <w:p w:rsidR="00C00C37" w:rsidRDefault="00C00C37" w:rsidP="00C00C37">
      <w:pPr>
        <w:jc w:val="both"/>
        <w:rPr>
          <w:rFonts w:ascii="Calibri" w:hAnsi="Calibri" w:cs="Calibri"/>
        </w:rPr>
      </w:pPr>
    </w:p>
    <w:p w:rsidR="005F5737" w:rsidRDefault="003D521C" w:rsidP="00C00C37">
      <w:pPr>
        <w:jc w:val="both"/>
        <w:rPr>
          <w:rFonts w:ascii="Calibri" w:hAnsi="Calibri" w:cs="Calibri"/>
        </w:rPr>
      </w:pPr>
      <w:r>
        <w:rPr>
          <w:rFonts w:ascii="Calibri" w:hAnsi="Calibri" w:cs="Calibri"/>
        </w:rPr>
        <w:t>D</w:t>
      </w:r>
      <w:r w:rsidR="001347A7" w:rsidRPr="00DA4B53">
        <w:rPr>
          <w:rFonts w:ascii="Calibri" w:hAnsi="Calibri" w:cs="Calibri"/>
        </w:rPr>
        <w:t xml:space="preserve">ata accuracy </w:t>
      </w:r>
      <w:r>
        <w:rPr>
          <w:rFonts w:ascii="Calibri" w:hAnsi="Calibri" w:cs="Calibri"/>
        </w:rPr>
        <w:t xml:space="preserve">can </w:t>
      </w:r>
      <w:r w:rsidR="001347A7" w:rsidRPr="00DA4B53">
        <w:rPr>
          <w:rFonts w:ascii="Calibri" w:hAnsi="Calibri" w:cs="Calibri"/>
        </w:rPr>
        <w:t xml:space="preserve">vary greatly and </w:t>
      </w:r>
      <w:r w:rsidR="009E182C">
        <w:rPr>
          <w:rFonts w:ascii="Calibri" w:hAnsi="Calibri" w:cs="Calibri"/>
        </w:rPr>
        <w:t>correspondents</w:t>
      </w:r>
      <w:r w:rsidR="001347A7" w:rsidRPr="00DA4B53">
        <w:rPr>
          <w:rFonts w:ascii="Calibri" w:hAnsi="Calibri" w:cs="Calibri"/>
        </w:rPr>
        <w:t xml:space="preserve"> are </w:t>
      </w:r>
      <w:r w:rsidR="009E182C">
        <w:rPr>
          <w:rFonts w:ascii="Calibri" w:hAnsi="Calibri" w:cs="Calibri"/>
        </w:rPr>
        <w:t>asked</w:t>
      </w:r>
      <w:r w:rsidR="001347A7" w:rsidRPr="00DA4B53">
        <w:rPr>
          <w:rFonts w:ascii="Calibri" w:hAnsi="Calibri" w:cs="Calibri"/>
        </w:rPr>
        <w:t xml:space="preserve"> to rate </w:t>
      </w:r>
      <w:r w:rsidR="002A28AB">
        <w:rPr>
          <w:rFonts w:ascii="Calibri" w:hAnsi="Calibri" w:cs="Calibri"/>
        </w:rPr>
        <w:t xml:space="preserve">the </w:t>
      </w:r>
      <w:r w:rsidR="001347A7" w:rsidRPr="00DA4B53">
        <w:rPr>
          <w:rFonts w:ascii="Calibri" w:hAnsi="Calibri" w:cs="Calibri"/>
        </w:rPr>
        <w:t>quality</w:t>
      </w:r>
      <w:r>
        <w:rPr>
          <w:rFonts w:ascii="Calibri" w:hAnsi="Calibri" w:cs="Calibri"/>
        </w:rPr>
        <w:t xml:space="preserve"> </w:t>
      </w:r>
      <w:r w:rsidR="002A28AB">
        <w:rPr>
          <w:rFonts w:ascii="Calibri" w:hAnsi="Calibri" w:cs="Calibri"/>
        </w:rPr>
        <w:t xml:space="preserve">of </w:t>
      </w:r>
      <w:r>
        <w:rPr>
          <w:rFonts w:ascii="Calibri" w:hAnsi="Calibri" w:cs="Calibri"/>
        </w:rPr>
        <w:t>data point</w:t>
      </w:r>
      <w:r w:rsidR="009E182C">
        <w:rPr>
          <w:rFonts w:ascii="Calibri" w:hAnsi="Calibri" w:cs="Calibri"/>
        </w:rPr>
        <w:t>s</w:t>
      </w:r>
      <w:r w:rsidR="001347A7" w:rsidRPr="00DA4B53">
        <w:rPr>
          <w:rFonts w:ascii="Calibri" w:hAnsi="Calibri" w:cs="Calibri"/>
        </w:rPr>
        <w:t xml:space="preserve">. </w:t>
      </w:r>
      <w:r w:rsidR="009E182C">
        <w:rPr>
          <w:rFonts w:ascii="Calibri" w:hAnsi="Calibri" w:cs="Calibri"/>
        </w:rPr>
        <w:t>T</w:t>
      </w:r>
      <w:r w:rsidR="001347A7" w:rsidRPr="00DA4B53">
        <w:rPr>
          <w:rFonts w:ascii="Calibri" w:hAnsi="Calibri" w:cs="Calibri"/>
        </w:rPr>
        <w:t>he data quality indicator (DQ) allow</w:t>
      </w:r>
      <w:r w:rsidR="009E182C">
        <w:rPr>
          <w:rFonts w:ascii="Calibri" w:hAnsi="Calibri" w:cs="Calibri"/>
        </w:rPr>
        <w:t>s</w:t>
      </w:r>
      <w:r w:rsidR="001347A7" w:rsidRPr="00DA4B53">
        <w:rPr>
          <w:rFonts w:ascii="Calibri" w:hAnsi="Calibri" w:cs="Calibri"/>
        </w:rPr>
        <w:t xml:space="preserve"> </w:t>
      </w:r>
      <w:r w:rsidR="009E182C">
        <w:rPr>
          <w:rFonts w:ascii="Calibri" w:hAnsi="Calibri" w:cs="Calibri"/>
        </w:rPr>
        <w:t>corre</w:t>
      </w:r>
      <w:r w:rsidR="003B279D">
        <w:rPr>
          <w:rFonts w:ascii="Calibri" w:hAnsi="Calibri" w:cs="Calibri"/>
        </w:rPr>
        <w:t>s</w:t>
      </w:r>
      <w:r w:rsidR="009E182C">
        <w:rPr>
          <w:rFonts w:ascii="Calibri" w:hAnsi="Calibri" w:cs="Calibri"/>
        </w:rPr>
        <w:t>pondents</w:t>
      </w:r>
      <w:r w:rsidR="003B279D" w:rsidRPr="00DA4B53">
        <w:rPr>
          <w:rFonts w:ascii="Calibri" w:hAnsi="Calibri" w:cs="Calibri"/>
        </w:rPr>
        <w:t xml:space="preserve"> </w:t>
      </w:r>
      <w:r w:rsidR="001347A7" w:rsidRPr="00DA4B53">
        <w:rPr>
          <w:rFonts w:ascii="Calibri" w:hAnsi="Calibri" w:cs="Calibri"/>
        </w:rPr>
        <w:t xml:space="preserve">to submit the most complete dataset possible even though data may </w:t>
      </w:r>
      <w:r w:rsidR="009E182C">
        <w:rPr>
          <w:rFonts w:ascii="Calibri" w:hAnsi="Calibri" w:cs="Calibri"/>
        </w:rPr>
        <w:t>originate</w:t>
      </w:r>
      <w:r w:rsidR="001347A7" w:rsidRPr="00DA4B53">
        <w:rPr>
          <w:rFonts w:ascii="Calibri" w:hAnsi="Calibri" w:cs="Calibri"/>
        </w:rPr>
        <w:t xml:space="preserve"> from a range of sources </w:t>
      </w:r>
      <w:r w:rsidR="009E182C">
        <w:rPr>
          <w:rFonts w:ascii="Calibri" w:hAnsi="Calibri" w:cs="Calibri"/>
        </w:rPr>
        <w:t>of</w:t>
      </w:r>
      <w:r w:rsidR="009E182C" w:rsidRPr="00DA4B53">
        <w:rPr>
          <w:rFonts w:ascii="Calibri" w:hAnsi="Calibri" w:cs="Calibri"/>
        </w:rPr>
        <w:t xml:space="preserve"> </w:t>
      </w:r>
      <w:r w:rsidR="001347A7" w:rsidRPr="00DA4B53">
        <w:rPr>
          <w:rFonts w:ascii="Calibri" w:hAnsi="Calibri" w:cs="Calibri"/>
        </w:rPr>
        <w:t>differ</w:t>
      </w:r>
      <w:r w:rsidR="009E182C">
        <w:rPr>
          <w:rFonts w:ascii="Calibri" w:hAnsi="Calibri" w:cs="Calibri"/>
        </w:rPr>
        <w:t>ing</w:t>
      </w:r>
      <w:r w:rsidR="001347A7" w:rsidRPr="00DA4B53">
        <w:rPr>
          <w:rFonts w:ascii="Calibri" w:hAnsi="Calibri" w:cs="Calibri"/>
        </w:rPr>
        <w:t xml:space="preserve"> qualit</w:t>
      </w:r>
      <w:r w:rsidR="009E182C">
        <w:rPr>
          <w:rFonts w:ascii="Calibri" w:hAnsi="Calibri" w:cs="Calibri"/>
        </w:rPr>
        <w:t>y</w:t>
      </w:r>
      <w:r w:rsidR="001347A7" w:rsidRPr="00DA4B53">
        <w:rPr>
          <w:rFonts w:ascii="Calibri" w:hAnsi="Calibri" w:cs="Calibri"/>
        </w:rPr>
        <w:t xml:space="preserve">. </w:t>
      </w:r>
    </w:p>
    <w:p w:rsidR="005F5737" w:rsidRDefault="005F5737" w:rsidP="00C00C37">
      <w:pPr>
        <w:jc w:val="both"/>
        <w:rPr>
          <w:rFonts w:ascii="Calibri" w:hAnsi="Calibri" w:cs="Calibri"/>
        </w:rPr>
      </w:pPr>
    </w:p>
    <w:p w:rsidR="0038048C" w:rsidRDefault="0038048C" w:rsidP="00C00C37">
      <w:pPr>
        <w:jc w:val="both"/>
        <w:rPr>
          <w:rFonts w:ascii="Calibri" w:hAnsi="Calibri" w:cs="Calibri"/>
        </w:rPr>
      </w:pPr>
    </w:p>
    <w:p w:rsidR="0038048C" w:rsidRDefault="0038048C" w:rsidP="00C00C37">
      <w:pPr>
        <w:jc w:val="both"/>
        <w:rPr>
          <w:rFonts w:ascii="Calibri" w:hAnsi="Calibri" w:cs="Calibri"/>
        </w:rPr>
      </w:pPr>
    </w:p>
    <w:p w:rsidR="0038048C" w:rsidRDefault="0038048C" w:rsidP="00C00C37">
      <w:pPr>
        <w:jc w:val="both"/>
        <w:rPr>
          <w:rFonts w:ascii="Calibri" w:hAnsi="Calibri" w:cs="Calibri"/>
        </w:rPr>
      </w:pPr>
    </w:p>
    <w:p w:rsidR="0038048C" w:rsidRDefault="0038048C" w:rsidP="00C00C37">
      <w:pPr>
        <w:jc w:val="both"/>
        <w:rPr>
          <w:rFonts w:ascii="Calibri" w:hAnsi="Calibri" w:cs="Calibri"/>
        </w:rPr>
      </w:pPr>
    </w:p>
    <w:p w:rsidR="001347A7" w:rsidRPr="00DA4B53" w:rsidRDefault="001347A7" w:rsidP="00C00C37">
      <w:pPr>
        <w:jc w:val="both"/>
        <w:rPr>
          <w:rFonts w:ascii="Calibri" w:hAnsi="Calibri" w:cs="Calibri"/>
        </w:rPr>
      </w:pPr>
      <w:r w:rsidRPr="00DA4B53">
        <w:rPr>
          <w:rFonts w:ascii="Calibri" w:hAnsi="Calibri" w:cs="Calibri"/>
        </w:rPr>
        <w:t>The following data quality flags are proposed:</w:t>
      </w:r>
    </w:p>
    <w:p w:rsidR="001347A7" w:rsidRPr="00DA4B53" w:rsidRDefault="001347A7" w:rsidP="00C00C37">
      <w:pPr>
        <w:jc w:val="both"/>
        <w:rPr>
          <w:rFonts w:ascii="Calibri" w:hAnsi="Calibri" w:cs="Calibri"/>
        </w:rPr>
      </w:pPr>
    </w:p>
    <w:p w:rsidR="001347A7" w:rsidRPr="00DA4B53" w:rsidRDefault="001347A7" w:rsidP="00C00C37">
      <w:pPr>
        <w:tabs>
          <w:tab w:val="left" w:pos="993"/>
        </w:tabs>
        <w:ind w:left="993" w:hanging="709"/>
        <w:jc w:val="both"/>
        <w:rPr>
          <w:rFonts w:ascii="Calibri" w:hAnsi="Calibri" w:cs="Calibri"/>
        </w:rPr>
      </w:pPr>
      <w:proofErr w:type="spellStart"/>
      <w:proofErr w:type="gramStart"/>
      <w:r w:rsidRPr="00DA4B53">
        <w:rPr>
          <w:rFonts w:ascii="Calibri" w:hAnsi="Calibri" w:cs="Calibri"/>
        </w:rPr>
        <w:t>A</w:t>
      </w:r>
      <w:proofErr w:type="spellEnd"/>
      <w:proofErr w:type="gramEnd"/>
      <w:r w:rsidRPr="00DA4B53">
        <w:rPr>
          <w:rFonts w:ascii="Calibri" w:hAnsi="Calibri" w:cs="Calibri"/>
        </w:rPr>
        <w:tab/>
        <w:t xml:space="preserve">Excellent data quality (e.g. empirical data from </w:t>
      </w:r>
      <w:r w:rsidR="002A28AB">
        <w:rPr>
          <w:rFonts w:ascii="Calibri" w:hAnsi="Calibri" w:cs="Calibri"/>
        </w:rPr>
        <w:t xml:space="preserve">a </w:t>
      </w:r>
      <w:r w:rsidRPr="00DA4B53">
        <w:rPr>
          <w:rFonts w:ascii="Calibri" w:hAnsi="Calibri" w:cs="Calibri"/>
        </w:rPr>
        <w:t>recent study)</w:t>
      </w:r>
    </w:p>
    <w:p w:rsidR="001347A7" w:rsidRPr="00DA4B53" w:rsidRDefault="001347A7" w:rsidP="00C00C37">
      <w:pPr>
        <w:tabs>
          <w:tab w:val="left" w:pos="993"/>
        </w:tabs>
        <w:ind w:left="993" w:hanging="709"/>
        <w:jc w:val="both"/>
        <w:rPr>
          <w:rFonts w:ascii="Calibri" w:hAnsi="Calibri" w:cs="Calibri"/>
        </w:rPr>
      </w:pPr>
      <w:r w:rsidRPr="00DA4B53">
        <w:rPr>
          <w:rFonts w:ascii="Calibri" w:hAnsi="Calibri" w:cs="Calibri"/>
        </w:rPr>
        <w:t>B</w:t>
      </w:r>
      <w:r w:rsidRPr="00DA4B53">
        <w:rPr>
          <w:rFonts w:ascii="Calibri" w:hAnsi="Calibri" w:cs="Calibri"/>
        </w:rPr>
        <w:tab/>
        <w:t>Good data quality (e.g. older studies with widely recognized precisio</w:t>
      </w:r>
      <w:r w:rsidR="002A28AB">
        <w:rPr>
          <w:rFonts w:ascii="Calibri" w:hAnsi="Calibri" w:cs="Calibri"/>
        </w:rPr>
        <w:t xml:space="preserve">n </w:t>
      </w:r>
      <w:r w:rsidRPr="00DA4B53">
        <w:rPr>
          <w:rFonts w:ascii="Calibri" w:hAnsi="Calibri" w:cs="Calibri"/>
        </w:rPr>
        <w:t xml:space="preserve">or </w:t>
      </w:r>
      <w:r w:rsidR="002A28AB">
        <w:rPr>
          <w:rFonts w:ascii="Calibri" w:hAnsi="Calibri" w:cs="Calibri"/>
        </w:rPr>
        <w:t xml:space="preserve">a </w:t>
      </w:r>
      <w:r w:rsidRPr="00DA4B53">
        <w:rPr>
          <w:rFonts w:ascii="Calibri" w:hAnsi="Calibri" w:cs="Calibri"/>
        </w:rPr>
        <w:t>good expert estimate -</w:t>
      </w:r>
      <w:r w:rsidR="002A28AB">
        <w:rPr>
          <w:rFonts w:ascii="Calibri" w:hAnsi="Calibri" w:cs="Calibri"/>
        </w:rPr>
        <w:t xml:space="preserve"> </w:t>
      </w:r>
      <w:r w:rsidRPr="00DA4B53">
        <w:rPr>
          <w:rFonts w:ascii="Calibri" w:hAnsi="Calibri" w:cs="Calibri"/>
        </w:rPr>
        <w:t>based on more than one source)</w:t>
      </w:r>
    </w:p>
    <w:p w:rsidR="001347A7" w:rsidRPr="00DA4B53" w:rsidRDefault="001347A7" w:rsidP="00C00C37">
      <w:pPr>
        <w:tabs>
          <w:tab w:val="left" w:pos="993"/>
        </w:tabs>
        <w:ind w:left="993" w:hanging="709"/>
        <w:jc w:val="both"/>
        <w:rPr>
          <w:rFonts w:ascii="Calibri" w:hAnsi="Calibri" w:cs="Calibri"/>
        </w:rPr>
      </w:pPr>
      <w:r w:rsidRPr="00DA4B53">
        <w:rPr>
          <w:rFonts w:ascii="Calibri" w:hAnsi="Calibri" w:cs="Calibri"/>
        </w:rPr>
        <w:t>C</w:t>
      </w:r>
      <w:r w:rsidRPr="00DA4B53">
        <w:rPr>
          <w:rFonts w:ascii="Calibri" w:hAnsi="Calibri" w:cs="Calibri"/>
        </w:rPr>
        <w:tab/>
        <w:t xml:space="preserve">Rough estimate (about right order of magnitude), </w:t>
      </w:r>
    </w:p>
    <w:p w:rsidR="001347A7" w:rsidRPr="00DA4B53" w:rsidRDefault="001347A7" w:rsidP="00C00C37">
      <w:pPr>
        <w:tabs>
          <w:tab w:val="left" w:pos="993"/>
        </w:tabs>
        <w:ind w:left="993" w:hanging="709"/>
        <w:jc w:val="both"/>
        <w:rPr>
          <w:rFonts w:ascii="Calibri" w:hAnsi="Calibri" w:cs="Calibri"/>
        </w:rPr>
      </w:pPr>
      <w:r w:rsidRPr="00DA4B53">
        <w:rPr>
          <w:rFonts w:ascii="Calibri" w:hAnsi="Calibri" w:cs="Calibri"/>
        </w:rPr>
        <w:t>D</w:t>
      </w:r>
      <w:r w:rsidRPr="00DA4B53">
        <w:rPr>
          <w:rFonts w:ascii="Calibri" w:hAnsi="Calibri" w:cs="Calibri"/>
        </w:rPr>
        <w:tab/>
        <w:t>No information on data quality available</w:t>
      </w:r>
    </w:p>
    <w:p w:rsidR="001347A7" w:rsidRPr="00DA4B53" w:rsidRDefault="001347A7" w:rsidP="00C00C37">
      <w:pPr>
        <w:tabs>
          <w:tab w:val="left" w:pos="993"/>
        </w:tabs>
        <w:ind w:left="993" w:hanging="709"/>
        <w:jc w:val="both"/>
        <w:rPr>
          <w:rFonts w:ascii="Calibri" w:hAnsi="Calibri" w:cs="Calibri"/>
        </w:rPr>
      </w:pPr>
      <w:r w:rsidRPr="00DA4B53">
        <w:rPr>
          <w:rFonts w:ascii="Calibri" w:hAnsi="Calibri" w:cs="Calibri"/>
        </w:rPr>
        <w:t>O</w:t>
      </w:r>
      <w:r w:rsidRPr="00DA4B53">
        <w:rPr>
          <w:rFonts w:ascii="Calibri" w:hAnsi="Calibri" w:cs="Calibri"/>
        </w:rPr>
        <w:tab/>
        <w:t>Official national statistics</w:t>
      </w:r>
    </w:p>
    <w:p w:rsidR="00C00C37" w:rsidRPr="00DA4B53" w:rsidRDefault="00C00C37" w:rsidP="00C00C37">
      <w:pPr>
        <w:jc w:val="both"/>
        <w:rPr>
          <w:rFonts w:ascii="Calibri" w:hAnsi="Calibri" w:cs="Calibri"/>
        </w:rPr>
      </w:pPr>
    </w:p>
    <w:p w:rsidR="003C51EC" w:rsidRPr="00D82047" w:rsidRDefault="003C51EC" w:rsidP="0047427B">
      <w:pPr>
        <w:pStyle w:val="Heading3"/>
        <w:spacing w:before="0" w:after="0"/>
        <w:jc w:val="both"/>
      </w:pPr>
      <w:bookmarkStart w:id="33" w:name="_Toc326748707"/>
      <w:bookmarkStart w:id="34" w:name="_Toc407187218"/>
      <w:r w:rsidRPr="00D82047">
        <w:t>“Conversion factors energy” table</w:t>
      </w:r>
      <w:bookmarkEnd w:id="33"/>
      <w:bookmarkEnd w:id="34"/>
    </w:p>
    <w:p w:rsidR="00C00C37" w:rsidRDefault="00C00C37" w:rsidP="00C00C37">
      <w:pPr>
        <w:jc w:val="both"/>
        <w:rPr>
          <w:rFonts w:asciiTheme="minorHAnsi" w:hAnsiTheme="minorHAnsi" w:cstheme="minorHAnsi"/>
        </w:rPr>
      </w:pPr>
    </w:p>
    <w:p w:rsidR="00EE59AA" w:rsidRDefault="006E24AA" w:rsidP="00EE59AA">
      <w:pPr>
        <w:jc w:val="both"/>
        <w:rPr>
          <w:rFonts w:ascii="Calibri" w:hAnsi="Calibri" w:cs="Calibri"/>
        </w:rPr>
      </w:pPr>
      <w:r w:rsidRPr="006E24AA">
        <w:rPr>
          <w:rFonts w:asciiTheme="minorHAnsi" w:hAnsiTheme="minorHAnsi" w:cstheme="minorHAnsi"/>
        </w:rPr>
        <w:t xml:space="preserve">The </w:t>
      </w:r>
      <w:r>
        <w:rPr>
          <w:rFonts w:asciiTheme="minorHAnsi" w:hAnsiTheme="minorHAnsi" w:cstheme="minorHAnsi"/>
        </w:rPr>
        <w:t>table “C</w:t>
      </w:r>
      <w:r w:rsidRPr="006E24AA">
        <w:rPr>
          <w:rFonts w:asciiTheme="minorHAnsi" w:hAnsiTheme="minorHAnsi" w:cstheme="minorHAnsi"/>
        </w:rPr>
        <w:t>onversion factors</w:t>
      </w:r>
      <w:r>
        <w:rPr>
          <w:rFonts w:asciiTheme="minorHAnsi" w:hAnsiTheme="minorHAnsi" w:cstheme="minorHAnsi"/>
        </w:rPr>
        <w:t xml:space="preserve"> energy” </w:t>
      </w:r>
      <w:r w:rsidRPr="006E24AA">
        <w:rPr>
          <w:rFonts w:asciiTheme="minorHAnsi" w:hAnsiTheme="minorHAnsi" w:cstheme="minorHAnsi"/>
        </w:rPr>
        <w:t>play</w:t>
      </w:r>
      <w:r>
        <w:rPr>
          <w:rFonts w:asciiTheme="minorHAnsi" w:hAnsiTheme="minorHAnsi" w:cstheme="minorHAnsi"/>
        </w:rPr>
        <w:t>s</w:t>
      </w:r>
      <w:r w:rsidRPr="006E24AA">
        <w:rPr>
          <w:rFonts w:asciiTheme="minorHAnsi" w:hAnsiTheme="minorHAnsi" w:cstheme="minorHAnsi"/>
        </w:rPr>
        <w:t xml:space="preserve"> a crucial role in the JWEE</w:t>
      </w:r>
      <w:r w:rsidR="002A28AB">
        <w:rPr>
          <w:rFonts w:asciiTheme="minorHAnsi" w:hAnsiTheme="minorHAnsi" w:cstheme="minorHAnsi"/>
        </w:rPr>
        <w:t xml:space="preserve"> </w:t>
      </w:r>
      <w:r w:rsidRPr="006E24AA">
        <w:rPr>
          <w:rFonts w:asciiTheme="minorHAnsi" w:hAnsiTheme="minorHAnsi" w:cstheme="minorHAnsi"/>
        </w:rPr>
        <w:t>201</w:t>
      </w:r>
      <w:r w:rsidR="00F12CE8">
        <w:rPr>
          <w:rFonts w:asciiTheme="minorHAnsi" w:hAnsiTheme="minorHAnsi" w:cstheme="minorHAnsi"/>
        </w:rPr>
        <w:t>3</w:t>
      </w:r>
      <w:r w:rsidRPr="006E24AA">
        <w:rPr>
          <w:rFonts w:asciiTheme="minorHAnsi" w:hAnsiTheme="minorHAnsi" w:cstheme="minorHAnsi"/>
        </w:rPr>
        <w:t>. The</w:t>
      </w:r>
      <w:r>
        <w:rPr>
          <w:rFonts w:asciiTheme="minorHAnsi" w:hAnsiTheme="minorHAnsi" w:cstheme="minorHAnsi"/>
        </w:rPr>
        <w:t xml:space="preserve"> values are applied </w:t>
      </w:r>
      <w:r w:rsidRPr="006E24AA">
        <w:rPr>
          <w:rFonts w:asciiTheme="minorHAnsi" w:hAnsiTheme="minorHAnsi" w:cstheme="minorHAnsi"/>
        </w:rPr>
        <w:t>to link the different data collecting tables</w:t>
      </w:r>
      <w:r>
        <w:rPr>
          <w:rFonts w:asciiTheme="minorHAnsi" w:hAnsiTheme="minorHAnsi" w:cstheme="minorHAnsi"/>
        </w:rPr>
        <w:t xml:space="preserve"> and above all the links to table T IV.</w:t>
      </w:r>
      <w:r w:rsidR="005B096A">
        <w:rPr>
          <w:rFonts w:asciiTheme="minorHAnsi" w:hAnsiTheme="minorHAnsi" w:cstheme="minorHAnsi"/>
        </w:rPr>
        <w:t xml:space="preserve"> </w:t>
      </w:r>
      <w:r>
        <w:rPr>
          <w:rFonts w:asciiTheme="minorHAnsi" w:hAnsiTheme="minorHAnsi" w:cstheme="minorHAnsi"/>
        </w:rPr>
        <w:t xml:space="preserve">The table contains a set of default conversion factors. </w:t>
      </w:r>
      <w:r w:rsidRPr="0047427B">
        <w:rPr>
          <w:rFonts w:asciiTheme="minorHAnsi" w:hAnsiTheme="minorHAnsi" w:cstheme="minorHAnsi"/>
          <w:b/>
        </w:rPr>
        <w:t xml:space="preserve">These factors are </w:t>
      </w:r>
      <w:r w:rsidR="009E182C" w:rsidRPr="0047427B">
        <w:rPr>
          <w:rFonts w:asciiTheme="minorHAnsi" w:hAnsiTheme="minorHAnsi" w:cstheme="minorHAnsi"/>
          <w:b/>
        </w:rPr>
        <w:t>generic</w:t>
      </w:r>
      <w:r w:rsidRPr="0047427B">
        <w:rPr>
          <w:rFonts w:asciiTheme="minorHAnsi" w:hAnsiTheme="minorHAnsi" w:cstheme="minorHAnsi"/>
          <w:b/>
        </w:rPr>
        <w:t xml:space="preserve"> and </w:t>
      </w:r>
      <w:r w:rsidR="009E182C" w:rsidRPr="0047427B">
        <w:rPr>
          <w:rFonts w:asciiTheme="minorHAnsi" w:hAnsiTheme="minorHAnsi" w:cstheme="minorHAnsi"/>
          <w:b/>
        </w:rPr>
        <w:t>correspondents</w:t>
      </w:r>
      <w:r w:rsidRPr="0047427B">
        <w:rPr>
          <w:rFonts w:asciiTheme="minorHAnsi" w:hAnsiTheme="minorHAnsi" w:cstheme="minorHAnsi"/>
          <w:b/>
        </w:rPr>
        <w:t xml:space="preserve"> are encouraged to adjust the values to </w:t>
      </w:r>
      <w:r w:rsidR="002A28AB" w:rsidRPr="0047427B">
        <w:rPr>
          <w:rFonts w:asciiTheme="minorHAnsi" w:hAnsiTheme="minorHAnsi" w:cstheme="minorHAnsi"/>
          <w:b/>
        </w:rPr>
        <w:t>national circumstances</w:t>
      </w:r>
      <w:r w:rsidR="009845BD">
        <w:rPr>
          <w:rFonts w:asciiTheme="minorHAnsi" w:hAnsiTheme="minorHAnsi" w:cstheme="minorHAnsi"/>
          <w:b/>
        </w:rPr>
        <w:t xml:space="preserve"> as appropriate, and indicate such changes by inserting comments.</w:t>
      </w:r>
      <w:r w:rsidR="003C042F">
        <w:rPr>
          <w:rStyle w:val="FootnoteReference"/>
          <w:rFonts w:asciiTheme="minorHAnsi" w:hAnsiTheme="minorHAnsi" w:cstheme="minorHAnsi"/>
        </w:rPr>
        <w:footnoteReference w:id="2"/>
      </w:r>
      <w:r>
        <w:rPr>
          <w:rFonts w:asciiTheme="minorHAnsi" w:hAnsiTheme="minorHAnsi" w:cstheme="minorHAnsi"/>
        </w:rPr>
        <w:t xml:space="preserve"> </w:t>
      </w:r>
      <w:r w:rsidR="00EE59AA">
        <w:rPr>
          <w:rFonts w:ascii="Calibri" w:hAnsi="Calibri" w:cs="Calibri"/>
        </w:rPr>
        <w:t>In case of disagreement with the conversion factors, correspondents are kindly invited to revise the default set presented in the table “conversion factors energy”.</w:t>
      </w:r>
    </w:p>
    <w:p w:rsidR="006E24AA" w:rsidRDefault="006E24AA" w:rsidP="00C00C37">
      <w:pPr>
        <w:jc w:val="both"/>
        <w:rPr>
          <w:rFonts w:asciiTheme="minorHAnsi" w:hAnsiTheme="minorHAnsi" w:cstheme="minorHAnsi"/>
        </w:rPr>
      </w:pPr>
    </w:p>
    <w:p w:rsidR="000E4768" w:rsidRDefault="000E4768" w:rsidP="00C00C37">
      <w:pPr>
        <w:jc w:val="both"/>
        <w:rPr>
          <w:rFonts w:asciiTheme="minorHAnsi" w:hAnsiTheme="minorHAnsi" w:cstheme="minorHAnsi"/>
        </w:rPr>
      </w:pPr>
      <w:r>
        <w:rPr>
          <w:rFonts w:asciiTheme="minorHAnsi" w:hAnsiTheme="minorHAnsi" w:cstheme="minorHAnsi"/>
        </w:rPr>
        <w:t>Th</w:t>
      </w:r>
      <w:r w:rsidR="002A28AB">
        <w:rPr>
          <w:rFonts w:asciiTheme="minorHAnsi" w:hAnsiTheme="minorHAnsi" w:cstheme="minorHAnsi"/>
        </w:rPr>
        <w:t>is table</w:t>
      </w:r>
      <w:r>
        <w:rPr>
          <w:rFonts w:asciiTheme="minorHAnsi" w:hAnsiTheme="minorHAnsi" w:cstheme="minorHAnsi"/>
        </w:rPr>
        <w:t xml:space="preserve"> facilitat</w:t>
      </w:r>
      <w:r w:rsidR="002A28AB">
        <w:rPr>
          <w:rFonts w:asciiTheme="minorHAnsi" w:hAnsiTheme="minorHAnsi" w:cstheme="minorHAnsi"/>
        </w:rPr>
        <w:t>es</w:t>
      </w:r>
      <w:r>
        <w:rPr>
          <w:rFonts w:asciiTheme="minorHAnsi" w:hAnsiTheme="minorHAnsi" w:cstheme="minorHAnsi"/>
        </w:rPr>
        <w:t xml:space="preserve"> cross-</w:t>
      </w:r>
      <w:proofErr w:type="spellStart"/>
      <w:r>
        <w:rPr>
          <w:rFonts w:asciiTheme="minorHAnsi" w:hAnsiTheme="minorHAnsi" w:cstheme="minorHAnsi"/>
        </w:rPr>
        <w:t>sectoral</w:t>
      </w:r>
      <w:proofErr w:type="spellEnd"/>
      <w:r>
        <w:rPr>
          <w:rFonts w:asciiTheme="minorHAnsi" w:hAnsiTheme="minorHAnsi" w:cstheme="minorHAnsi"/>
        </w:rPr>
        <w:t xml:space="preserve"> communication and collaboration.</w:t>
      </w:r>
      <w:r w:rsidR="005B096A">
        <w:rPr>
          <w:rFonts w:asciiTheme="minorHAnsi" w:hAnsiTheme="minorHAnsi" w:cstheme="minorHAnsi"/>
        </w:rPr>
        <w:t xml:space="preserve"> Wood energy data in the energy sector is </w:t>
      </w:r>
      <w:r w:rsidR="002A28AB">
        <w:rPr>
          <w:rFonts w:asciiTheme="minorHAnsi" w:hAnsiTheme="minorHAnsi" w:cstheme="minorHAnsi"/>
        </w:rPr>
        <w:t xml:space="preserve">often </w:t>
      </w:r>
      <w:r w:rsidR="005B096A">
        <w:rPr>
          <w:rFonts w:asciiTheme="minorHAnsi" w:hAnsiTheme="minorHAnsi" w:cstheme="minorHAnsi"/>
        </w:rPr>
        <w:t xml:space="preserve">provided in </w:t>
      </w:r>
      <w:r w:rsidR="00AF4F1F">
        <w:rPr>
          <w:rFonts w:asciiTheme="minorHAnsi" w:hAnsiTheme="minorHAnsi" w:cstheme="minorHAnsi"/>
        </w:rPr>
        <w:t xml:space="preserve">units such as </w:t>
      </w:r>
      <w:proofErr w:type="spellStart"/>
      <w:r w:rsidR="002A28AB">
        <w:rPr>
          <w:rFonts w:asciiTheme="minorHAnsi" w:hAnsiTheme="minorHAnsi" w:cstheme="minorHAnsi"/>
        </w:rPr>
        <w:t>terajoules</w:t>
      </w:r>
      <w:proofErr w:type="spellEnd"/>
      <w:r w:rsidR="002A28AB">
        <w:rPr>
          <w:rFonts w:asciiTheme="minorHAnsi" w:hAnsiTheme="minorHAnsi" w:cstheme="minorHAnsi"/>
        </w:rPr>
        <w:t xml:space="preserve"> (</w:t>
      </w:r>
      <w:r w:rsidR="005B096A">
        <w:rPr>
          <w:rFonts w:asciiTheme="minorHAnsi" w:hAnsiTheme="minorHAnsi" w:cstheme="minorHAnsi"/>
        </w:rPr>
        <w:t>TJ</w:t>
      </w:r>
      <w:r w:rsidR="00AF4F1F">
        <w:rPr>
          <w:rFonts w:asciiTheme="minorHAnsi" w:hAnsiTheme="minorHAnsi" w:cstheme="minorHAnsi"/>
        </w:rPr>
        <w:t xml:space="preserve">) and </w:t>
      </w:r>
      <w:proofErr w:type="spellStart"/>
      <w:r w:rsidR="005B096A">
        <w:rPr>
          <w:rFonts w:asciiTheme="minorHAnsi" w:hAnsiTheme="minorHAnsi" w:cstheme="minorHAnsi"/>
        </w:rPr>
        <w:t>tonnes</w:t>
      </w:r>
      <w:proofErr w:type="spellEnd"/>
      <w:r w:rsidR="005B096A">
        <w:rPr>
          <w:rFonts w:asciiTheme="minorHAnsi" w:hAnsiTheme="minorHAnsi" w:cstheme="minorHAnsi"/>
        </w:rPr>
        <w:t xml:space="preserve"> of oil equivalent</w:t>
      </w:r>
      <w:r w:rsidR="002A28AB">
        <w:rPr>
          <w:rFonts w:asciiTheme="minorHAnsi" w:hAnsiTheme="minorHAnsi" w:cstheme="minorHAnsi"/>
        </w:rPr>
        <w:t xml:space="preserve"> (toe)</w:t>
      </w:r>
      <w:r w:rsidR="005B096A">
        <w:rPr>
          <w:rFonts w:asciiTheme="minorHAnsi" w:hAnsiTheme="minorHAnsi" w:cstheme="minorHAnsi"/>
        </w:rPr>
        <w:t xml:space="preserve">.  In the forestry </w:t>
      </w:r>
      <w:r w:rsidR="009A042D">
        <w:rPr>
          <w:rFonts w:asciiTheme="minorHAnsi" w:hAnsiTheme="minorHAnsi" w:cstheme="minorHAnsi"/>
        </w:rPr>
        <w:t xml:space="preserve">and waste </w:t>
      </w:r>
      <w:r w:rsidR="005B096A">
        <w:rPr>
          <w:rFonts w:asciiTheme="minorHAnsi" w:hAnsiTheme="minorHAnsi" w:cstheme="minorHAnsi"/>
        </w:rPr>
        <w:t>sector</w:t>
      </w:r>
      <w:r w:rsidR="002A28AB">
        <w:rPr>
          <w:rFonts w:asciiTheme="minorHAnsi" w:hAnsiTheme="minorHAnsi" w:cstheme="minorHAnsi"/>
        </w:rPr>
        <w:t>s</w:t>
      </w:r>
      <w:r w:rsidR="005B096A">
        <w:rPr>
          <w:rFonts w:asciiTheme="minorHAnsi" w:hAnsiTheme="minorHAnsi" w:cstheme="minorHAnsi"/>
        </w:rPr>
        <w:t xml:space="preserve"> </w:t>
      </w:r>
      <w:r w:rsidR="009A042D">
        <w:rPr>
          <w:rFonts w:asciiTheme="minorHAnsi" w:hAnsiTheme="minorHAnsi" w:cstheme="minorHAnsi"/>
        </w:rPr>
        <w:t xml:space="preserve">units </w:t>
      </w:r>
      <w:r w:rsidR="002A28AB">
        <w:rPr>
          <w:rFonts w:asciiTheme="minorHAnsi" w:hAnsiTheme="minorHAnsi" w:cstheme="minorHAnsi"/>
        </w:rPr>
        <w:t xml:space="preserve">based on </w:t>
      </w:r>
      <w:r w:rsidR="005B096A">
        <w:rPr>
          <w:rFonts w:asciiTheme="minorHAnsi" w:hAnsiTheme="minorHAnsi" w:cstheme="minorHAnsi"/>
        </w:rPr>
        <w:t>weight</w:t>
      </w:r>
      <w:r w:rsidR="002A28AB">
        <w:rPr>
          <w:rFonts w:asciiTheme="minorHAnsi" w:hAnsiTheme="minorHAnsi" w:cstheme="minorHAnsi"/>
        </w:rPr>
        <w:t xml:space="preserve"> and volume</w:t>
      </w:r>
      <w:r w:rsidR="005B096A">
        <w:rPr>
          <w:rFonts w:asciiTheme="minorHAnsi" w:hAnsiTheme="minorHAnsi" w:cstheme="minorHAnsi"/>
        </w:rPr>
        <w:t xml:space="preserve"> </w:t>
      </w:r>
      <w:r w:rsidR="009A042D">
        <w:rPr>
          <w:rFonts w:asciiTheme="minorHAnsi" w:hAnsiTheme="minorHAnsi" w:cstheme="minorHAnsi"/>
        </w:rPr>
        <w:t>are used for reporting. Therefore the conversion factors provided will help b</w:t>
      </w:r>
      <w:r w:rsidR="00355DE5">
        <w:rPr>
          <w:rFonts w:asciiTheme="minorHAnsi" w:hAnsiTheme="minorHAnsi" w:cstheme="minorHAnsi"/>
        </w:rPr>
        <w:t>ring together different sectors to provide a single dataset</w:t>
      </w:r>
      <w:r>
        <w:rPr>
          <w:rFonts w:asciiTheme="minorHAnsi" w:hAnsiTheme="minorHAnsi" w:cstheme="minorHAnsi"/>
        </w:rPr>
        <w:t xml:space="preserve"> in</w:t>
      </w:r>
      <w:r w:rsidR="009A042D">
        <w:rPr>
          <w:rFonts w:asciiTheme="minorHAnsi" w:hAnsiTheme="minorHAnsi" w:cstheme="minorHAnsi"/>
        </w:rPr>
        <w:t xml:space="preserve"> the standard </w:t>
      </w:r>
      <w:r>
        <w:rPr>
          <w:rFonts w:asciiTheme="minorHAnsi" w:hAnsiTheme="minorHAnsi" w:cstheme="minorHAnsi"/>
        </w:rPr>
        <w:t>unit</w:t>
      </w:r>
      <w:r w:rsidR="009A042D">
        <w:rPr>
          <w:rFonts w:asciiTheme="minorHAnsi" w:hAnsiTheme="minorHAnsi" w:cstheme="minorHAnsi"/>
        </w:rPr>
        <w:t xml:space="preserve"> of</w:t>
      </w:r>
      <w:r>
        <w:rPr>
          <w:rFonts w:asciiTheme="minorHAnsi" w:hAnsiTheme="minorHAnsi" w:cstheme="minorHAnsi"/>
        </w:rPr>
        <w:t xml:space="preserve"> metric tonnes </w:t>
      </w:r>
      <w:r w:rsidR="002A28AB">
        <w:rPr>
          <w:rFonts w:asciiTheme="minorHAnsi" w:hAnsiTheme="minorHAnsi" w:cstheme="minorHAnsi"/>
        </w:rPr>
        <w:t>dry matter</w:t>
      </w:r>
      <w:r w:rsidR="00AF4F1F">
        <w:rPr>
          <w:rFonts w:asciiTheme="minorHAnsi" w:hAnsiTheme="minorHAnsi" w:cstheme="minorHAnsi"/>
        </w:rPr>
        <w:t xml:space="preserve"> (t </w:t>
      </w:r>
      <w:proofErr w:type="spellStart"/>
      <w:r w:rsidR="00AF4F1F">
        <w:rPr>
          <w:rFonts w:asciiTheme="minorHAnsi" w:hAnsiTheme="minorHAnsi" w:cstheme="minorHAnsi"/>
        </w:rPr>
        <w:t>d.m</w:t>
      </w:r>
      <w:proofErr w:type="spellEnd"/>
      <w:r w:rsidR="00AF4F1F">
        <w:rPr>
          <w:rFonts w:asciiTheme="minorHAnsi" w:hAnsiTheme="minorHAnsi" w:cstheme="minorHAnsi"/>
        </w:rPr>
        <w:t>.)</w:t>
      </w:r>
      <w:r w:rsidR="002A28AB">
        <w:rPr>
          <w:rFonts w:asciiTheme="minorHAnsi" w:hAnsiTheme="minorHAnsi" w:cstheme="minorHAnsi"/>
        </w:rPr>
        <w:t xml:space="preserve"> </w:t>
      </w:r>
      <w:r>
        <w:rPr>
          <w:rFonts w:asciiTheme="minorHAnsi" w:hAnsiTheme="minorHAnsi" w:cstheme="minorHAnsi"/>
        </w:rPr>
        <w:t xml:space="preserve">in table T IV and </w:t>
      </w:r>
      <w:r w:rsidR="009A042D">
        <w:rPr>
          <w:rFonts w:asciiTheme="minorHAnsi" w:hAnsiTheme="minorHAnsi" w:cstheme="minorHAnsi"/>
        </w:rPr>
        <w:t xml:space="preserve">solid </w:t>
      </w:r>
      <w:r w:rsidR="00AF4F1F">
        <w:rPr>
          <w:rFonts w:asciiTheme="minorHAnsi" w:hAnsiTheme="minorHAnsi" w:cstheme="minorHAnsi"/>
        </w:rPr>
        <w:t xml:space="preserve">cubic </w:t>
      </w:r>
      <w:proofErr w:type="spellStart"/>
      <w:r w:rsidR="00AF4F1F">
        <w:rPr>
          <w:rFonts w:asciiTheme="minorHAnsi" w:hAnsiTheme="minorHAnsi" w:cstheme="minorHAnsi"/>
        </w:rPr>
        <w:t>metres</w:t>
      </w:r>
      <w:proofErr w:type="spellEnd"/>
      <w:r w:rsidR="00AF4F1F">
        <w:rPr>
          <w:rFonts w:asciiTheme="minorHAnsi" w:hAnsiTheme="minorHAnsi" w:cstheme="minorHAnsi"/>
        </w:rPr>
        <w:t xml:space="preserve"> (</w:t>
      </w:r>
      <w:r>
        <w:rPr>
          <w:rFonts w:asciiTheme="minorHAnsi" w:hAnsiTheme="minorHAnsi" w:cstheme="minorHAnsi"/>
        </w:rPr>
        <w:t>m³</w:t>
      </w:r>
      <w:r w:rsidR="00AF4F1F">
        <w:rPr>
          <w:rFonts w:asciiTheme="minorHAnsi" w:hAnsiTheme="minorHAnsi" w:cstheme="minorHAnsi"/>
        </w:rPr>
        <w:t>)</w:t>
      </w:r>
      <w:r>
        <w:rPr>
          <w:rFonts w:asciiTheme="minorHAnsi" w:hAnsiTheme="minorHAnsi" w:cstheme="minorHAnsi"/>
        </w:rPr>
        <w:t xml:space="preserve"> in the </w:t>
      </w:r>
      <w:r w:rsidR="00AF4F1F">
        <w:rPr>
          <w:rFonts w:asciiTheme="minorHAnsi" w:hAnsiTheme="minorHAnsi" w:cstheme="minorHAnsi"/>
        </w:rPr>
        <w:t>“</w:t>
      </w:r>
      <w:r>
        <w:rPr>
          <w:rFonts w:asciiTheme="minorHAnsi" w:hAnsiTheme="minorHAnsi" w:cstheme="minorHAnsi"/>
        </w:rPr>
        <w:t>aggregate s-&gt;u</w:t>
      </w:r>
      <w:r w:rsidR="00AF4F1F">
        <w:rPr>
          <w:rFonts w:asciiTheme="minorHAnsi" w:hAnsiTheme="minorHAnsi" w:cstheme="minorHAnsi"/>
        </w:rPr>
        <w:t>”</w:t>
      </w:r>
      <w:r>
        <w:rPr>
          <w:rFonts w:asciiTheme="minorHAnsi" w:hAnsiTheme="minorHAnsi" w:cstheme="minorHAnsi"/>
        </w:rPr>
        <w:t xml:space="preserve"> table.</w:t>
      </w:r>
    </w:p>
    <w:p w:rsidR="009E182C" w:rsidRDefault="009E182C" w:rsidP="00C00C37">
      <w:pPr>
        <w:jc w:val="both"/>
        <w:rPr>
          <w:rFonts w:asciiTheme="minorHAnsi" w:hAnsiTheme="minorHAnsi" w:cstheme="minorHAnsi"/>
        </w:rPr>
      </w:pPr>
    </w:p>
    <w:p w:rsidR="004C6001" w:rsidRDefault="004C6001" w:rsidP="00C00C37">
      <w:pPr>
        <w:jc w:val="both"/>
        <w:rPr>
          <w:rFonts w:asciiTheme="minorHAnsi" w:hAnsiTheme="minorHAnsi" w:cstheme="minorHAnsi"/>
        </w:rPr>
      </w:pPr>
      <w:r>
        <w:rPr>
          <w:rFonts w:asciiTheme="minorHAnsi" w:hAnsiTheme="minorHAnsi" w:cstheme="minorHAnsi"/>
        </w:rPr>
        <w:t>For each of the different fibre sources, the JWEE</w:t>
      </w:r>
      <w:r w:rsidR="002A28AB">
        <w:rPr>
          <w:rFonts w:asciiTheme="minorHAnsi" w:hAnsiTheme="minorHAnsi" w:cstheme="minorHAnsi"/>
        </w:rPr>
        <w:t xml:space="preserve"> </w:t>
      </w:r>
      <w:r>
        <w:rPr>
          <w:rFonts w:asciiTheme="minorHAnsi" w:hAnsiTheme="minorHAnsi" w:cstheme="minorHAnsi"/>
        </w:rPr>
        <w:t>201</w:t>
      </w:r>
      <w:r w:rsidR="00F12CE8">
        <w:rPr>
          <w:rFonts w:asciiTheme="minorHAnsi" w:hAnsiTheme="minorHAnsi" w:cstheme="minorHAnsi"/>
        </w:rPr>
        <w:t>3</w:t>
      </w:r>
      <w:r>
        <w:rPr>
          <w:rFonts w:asciiTheme="minorHAnsi" w:hAnsiTheme="minorHAnsi" w:cstheme="minorHAnsi"/>
        </w:rPr>
        <w:t xml:space="preserve"> provides </w:t>
      </w:r>
      <w:r w:rsidR="003C042F">
        <w:rPr>
          <w:rFonts w:asciiTheme="minorHAnsi" w:hAnsiTheme="minorHAnsi" w:cstheme="minorHAnsi"/>
        </w:rPr>
        <w:t xml:space="preserve">default/generic </w:t>
      </w:r>
      <w:r>
        <w:rPr>
          <w:rFonts w:asciiTheme="minorHAnsi" w:hAnsiTheme="minorHAnsi" w:cstheme="minorHAnsi"/>
        </w:rPr>
        <w:t>conversion factor</w:t>
      </w:r>
      <w:r w:rsidR="002A28AB">
        <w:rPr>
          <w:rFonts w:asciiTheme="minorHAnsi" w:hAnsiTheme="minorHAnsi" w:cstheme="minorHAnsi"/>
        </w:rPr>
        <w:t>s</w:t>
      </w:r>
      <w:r>
        <w:rPr>
          <w:rFonts w:asciiTheme="minorHAnsi" w:hAnsiTheme="minorHAnsi" w:cstheme="minorHAnsi"/>
        </w:rPr>
        <w:t xml:space="preserve"> fr</w:t>
      </w:r>
      <w:r w:rsidR="002A28AB">
        <w:rPr>
          <w:rFonts w:asciiTheme="minorHAnsi" w:hAnsiTheme="minorHAnsi" w:cstheme="minorHAnsi"/>
        </w:rPr>
        <w:t>om</w:t>
      </w:r>
      <w:r>
        <w:rPr>
          <w:rFonts w:asciiTheme="minorHAnsi" w:hAnsiTheme="minorHAnsi" w:cstheme="minorHAnsi"/>
        </w:rPr>
        <w:t xml:space="preserve"> the </w:t>
      </w:r>
      <w:r w:rsidR="002A28AB">
        <w:rPr>
          <w:rFonts w:asciiTheme="minorHAnsi" w:hAnsiTheme="minorHAnsi" w:cstheme="minorHAnsi"/>
        </w:rPr>
        <w:t>o</w:t>
      </w:r>
      <w:r w:rsidRPr="004C6001">
        <w:rPr>
          <w:rFonts w:asciiTheme="minorHAnsi" w:hAnsiTheme="minorHAnsi" w:cstheme="minorHAnsi"/>
        </w:rPr>
        <w:t>riginal</w:t>
      </w:r>
      <w:r>
        <w:rPr>
          <w:rFonts w:asciiTheme="minorHAnsi" w:hAnsiTheme="minorHAnsi" w:cstheme="minorHAnsi"/>
        </w:rPr>
        <w:t xml:space="preserve"> u</w:t>
      </w:r>
      <w:r w:rsidRPr="004C6001">
        <w:rPr>
          <w:rFonts w:asciiTheme="minorHAnsi" w:hAnsiTheme="minorHAnsi" w:cstheme="minorHAnsi"/>
        </w:rPr>
        <w:t>nit</w:t>
      </w:r>
      <w:r>
        <w:rPr>
          <w:rFonts w:asciiTheme="minorHAnsi" w:hAnsiTheme="minorHAnsi" w:cstheme="minorHAnsi"/>
        </w:rPr>
        <w:t xml:space="preserve"> to:</w:t>
      </w:r>
    </w:p>
    <w:p w:rsidR="004C6001" w:rsidRDefault="004C6001" w:rsidP="00C00C37">
      <w:pPr>
        <w:ind w:firstLine="567"/>
        <w:jc w:val="both"/>
        <w:rPr>
          <w:rFonts w:asciiTheme="minorHAnsi" w:hAnsiTheme="minorHAnsi" w:cstheme="minorHAnsi"/>
        </w:rPr>
      </w:pPr>
    </w:p>
    <w:p w:rsidR="004C6001" w:rsidRPr="004C6001" w:rsidRDefault="004C6001" w:rsidP="00C00C37">
      <w:pPr>
        <w:pStyle w:val="ListParagraph"/>
        <w:numPr>
          <w:ilvl w:val="0"/>
          <w:numId w:val="25"/>
        </w:numPr>
        <w:jc w:val="both"/>
        <w:rPr>
          <w:rFonts w:asciiTheme="minorHAnsi" w:hAnsiTheme="minorHAnsi" w:cstheme="minorHAnsi"/>
        </w:rPr>
      </w:pPr>
      <w:r w:rsidRPr="004C6001">
        <w:rPr>
          <w:rFonts w:asciiTheme="minorHAnsi" w:hAnsiTheme="minorHAnsi" w:cstheme="minorHAnsi"/>
        </w:rPr>
        <w:t>Density (ρ)</w:t>
      </w:r>
    </w:p>
    <w:p w:rsidR="004C6001" w:rsidRPr="004C6001" w:rsidRDefault="004C6001" w:rsidP="00C00C37">
      <w:pPr>
        <w:pStyle w:val="ListParagraph"/>
        <w:numPr>
          <w:ilvl w:val="0"/>
          <w:numId w:val="25"/>
        </w:numPr>
        <w:jc w:val="both"/>
        <w:rPr>
          <w:rFonts w:asciiTheme="minorHAnsi" w:hAnsiTheme="minorHAnsi" w:cstheme="minorHAnsi"/>
        </w:rPr>
      </w:pPr>
      <w:r w:rsidRPr="004C6001">
        <w:rPr>
          <w:rFonts w:asciiTheme="minorHAnsi" w:hAnsiTheme="minorHAnsi" w:cstheme="minorHAnsi"/>
        </w:rPr>
        <w:t>Wood density (ρ) dry matter</w:t>
      </w:r>
    </w:p>
    <w:p w:rsidR="004C6001" w:rsidRPr="004C6001" w:rsidRDefault="004C6001" w:rsidP="00C00C37">
      <w:pPr>
        <w:pStyle w:val="ListParagraph"/>
        <w:numPr>
          <w:ilvl w:val="0"/>
          <w:numId w:val="25"/>
        </w:numPr>
        <w:jc w:val="both"/>
        <w:rPr>
          <w:rFonts w:asciiTheme="minorHAnsi" w:hAnsiTheme="minorHAnsi" w:cstheme="minorHAnsi"/>
        </w:rPr>
      </w:pPr>
      <w:r w:rsidRPr="004C6001">
        <w:rPr>
          <w:rFonts w:asciiTheme="minorHAnsi" w:hAnsiTheme="minorHAnsi" w:cstheme="minorHAnsi"/>
        </w:rPr>
        <w:t>Moisture Content wet basis (%)</w:t>
      </w:r>
    </w:p>
    <w:p w:rsidR="004C6001" w:rsidRPr="004C6001" w:rsidRDefault="004C6001" w:rsidP="00C00C37">
      <w:pPr>
        <w:pStyle w:val="ListParagraph"/>
        <w:numPr>
          <w:ilvl w:val="0"/>
          <w:numId w:val="25"/>
        </w:numPr>
        <w:jc w:val="both"/>
        <w:rPr>
          <w:rFonts w:asciiTheme="minorHAnsi" w:hAnsiTheme="minorHAnsi" w:cstheme="minorHAnsi"/>
        </w:rPr>
      </w:pPr>
      <w:r w:rsidRPr="004C6001">
        <w:rPr>
          <w:rFonts w:asciiTheme="minorHAnsi" w:hAnsiTheme="minorHAnsi" w:cstheme="minorHAnsi"/>
        </w:rPr>
        <w:t xml:space="preserve">Higher heating value of dry matter (GJ/t </w:t>
      </w:r>
      <w:proofErr w:type="spellStart"/>
      <w:r w:rsidRPr="004C6001">
        <w:rPr>
          <w:rFonts w:asciiTheme="minorHAnsi" w:hAnsiTheme="minorHAnsi" w:cstheme="minorHAnsi"/>
        </w:rPr>
        <w:t>d.m</w:t>
      </w:r>
      <w:proofErr w:type="spellEnd"/>
      <w:r w:rsidRPr="004C6001">
        <w:rPr>
          <w:rFonts w:asciiTheme="minorHAnsi" w:hAnsiTheme="minorHAnsi" w:cstheme="minorHAnsi"/>
        </w:rPr>
        <w:t>.)</w:t>
      </w:r>
    </w:p>
    <w:p w:rsidR="004C6001" w:rsidRPr="004C6001" w:rsidRDefault="004C6001" w:rsidP="00C00C37">
      <w:pPr>
        <w:pStyle w:val="ListParagraph"/>
        <w:numPr>
          <w:ilvl w:val="0"/>
          <w:numId w:val="25"/>
        </w:numPr>
        <w:jc w:val="both"/>
        <w:rPr>
          <w:rFonts w:asciiTheme="minorHAnsi" w:hAnsiTheme="minorHAnsi" w:cstheme="minorHAnsi"/>
        </w:rPr>
      </w:pPr>
      <w:r w:rsidRPr="004C6001">
        <w:rPr>
          <w:rFonts w:asciiTheme="minorHAnsi" w:hAnsiTheme="minorHAnsi" w:cstheme="minorHAnsi"/>
        </w:rPr>
        <w:t xml:space="preserve">Lower heating value (GJ/t </w:t>
      </w:r>
      <w:proofErr w:type="spellStart"/>
      <w:r w:rsidRPr="004C6001">
        <w:rPr>
          <w:rFonts w:asciiTheme="minorHAnsi" w:hAnsiTheme="minorHAnsi" w:cstheme="minorHAnsi"/>
        </w:rPr>
        <w:t>f.m</w:t>
      </w:r>
      <w:proofErr w:type="spellEnd"/>
      <w:r w:rsidRPr="004C6001">
        <w:rPr>
          <w:rFonts w:asciiTheme="minorHAnsi" w:hAnsiTheme="minorHAnsi" w:cstheme="minorHAnsi"/>
        </w:rPr>
        <w:t>.)</w:t>
      </w:r>
    </w:p>
    <w:p w:rsidR="004C6001" w:rsidRDefault="004C6001" w:rsidP="00C00C37">
      <w:pPr>
        <w:pStyle w:val="ListParagraph"/>
        <w:numPr>
          <w:ilvl w:val="0"/>
          <w:numId w:val="25"/>
        </w:numPr>
        <w:jc w:val="both"/>
        <w:rPr>
          <w:rFonts w:asciiTheme="minorHAnsi" w:hAnsiTheme="minorHAnsi" w:cstheme="minorHAnsi"/>
        </w:rPr>
      </w:pPr>
      <w:r w:rsidRPr="004C6001">
        <w:rPr>
          <w:rFonts w:asciiTheme="minorHAnsi" w:hAnsiTheme="minorHAnsi" w:cstheme="minorHAnsi"/>
        </w:rPr>
        <w:t xml:space="preserve">Wood </w:t>
      </w:r>
      <w:proofErr w:type="spellStart"/>
      <w:r w:rsidRPr="004C6001">
        <w:rPr>
          <w:rFonts w:asciiTheme="minorHAnsi" w:hAnsiTheme="minorHAnsi" w:cstheme="minorHAnsi"/>
        </w:rPr>
        <w:t>fibres</w:t>
      </w:r>
      <w:proofErr w:type="spellEnd"/>
      <w:r w:rsidRPr="004C6001">
        <w:rPr>
          <w:rFonts w:asciiTheme="minorHAnsi" w:hAnsiTheme="minorHAnsi" w:cstheme="minorHAnsi"/>
        </w:rPr>
        <w:t xml:space="preserve"> input (m³)/product output </w:t>
      </w:r>
    </w:p>
    <w:p w:rsidR="004C6001" w:rsidRDefault="004C6001" w:rsidP="00C00C37">
      <w:pPr>
        <w:jc w:val="both"/>
        <w:rPr>
          <w:rFonts w:asciiTheme="minorHAnsi" w:hAnsiTheme="minorHAnsi" w:cstheme="minorHAnsi"/>
        </w:rPr>
      </w:pPr>
    </w:p>
    <w:p w:rsidR="003C51EC" w:rsidRPr="00D82047" w:rsidRDefault="00095019" w:rsidP="0047427B">
      <w:pPr>
        <w:pStyle w:val="Heading3"/>
        <w:spacing w:before="0" w:after="0"/>
        <w:jc w:val="both"/>
      </w:pPr>
      <w:r w:rsidDel="00095019">
        <w:rPr>
          <w:rFonts w:asciiTheme="minorHAnsi" w:hAnsiTheme="minorHAnsi" w:cstheme="minorHAnsi"/>
        </w:rPr>
        <w:t xml:space="preserve"> </w:t>
      </w:r>
      <w:bookmarkStart w:id="35" w:name="_Toc335925336"/>
      <w:bookmarkStart w:id="36" w:name="_Toc336000509"/>
      <w:bookmarkStart w:id="37" w:name="_Toc326748708"/>
      <w:bookmarkStart w:id="38" w:name="_Toc407187219"/>
      <w:bookmarkEnd w:id="35"/>
      <w:bookmarkEnd w:id="36"/>
      <w:r w:rsidR="003C51EC" w:rsidRPr="00D82047">
        <w:t>“Conversion factors</w:t>
      </w:r>
      <w:r w:rsidR="00106A6C" w:rsidRPr="00D82047">
        <w:t xml:space="preserve"> volume</w:t>
      </w:r>
      <w:r w:rsidR="003C51EC" w:rsidRPr="00D82047">
        <w:t>” table</w:t>
      </w:r>
      <w:bookmarkEnd w:id="37"/>
      <w:bookmarkEnd w:id="38"/>
    </w:p>
    <w:p w:rsidR="00C00C37" w:rsidRDefault="00C00C37" w:rsidP="00C00C37">
      <w:pPr>
        <w:jc w:val="both"/>
        <w:rPr>
          <w:rFonts w:asciiTheme="minorHAnsi" w:hAnsiTheme="minorHAnsi" w:cstheme="minorHAnsi"/>
        </w:rPr>
      </w:pPr>
    </w:p>
    <w:p w:rsidR="000A2590" w:rsidRDefault="006E24AA" w:rsidP="00C00C37">
      <w:pPr>
        <w:jc w:val="both"/>
      </w:pPr>
      <w:r>
        <w:rPr>
          <w:rFonts w:asciiTheme="minorHAnsi" w:hAnsiTheme="minorHAnsi" w:cstheme="minorHAnsi"/>
        </w:rPr>
        <w:t xml:space="preserve">Data in the </w:t>
      </w:r>
      <w:r w:rsidR="00AF4F1F">
        <w:rPr>
          <w:rFonts w:asciiTheme="minorHAnsi" w:hAnsiTheme="minorHAnsi" w:cstheme="minorHAnsi"/>
        </w:rPr>
        <w:t xml:space="preserve">table </w:t>
      </w:r>
      <w:r>
        <w:rPr>
          <w:rFonts w:asciiTheme="minorHAnsi" w:hAnsiTheme="minorHAnsi" w:cstheme="minorHAnsi"/>
        </w:rPr>
        <w:t>“C</w:t>
      </w:r>
      <w:r w:rsidRPr="006E24AA">
        <w:rPr>
          <w:rFonts w:asciiTheme="minorHAnsi" w:hAnsiTheme="minorHAnsi" w:cstheme="minorHAnsi"/>
        </w:rPr>
        <w:t>onversion factors</w:t>
      </w:r>
      <w:r>
        <w:rPr>
          <w:rFonts w:asciiTheme="minorHAnsi" w:hAnsiTheme="minorHAnsi" w:cstheme="minorHAnsi"/>
        </w:rPr>
        <w:t xml:space="preserve"> volume” </w:t>
      </w:r>
      <w:r w:rsidR="00AF4F1F">
        <w:rPr>
          <w:rFonts w:asciiTheme="minorHAnsi" w:hAnsiTheme="minorHAnsi" w:cstheme="minorHAnsi"/>
        </w:rPr>
        <w:t>is</w:t>
      </w:r>
      <w:r>
        <w:rPr>
          <w:rFonts w:asciiTheme="minorHAnsi" w:hAnsiTheme="minorHAnsi" w:cstheme="minorHAnsi"/>
        </w:rPr>
        <w:t xml:space="preserve"> for information only and not directly applied and linked to the data collection tables. T</w:t>
      </w:r>
      <w:r w:rsidR="00586DA3">
        <w:rPr>
          <w:rFonts w:asciiTheme="minorHAnsi" w:hAnsiTheme="minorHAnsi" w:cstheme="minorHAnsi"/>
        </w:rPr>
        <w:t xml:space="preserve">hey represent </w:t>
      </w:r>
      <w:r>
        <w:rPr>
          <w:rFonts w:asciiTheme="minorHAnsi" w:hAnsiTheme="minorHAnsi" w:cstheme="minorHAnsi"/>
        </w:rPr>
        <w:t xml:space="preserve">default values and may vary </w:t>
      </w:r>
      <w:r w:rsidR="002A28AB">
        <w:rPr>
          <w:rFonts w:asciiTheme="minorHAnsi" w:hAnsiTheme="minorHAnsi" w:cstheme="minorHAnsi"/>
        </w:rPr>
        <w:t xml:space="preserve">according </w:t>
      </w:r>
      <w:r>
        <w:rPr>
          <w:rFonts w:asciiTheme="minorHAnsi" w:hAnsiTheme="minorHAnsi" w:cstheme="minorHAnsi"/>
        </w:rPr>
        <w:t>to local conditions and definitions.</w:t>
      </w:r>
      <w:r w:rsidR="00586DA3">
        <w:rPr>
          <w:rFonts w:asciiTheme="minorHAnsi" w:hAnsiTheme="minorHAnsi" w:cstheme="minorHAnsi"/>
        </w:rPr>
        <w:t xml:space="preserve"> It presents conversion factors from and to </w:t>
      </w:r>
      <w:r w:rsidR="000A2590">
        <w:rPr>
          <w:rFonts w:asciiTheme="minorHAnsi" w:hAnsiTheme="minorHAnsi" w:cstheme="minorHAnsi"/>
        </w:rPr>
        <w:t>solid m³</w:t>
      </w:r>
      <w:r w:rsidR="00AF4F1F">
        <w:rPr>
          <w:rFonts w:asciiTheme="minorHAnsi" w:hAnsiTheme="minorHAnsi" w:cstheme="minorHAnsi"/>
        </w:rPr>
        <w:t xml:space="preserve"> under bark (i.e., excluding bark)</w:t>
      </w:r>
      <w:r w:rsidR="00586DA3">
        <w:rPr>
          <w:rFonts w:asciiTheme="minorHAnsi" w:hAnsiTheme="minorHAnsi" w:cstheme="minorHAnsi"/>
        </w:rPr>
        <w:t>.</w:t>
      </w:r>
    </w:p>
    <w:p w:rsidR="005230F0" w:rsidRDefault="005230F0" w:rsidP="0047427B"/>
    <w:p w:rsidR="005230F0" w:rsidRDefault="005230F0" w:rsidP="0047427B"/>
    <w:p w:rsidR="000A2590" w:rsidRDefault="000A2590" w:rsidP="0047427B">
      <w:pPr>
        <w:pStyle w:val="Caption"/>
        <w:keepNext/>
        <w:spacing w:after="0"/>
        <w:jc w:val="both"/>
      </w:pPr>
      <w:bookmarkStart w:id="39" w:name="_Toc326679959"/>
      <w:bookmarkStart w:id="40" w:name="_Toc407187887"/>
      <w:r>
        <w:t xml:space="preserve">Table </w:t>
      </w:r>
      <w:fldSimple w:instr=" SEQ Table \* ARABIC ">
        <w:r w:rsidR="00D55945">
          <w:rPr>
            <w:noProof/>
          </w:rPr>
          <w:t>1</w:t>
        </w:r>
      </w:fldSimple>
      <w:r>
        <w:t>: Co</w:t>
      </w:r>
      <w:r w:rsidR="009E183F">
        <w:t>n</w:t>
      </w:r>
      <w:r>
        <w:t>ve</w:t>
      </w:r>
      <w:r w:rsidR="009E183F">
        <w:t>r</w:t>
      </w:r>
      <w:r>
        <w:t>sion factor volumes solid m³ to other</w:t>
      </w:r>
      <w:bookmarkEnd w:id="39"/>
      <w:bookmarkEnd w:id="40"/>
    </w:p>
    <w:p w:rsidR="005230F0" w:rsidRPr="005230F0" w:rsidRDefault="005230F0" w:rsidP="0047427B"/>
    <w:p w:rsidR="00106A6C" w:rsidRDefault="00106A6C" w:rsidP="00C00C37">
      <w:pPr>
        <w:jc w:val="both"/>
      </w:pPr>
      <w:r w:rsidRPr="00106A6C">
        <w:rPr>
          <w:noProof/>
          <w:lang w:val="en-GB" w:eastAsia="en-GB"/>
        </w:rPr>
        <w:drawing>
          <wp:inline distT="0" distB="0" distL="0" distR="0" wp14:anchorId="59D83E7C" wp14:editId="57E20B83">
            <wp:extent cx="4867758" cy="147637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67758" cy="1476375"/>
                    </a:xfrm>
                    <a:prstGeom prst="rect">
                      <a:avLst/>
                    </a:prstGeom>
                    <a:noFill/>
                    <a:ln>
                      <a:noFill/>
                    </a:ln>
                  </pic:spPr>
                </pic:pic>
              </a:graphicData>
            </a:graphic>
          </wp:inline>
        </w:drawing>
      </w:r>
    </w:p>
    <w:p w:rsidR="004C6001" w:rsidRDefault="004C6001" w:rsidP="00C00C37">
      <w:pPr>
        <w:jc w:val="both"/>
      </w:pPr>
    </w:p>
    <w:p w:rsidR="000A2590" w:rsidRDefault="000A2590" w:rsidP="0047427B">
      <w:pPr>
        <w:pStyle w:val="Caption"/>
        <w:keepNext/>
        <w:spacing w:after="0"/>
        <w:jc w:val="both"/>
      </w:pPr>
      <w:bookmarkStart w:id="41" w:name="_Toc326679960"/>
      <w:bookmarkStart w:id="42" w:name="_Toc407187888"/>
      <w:r>
        <w:t xml:space="preserve">Table </w:t>
      </w:r>
      <w:fldSimple w:instr=" SEQ Table \* ARABIC ">
        <w:r w:rsidR="00D55945">
          <w:rPr>
            <w:noProof/>
          </w:rPr>
          <w:t>2</w:t>
        </w:r>
      </w:fldSimple>
      <w:r>
        <w:t xml:space="preserve">: </w:t>
      </w:r>
      <w:r w:rsidRPr="00E0480E">
        <w:t>Co</w:t>
      </w:r>
      <w:r w:rsidR="009E183F">
        <w:t>n</w:t>
      </w:r>
      <w:r w:rsidRPr="00E0480E">
        <w:t>ve</w:t>
      </w:r>
      <w:r w:rsidR="009E183F">
        <w:t>r</w:t>
      </w:r>
      <w:r w:rsidRPr="00E0480E">
        <w:t>sion factor volumes other</w:t>
      </w:r>
      <w:r>
        <w:t xml:space="preserve"> to solid m³</w:t>
      </w:r>
      <w:bookmarkEnd w:id="41"/>
      <w:bookmarkEnd w:id="42"/>
    </w:p>
    <w:p w:rsidR="004C6001" w:rsidRDefault="00106A6C" w:rsidP="00C00C37">
      <w:pPr>
        <w:jc w:val="both"/>
      </w:pPr>
      <w:r w:rsidRPr="00106A6C">
        <w:rPr>
          <w:noProof/>
          <w:lang w:val="en-GB" w:eastAsia="en-GB"/>
        </w:rPr>
        <w:drawing>
          <wp:inline distT="0" distB="0" distL="0" distR="0" wp14:anchorId="15E09315" wp14:editId="63775515">
            <wp:extent cx="4836353" cy="146685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36353" cy="1466850"/>
                    </a:xfrm>
                    <a:prstGeom prst="rect">
                      <a:avLst/>
                    </a:prstGeom>
                    <a:noFill/>
                    <a:ln>
                      <a:noFill/>
                    </a:ln>
                  </pic:spPr>
                </pic:pic>
              </a:graphicData>
            </a:graphic>
          </wp:inline>
        </w:drawing>
      </w:r>
    </w:p>
    <w:p w:rsidR="000A2590" w:rsidRDefault="000A2590" w:rsidP="00C00C37">
      <w:pPr>
        <w:jc w:val="both"/>
        <w:rPr>
          <w:rFonts w:asciiTheme="minorHAnsi" w:hAnsiTheme="minorHAnsi" w:cs="Arial"/>
          <w:b/>
          <w:bCs/>
          <w:iCs/>
          <w:sz w:val="26"/>
          <w:szCs w:val="28"/>
        </w:rPr>
      </w:pPr>
      <w:bookmarkStart w:id="43" w:name="_Toc325896176"/>
    </w:p>
    <w:p w:rsidR="001136A3" w:rsidRDefault="001136A3" w:rsidP="0047427B">
      <w:pPr>
        <w:pStyle w:val="Heading2"/>
        <w:spacing w:before="0" w:after="0"/>
      </w:pPr>
      <w:bookmarkStart w:id="44" w:name="_Toc326748709"/>
      <w:bookmarkStart w:id="45" w:name="_Toc407187220"/>
      <w:r w:rsidRPr="007433E7">
        <w:t xml:space="preserve">Results </w:t>
      </w:r>
      <w:r w:rsidR="004B696C">
        <w:t>t</w:t>
      </w:r>
      <w:r w:rsidR="000F0DC2" w:rsidRPr="007433E7">
        <w:t>able</w:t>
      </w:r>
      <w:r w:rsidR="005C25B7" w:rsidRPr="007433E7">
        <w:t>s</w:t>
      </w:r>
      <w:bookmarkStart w:id="46" w:name="_Toc325899211"/>
      <w:bookmarkStart w:id="47" w:name="_Toc325899647"/>
      <w:bookmarkStart w:id="48" w:name="_Toc325903039"/>
      <w:bookmarkStart w:id="49" w:name="_Toc325909634"/>
      <w:bookmarkStart w:id="50" w:name="_Toc325909767"/>
      <w:bookmarkStart w:id="51" w:name="_Toc325909850"/>
      <w:bookmarkStart w:id="52" w:name="_Toc325909927"/>
      <w:bookmarkStart w:id="53" w:name="_Toc325973782"/>
      <w:bookmarkStart w:id="54" w:name="_Toc325973812"/>
      <w:bookmarkStart w:id="55" w:name="_Toc326048942"/>
      <w:bookmarkStart w:id="56" w:name="_Toc325896178"/>
      <w:bookmarkEnd w:id="43"/>
      <w:bookmarkEnd w:id="44"/>
      <w:bookmarkEnd w:id="45"/>
      <w:bookmarkEnd w:id="46"/>
      <w:bookmarkEnd w:id="47"/>
      <w:bookmarkEnd w:id="48"/>
      <w:bookmarkEnd w:id="49"/>
      <w:bookmarkEnd w:id="50"/>
      <w:bookmarkEnd w:id="51"/>
      <w:bookmarkEnd w:id="52"/>
      <w:bookmarkEnd w:id="53"/>
      <w:bookmarkEnd w:id="54"/>
      <w:bookmarkEnd w:id="55"/>
    </w:p>
    <w:p w:rsidR="00C00C37" w:rsidRPr="00C00C37" w:rsidRDefault="00C00C37" w:rsidP="0047427B"/>
    <w:p w:rsidR="003C51EC" w:rsidRPr="00D82047" w:rsidRDefault="003C51EC" w:rsidP="0047427B">
      <w:pPr>
        <w:pStyle w:val="Heading3"/>
        <w:spacing w:before="0" w:after="0"/>
        <w:jc w:val="both"/>
      </w:pPr>
      <w:bookmarkStart w:id="57" w:name="_Toc326748710"/>
      <w:bookmarkStart w:id="58" w:name="_Toc407187221"/>
      <w:r w:rsidRPr="00D82047">
        <w:t>“Aggregated data S -&gt; U” table</w:t>
      </w:r>
      <w:bookmarkEnd w:id="57"/>
      <w:bookmarkEnd w:id="58"/>
    </w:p>
    <w:bookmarkEnd w:id="56"/>
    <w:p w:rsidR="00C00C37" w:rsidRDefault="00C00C37" w:rsidP="00C00C37">
      <w:pPr>
        <w:jc w:val="both"/>
        <w:rPr>
          <w:rFonts w:ascii="Calibri" w:hAnsi="Calibri" w:cs="Calibri"/>
        </w:rPr>
      </w:pPr>
    </w:p>
    <w:p w:rsidR="000A55BB" w:rsidRDefault="00A345CD" w:rsidP="00C00C37">
      <w:pPr>
        <w:jc w:val="both"/>
        <w:rPr>
          <w:rFonts w:ascii="Calibri" w:hAnsi="Calibri" w:cs="Calibri"/>
        </w:rPr>
      </w:pPr>
      <w:r w:rsidRPr="001349F7">
        <w:rPr>
          <w:rFonts w:ascii="Calibri" w:hAnsi="Calibri" w:cs="Calibri"/>
        </w:rPr>
        <w:t xml:space="preserve">This table is meant to provide an instant </w:t>
      </w:r>
      <w:r w:rsidR="00AF4F1F">
        <w:rPr>
          <w:rFonts w:ascii="Calibri" w:hAnsi="Calibri" w:cs="Calibri"/>
        </w:rPr>
        <w:t>overview</w:t>
      </w:r>
      <w:r w:rsidR="00AF4F1F" w:rsidRPr="001349F7">
        <w:rPr>
          <w:rFonts w:ascii="Calibri" w:hAnsi="Calibri" w:cs="Calibri"/>
        </w:rPr>
        <w:t xml:space="preserve"> </w:t>
      </w:r>
      <w:r w:rsidRPr="001349F7">
        <w:rPr>
          <w:rFonts w:ascii="Calibri" w:hAnsi="Calibri" w:cs="Calibri"/>
        </w:rPr>
        <w:t>of the results provided when filling in the JWEE Table T IV.</w:t>
      </w:r>
      <w:r w:rsidR="00B47037" w:rsidRPr="001349F7">
        <w:rPr>
          <w:rFonts w:ascii="Calibri" w:hAnsi="Calibri" w:cs="Calibri"/>
        </w:rPr>
        <w:t xml:space="preserve"> It presents wood energy flows from the different source</w:t>
      </w:r>
      <w:r w:rsidR="0049710E">
        <w:rPr>
          <w:rFonts w:ascii="Calibri" w:hAnsi="Calibri" w:cs="Calibri"/>
        </w:rPr>
        <w:t>s</w:t>
      </w:r>
      <w:r w:rsidR="00B47037" w:rsidRPr="001349F7">
        <w:rPr>
          <w:rFonts w:ascii="Calibri" w:hAnsi="Calibri" w:cs="Calibri"/>
        </w:rPr>
        <w:t xml:space="preserve"> (S1-S4) to the different users (U1-U4) in a highly aggregated </w:t>
      </w:r>
      <w:r w:rsidR="00AF4F1F">
        <w:rPr>
          <w:rFonts w:ascii="Calibri" w:hAnsi="Calibri" w:cs="Calibri"/>
        </w:rPr>
        <w:t>format.</w:t>
      </w:r>
      <w:r w:rsidR="00AF4F1F" w:rsidRPr="001349F7">
        <w:rPr>
          <w:rFonts w:ascii="Calibri" w:hAnsi="Calibri" w:cs="Calibri"/>
        </w:rPr>
        <w:t xml:space="preserve"> </w:t>
      </w:r>
      <w:r w:rsidR="000674DA">
        <w:rPr>
          <w:rFonts w:ascii="Calibri" w:hAnsi="Calibri" w:cs="Calibri"/>
        </w:rPr>
        <w:t>This</w:t>
      </w:r>
      <w:r w:rsidR="000674DA" w:rsidRPr="001349F7">
        <w:rPr>
          <w:rFonts w:ascii="Calibri" w:hAnsi="Calibri" w:cs="Calibri"/>
        </w:rPr>
        <w:t xml:space="preserve"> table reflects the main information presented in </w:t>
      </w:r>
      <w:r w:rsidR="000674DA" w:rsidRPr="00561237">
        <w:rPr>
          <w:rFonts w:ascii="Calibri" w:hAnsi="Calibri" w:cs="Calibri"/>
        </w:rPr>
        <w:t xml:space="preserve">country profiles and also provides the basic information for calculating indicators on wood energy use. </w:t>
      </w:r>
    </w:p>
    <w:p w:rsidR="00586DA3" w:rsidRDefault="00586DA3" w:rsidP="0047427B">
      <w:pPr>
        <w:pStyle w:val="Caption"/>
        <w:keepNext/>
        <w:spacing w:after="0"/>
        <w:jc w:val="both"/>
      </w:pPr>
    </w:p>
    <w:p w:rsidR="00586DA3" w:rsidRDefault="00586DA3" w:rsidP="0047427B">
      <w:pPr>
        <w:pStyle w:val="Caption"/>
        <w:keepNext/>
        <w:spacing w:after="0"/>
        <w:jc w:val="both"/>
      </w:pPr>
      <w:bookmarkStart w:id="59" w:name="_Toc326679961"/>
      <w:bookmarkStart w:id="60" w:name="_Toc407187889"/>
      <w:r>
        <w:t xml:space="preserve">Table </w:t>
      </w:r>
      <w:fldSimple w:instr=" SEQ Table \* ARABIC ">
        <w:r w:rsidR="00D55945">
          <w:rPr>
            <w:noProof/>
          </w:rPr>
          <w:t>3</w:t>
        </w:r>
      </w:fldSimple>
      <w:r>
        <w:t xml:space="preserve">: </w:t>
      </w:r>
      <w:r w:rsidRPr="0019726E">
        <w:t>Aggregated data S -&gt; U” table</w:t>
      </w:r>
      <w:bookmarkEnd w:id="59"/>
      <w:bookmarkEnd w:id="60"/>
    </w:p>
    <w:p w:rsidR="005230F0" w:rsidRPr="005230F0" w:rsidRDefault="005230F0" w:rsidP="0047427B"/>
    <w:p w:rsidR="00A013BC" w:rsidRPr="001349F7" w:rsidRDefault="00F615B3" w:rsidP="00C00C37">
      <w:pPr>
        <w:ind w:firstLine="567"/>
        <w:jc w:val="both"/>
        <w:rPr>
          <w:rFonts w:ascii="Calibri" w:hAnsi="Calibri" w:cs="Calibri"/>
        </w:rPr>
      </w:pPr>
      <w:r>
        <w:rPr>
          <w:rFonts w:ascii="Calibri" w:hAnsi="Calibri" w:cs="Calibri"/>
          <w:noProof/>
          <w:lang w:val="en-GB" w:eastAsia="en-GB"/>
        </w:rPr>
        <w:drawing>
          <wp:inline distT="0" distB="0" distL="0" distR="0" wp14:anchorId="7407F944" wp14:editId="70F2A275">
            <wp:extent cx="5762625" cy="1323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62625" cy="1323975"/>
                    </a:xfrm>
                    <a:prstGeom prst="rect">
                      <a:avLst/>
                    </a:prstGeom>
                    <a:noFill/>
                    <a:ln>
                      <a:noFill/>
                    </a:ln>
                  </pic:spPr>
                </pic:pic>
              </a:graphicData>
            </a:graphic>
          </wp:inline>
        </w:drawing>
      </w:r>
    </w:p>
    <w:p w:rsidR="000A55BB" w:rsidRDefault="000A55BB" w:rsidP="00A013BC">
      <w:pPr>
        <w:ind w:firstLine="567"/>
        <w:jc w:val="both"/>
        <w:rPr>
          <w:rFonts w:ascii="Calibri" w:hAnsi="Calibri" w:cs="Calibri"/>
        </w:rPr>
      </w:pPr>
    </w:p>
    <w:p w:rsidR="0038048C" w:rsidRPr="001349F7" w:rsidRDefault="0075181F" w:rsidP="00C00C37">
      <w:pPr>
        <w:jc w:val="both"/>
        <w:rPr>
          <w:rFonts w:ascii="Calibri" w:hAnsi="Calibri" w:cs="Calibri"/>
        </w:rPr>
      </w:pPr>
      <w:r w:rsidRPr="001D05A6">
        <w:rPr>
          <w:rFonts w:ascii="Calibri" w:hAnsi="Calibri" w:cs="Calibri"/>
        </w:rPr>
        <w:t>All values of this table are presented in 1</w:t>
      </w:r>
      <w:r w:rsidRPr="00596A2C">
        <w:rPr>
          <w:rFonts w:ascii="Calibri" w:hAnsi="Calibri" w:cs="Calibri"/>
        </w:rPr>
        <w:t xml:space="preserve">000 m³ as </w:t>
      </w:r>
      <w:r w:rsidR="0049710E" w:rsidRPr="00596A2C">
        <w:rPr>
          <w:rFonts w:ascii="Calibri" w:hAnsi="Calibri" w:cs="Calibri"/>
        </w:rPr>
        <w:t xml:space="preserve">a </w:t>
      </w:r>
      <w:r w:rsidRPr="00596A2C">
        <w:rPr>
          <w:rFonts w:ascii="Calibri" w:hAnsi="Calibri" w:cs="Calibri"/>
        </w:rPr>
        <w:t>unique, single unit</w:t>
      </w:r>
      <w:r w:rsidR="006C5D8E" w:rsidRPr="00596A2C">
        <w:rPr>
          <w:rFonts w:ascii="Calibri" w:hAnsi="Calibri" w:cs="Calibri"/>
        </w:rPr>
        <w:t>, using the conversion factors of the “conversion factors</w:t>
      </w:r>
      <w:r w:rsidR="00EE388C" w:rsidRPr="00D4451B">
        <w:rPr>
          <w:rFonts w:ascii="Calibri" w:hAnsi="Calibri" w:cs="Calibri"/>
        </w:rPr>
        <w:t xml:space="preserve"> energy</w:t>
      </w:r>
      <w:r w:rsidR="006C5D8E" w:rsidRPr="00D4451B">
        <w:rPr>
          <w:rFonts w:ascii="Calibri" w:hAnsi="Calibri" w:cs="Calibri"/>
        </w:rPr>
        <w:t>” table</w:t>
      </w:r>
      <w:r w:rsidRPr="001D05A6">
        <w:rPr>
          <w:rFonts w:ascii="Calibri" w:hAnsi="Calibri" w:cs="Calibri"/>
        </w:rPr>
        <w:t xml:space="preserve">. </w:t>
      </w:r>
      <w:r w:rsidR="00A345CD" w:rsidRPr="00596A2C">
        <w:rPr>
          <w:rFonts w:ascii="Calibri" w:hAnsi="Calibri" w:cs="Calibri"/>
        </w:rPr>
        <w:t>It</w:t>
      </w:r>
      <w:r w:rsidR="00862C21" w:rsidRPr="00596A2C">
        <w:rPr>
          <w:rFonts w:ascii="Calibri" w:hAnsi="Calibri" w:cs="Calibri"/>
        </w:rPr>
        <w:t xml:space="preserve"> enables</w:t>
      </w:r>
      <w:r w:rsidR="00862C21" w:rsidRPr="001349F7">
        <w:rPr>
          <w:rFonts w:ascii="Calibri" w:hAnsi="Calibri" w:cs="Calibri"/>
        </w:rPr>
        <w:t xml:space="preserve"> </w:t>
      </w:r>
      <w:r w:rsidR="00AF4F1F">
        <w:rPr>
          <w:rFonts w:ascii="Calibri" w:hAnsi="Calibri" w:cs="Calibri"/>
        </w:rPr>
        <w:t>correspondent</w:t>
      </w:r>
      <w:r w:rsidR="003B279D">
        <w:rPr>
          <w:rFonts w:ascii="Calibri" w:hAnsi="Calibri" w:cs="Calibri"/>
        </w:rPr>
        <w:t>s</w:t>
      </w:r>
      <w:r w:rsidR="00862C21" w:rsidRPr="001349F7">
        <w:rPr>
          <w:rFonts w:ascii="Calibri" w:hAnsi="Calibri" w:cs="Calibri"/>
        </w:rPr>
        <w:t xml:space="preserve"> and experts to immediately </w:t>
      </w:r>
      <w:r w:rsidR="00891D0F" w:rsidRPr="001349F7">
        <w:rPr>
          <w:rFonts w:ascii="Calibri" w:hAnsi="Calibri" w:cs="Calibri"/>
        </w:rPr>
        <w:t>c</w:t>
      </w:r>
      <w:r w:rsidR="00891D0F">
        <w:rPr>
          <w:rFonts w:ascii="Calibri" w:hAnsi="Calibri" w:cs="Calibri"/>
        </w:rPr>
        <w:t>heck</w:t>
      </w:r>
      <w:r w:rsidR="00891D0F" w:rsidRPr="001349F7">
        <w:rPr>
          <w:rFonts w:ascii="Calibri" w:hAnsi="Calibri" w:cs="Calibri"/>
        </w:rPr>
        <w:t xml:space="preserve"> </w:t>
      </w:r>
      <w:r w:rsidR="00862C21" w:rsidRPr="001349F7">
        <w:rPr>
          <w:rFonts w:ascii="Calibri" w:hAnsi="Calibri" w:cs="Calibri"/>
        </w:rPr>
        <w:t xml:space="preserve">their values </w:t>
      </w:r>
      <w:r w:rsidR="00891D0F">
        <w:rPr>
          <w:rFonts w:ascii="Calibri" w:hAnsi="Calibri" w:cs="Calibri"/>
        </w:rPr>
        <w:t xml:space="preserve">and </w:t>
      </w:r>
      <w:r w:rsidR="00862C21" w:rsidRPr="001349F7">
        <w:rPr>
          <w:rFonts w:ascii="Calibri" w:hAnsi="Calibri" w:cs="Calibri"/>
        </w:rPr>
        <w:t>verify the consistency of the data</w:t>
      </w:r>
      <w:r w:rsidR="00891D0F">
        <w:rPr>
          <w:rFonts w:ascii="Calibri" w:hAnsi="Calibri" w:cs="Calibri"/>
        </w:rPr>
        <w:t xml:space="preserve"> before submission</w:t>
      </w:r>
      <w:r w:rsidR="00862C21" w:rsidRPr="001349F7">
        <w:rPr>
          <w:rFonts w:ascii="Calibri" w:hAnsi="Calibri" w:cs="Calibri"/>
        </w:rPr>
        <w:t>.</w:t>
      </w:r>
      <w:r w:rsidR="006C5D8E" w:rsidRPr="001349F7">
        <w:rPr>
          <w:rFonts w:ascii="Calibri" w:hAnsi="Calibri" w:cs="Calibri"/>
        </w:rPr>
        <w:t xml:space="preserve"> </w:t>
      </w:r>
      <w:r w:rsidR="00EE388C" w:rsidRPr="00EE388C">
        <w:rPr>
          <w:rFonts w:ascii="Calibri" w:hAnsi="Calibri" w:cs="Calibri"/>
          <w:b/>
        </w:rPr>
        <w:t>This table should not be modified</w:t>
      </w:r>
      <w:r w:rsidR="00EE388C" w:rsidRPr="00EE388C">
        <w:rPr>
          <w:rFonts w:ascii="Calibri" w:hAnsi="Calibri" w:cs="Calibri"/>
        </w:rPr>
        <w:t xml:space="preserve"> by </w:t>
      </w:r>
      <w:r w:rsidR="00AF4F1F">
        <w:rPr>
          <w:rFonts w:ascii="Calibri" w:hAnsi="Calibri" w:cs="Calibri"/>
        </w:rPr>
        <w:t>correspo</w:t>
      </w:r>
      <w:r w:rsidR="00684D0D">
        <w:rPr>
          <w:rFonts w:ascii="Calibri" w:hAnsi="Calibri" w:cs="Calibri"/>
        </w:rPr>
        <w:t>n</w:t>
      </w:r>
      <w:r w:rsidR="00AF4F1F">
        <w:rPr>
          <w:rFonts w:ascii="Calibri" w:hAnsi="Calibri" w:cs="Calibri"/>
        </w:rPr>
        <w:t>dent</w:t>
      </w:r>
      <w:r w:rsidR="00EE388C" w:rsidRPr="00EE388C">
        <w:rPr>
          <w:rFonts w:ascii="Calibri" w:hAnsi="Calibri" w:cs="Calibri"/>
        </w:rPr>
        <w:t xml:space="preserve">s. Only in the case of </w:t>
      </w:r>
      <w:r w:rsidR="00EE388C" w:rsidRPr="00EE388C">
        <w:rPr>
          <w:rFonts w:ascii="Calibri" w:hAnsi="Calibri" w:cs="Calibri"/>
        </w:rPr>
        <w:lastRenderedPageBreak/>
        <w:t xml:space="preserve">insufficient resources to complete Tables I-IV, countries </w:t>
      </w:r>
      <w:r w:rsidR="00EE388C">
        <w:rPr>
          <w:rFonts w:ascii="Calibri" w:hAnsi="Calibri" w:cs="Calibri"/>
        </w:rPr>
        <w:t xml:space="preserve">may </w:t>
      </w:r>
      <w:r w:rsidR="00EE388C" w:rsidRPr="00EE388C">
        <w:rPr>
          <w:rFonts w:ascii="Calibri" w:hAnsi="Calibri" w:cs="Calibri"/>
        </w:rPr>
        <w:t>enter aggregated data directly into this table</w:t>
      </w:r>
      <w:r w:rsidR="00EE388C">
        <w:rPr>
          <w:rFonts w:ascii="Calibri" w:hAnsi="Calibri" w:cs="Calibri"/>
        </w:rPr>
        <w:t>.</w:t>
      </w:r>
      <w:r w:rsidR="00CD5B27">
        <w:rPr>
          <w:rFonts w:ascii="Calibri" w:hAnsi="Calibri" w:cs="Calibri"/>
        </w:rPr>
        <w:t xml:space="preserve"> </w:t>
      </w:r>
    </w:p>
    <w:p w:rsidR="0047427B" w:rsidRDefault="0047427B" w:rsidP="00C00C37">
      <w:pPr>
        <w:jc w:val="both"/>
        <w:rPr>
          <w:rFonts w:ascii="Calibri" w:hAnsi="Calibri" w:cs="Calibri"/>
          <w:b/>
        </w:rPr>
      </w:pPr>
    </w:p>
    <w:p w:rsidR="00A345CD" w:rsidRPr="001349F7" w:rsidRDefault="00A345CD" w:rsidP="00C00C37">
      <w:pPr>
        <w:jc w:val="both"/>
        <w:rPr>
          <w:rFonts w:ascii="Calibri" w:hAnsi="Calibri" w:cs="Calibri"/>
          <w:b/>
        </w:rPr>
      </w:pPr>
      <w:r w:rsidRPr="001349F7">
        <w:rPr>
          <w:rFonts w:ascii="Calibri" w:hAnsi="Calibri" w:cs="Calibri"/>
          <w:b/>
        </w:rPr>
        <w:t>S1 Direct</w:t>
      </w:r>
    </w:p>
    <w:p w:rsidR="00A345CD" w:rsidRPr="001349F7" w:rsidRDefault="00A345CD" w:rsidP="00C00C37">
      <w:pPr>
        <w:jc w:val="both"/>
        <w:rPr>
          <w:rFonts w:ascii="Calibri" w:hAnsi="Calibri" w:cs="Calibri"/>
        </w:rPr>
      </w:pPr>
      <w:r w:rsidRPr="001349F7">
        <w:rPr>
          <w:rFonts w:ascii="Calibri" w:hAnsi="Calibri" w:cs="Calibri"/>
        </w:rPr>
        <w:t xml:space="preserve">Any wood fibre entering energy production without any further treatment or conversion. It comprises removals from forests and outside. This comprises also any wood defined by the FAO as coming from “Other Wooded Land” (OWL) and “Trees Outside Forests”, but is wider than these two definitions. It comprises any woody biomass from any land use and covers amongst others infrastructure maintenance (roads, railway, power transmission lines, pipelines, etc.), hedgerows, agricultural residues from fruit tree orchards, wood from gardens and parks, etc. It comprises any form of woody biomass, such as green chips, </w:t>
      </w:r>
      <w:proofErr w:type="spellStart"/>
      <w:r w:rsidRPr="001349F7">
        <w:rPr>
          <w:rFonts w:ascii="Calibri" w:hAnsi="Calibri" w:cs="Calibri"/>
        </w:rPr>
        <w:t>roundwood</w:t>
      </w:r>
      <w:proofErr w:type="spellEnd"/>
      <w:r w:rsidRPr="001349F7">
        <w:rPr>
          <w:rFonts w:ascii="Calibri" w:hAnsi="Calibri" w:cs="Calibri"/>
        </w:rPr>
        <w:t xml:space="preserve"> or split, stacked or loose from any part of the trees such as roots, </w:t>
      </w:r>
      <w:proofErr w:type="spellStart"/>
      <w:r w:rsidRPr="001349F7">
        <w:rPr>
          <w:rFonts w:ascii="Calibri" w:hAnsi="Calibri" w:cs="Calibri"/>
        </w:rPr>
        <w:t>stemwood</w:t>
      </w:r>
      <w:proofErr w:type="spellEnd"/>
      <w:r w:rsidRPr="001349F7">
        <w:rPr>
          <w:rFonts w:ascii="Calibri" w:hAnsi="Calibri" w:cs="Calibri"/>
        </w:rPr>
        <w:t xml:space="preserve"> and branches, fruits and shells.</w:t>
      </w:r>
    </w:p>
    <w:p w:rsidR="00A345CD" w:rsidRPr="001349F7" w:rsidRDefault="00A345CD" w:rsidP="0047427B">
      <w:pPr>
        <w:jc w:val="both"/>
        <w:rPr>
          <w:rFonts w:ascii="Calibri" w:hAnsi="Calibri" w:cs="Calibri"/>
          <w:b/>
        </w:rPr>
      </w:pPr>
    </w:p>
    <w:p w:rsidR="00A345CD" w:rsidRPr="001349F7" w:rsidRDefault="00A345CD" w:rsidP="00C00C37">
      <w:pPr>
        <w:jc w:val="both"/>
        <w:rPr>
          <w:rFonts w:ascii="Calibri" w:hAnsi="Calibri" w:cs="Calibri"/>
          <w:b/>
        </w:rPr>
      </w:pPr>
      <w:r w:rsidRPr="001349F7">
        <w:rPr>
          <w:rFonts w:ascii="Calibri" w:hAnsi="Calibri" w:cs="Calibri"/>
          <w:b/>
        </w:rPr>
        <w:t>S2 Indirect</w:t>
      </w:r>
    </w:p>
    <w:p w:rsidR="00A345CD" w:rsidRPr="001349F7" w:rsidRDefault="00A345CD" w:rsidP="00C00C37">
      <w:pPr>
        <w:jc w:val="both"/>
        <w:rPr>
          <w:rFonts w:ascii="Calibri" w:hAnsi="Calibri" w:cs="Calibri"/>
        </w:rPr>
      </w:pPr>
      <w:r w:rsidRPr="001349F7">
        <w:rPr>
          <w:rFonts w:ascii="Calibri" w:hAnsi="Calibri" w:cs="Calibri"/>
        </w:rPr>
        <w:t xml:space="preserve">Processed and unprocessed co-products (residues) from the wood processing industries are considered as indirect supply. These co-products can be solid (sawdust, chips, slabs, etc.) or liquid from the pulp industry (black liquor or tall oil). Processed wood fuels with improved energy content per bulk volume (compressed), such as wood pellets, briquettes but also wood </w:t>
      </w:r>
      <w:proofErr w:type="gramStart"/>
      <w:r w:rsidR="003006A5" w:rsidRPr="001349F7">
        <w:rPr>
          <w:rFonts w:ascii="Calibri" w:hAnsi="Calibri" w:cs="Calibri"/>
        </w:rPr>
        <w:t xml:space="preserve">charcoal </w:t>
      </w:r>
      <w:r w:rsidR="00891D0F">
        <w:rPr>
          <w:rFonts w:ascii="Calibri" w:hAnsi="Calibri" w:cs="Calibri"/>
        </w:rPr>
        <w:t>are</w:t>
      </w:r>
      <w:proofErr w:type="gramEnd"/>
      <w:r w:rsidRPr="001349F7">
        <w:rPr>
          <w:rFonts w:ascii="Calibri" w:hAnsi="Calibri" w:cs="Calibri"/>
        </w:rPr>
        <w:t xml:space="preserve"> also included under indirect supply.</w:t>
      </w:r>
    </w:p>
    <w:p w:rsidR="003C042F" w:rsidRDefault="003C042F" w:rsidP="00C00C37">
      <w:pPr>
        <w:jc w:val="both"/>
        <w:rPr>
          <w:rFonts w:ascii="Calibri" w:hAnsi="Calibri" w:cs="Calibri"/>
          <w:b/>
        </w:rPr>
      </w:pPr>
    </w:p>
    <w:p w:rsidR="00A345CD" w:rsidRPr="001349F7" w:rsidRDefault="00A345CD" w:rsidP="00C00C37">
      <w:pPr>
        <w:jc w:val="both"/>
        <w:rPr>
          <w:rFonts w:ascii="Calibri" w:hAnsi="Calibri" w:cs="Calibri"/>
          <w:b/>
        </w:rPr>
      </w:pPr>
      <w:r w:rsidRPr="001349F7">
        <w:rPr>
          <w:rFonts w:ascii="Calibri" w:hAnsi="Calibri" w:cs="Calibri"/>
          <w:b/>
        </w:rPr>
        <w:t>S3 Recovered</w:t>
      </w:r>
    </w:p>
    <w:p w:rsidR="00A345CD" w:rsidRPr="001349F7" w:rsidRDefault="00A345CD" w:rsidP="00C00C37">
      <w:pPr>
        <w:jc w:val="both"/>
        <w:rPr>
          <w:rFonts w:ascii="Calibri" w:hAnsi="Calibri" w:cs="Calibri"/>
        </w:rPr>
      </w:pPr>
      <w:r w:rsidRPr="001349F7">
        <w:rPr>
          <w:rFonts w:ascii="Calibri" w:hAnsi="Calibri" w:cs="Calibri"/>
        </w:rPr>
        <w:t xml:space="preserve">The so-called post-consumer recovered wood comprises any waste wood fibre after at least one life cycle. It comprises wood from construction, renovation and demolition, but also packaging as well as old furniture. Countries often apply different classifications to distinguish between different wood waste categories (contaminated with </w:t>
      </w:r>
      <w:r w:rsidR="0049710E">
        <w:rPr>
          <w:rFonts w:ascii="Calibri" w:hAnsi="Calibri" w:cs="Calibri"/>
        </w:rPr>
        <w:t>paint</w:t>
      </w:r>
      <w:r w:rsidRPr="001349F7">
        <w:rPr>
          <w:rFonts w:ascii="Calibri" w:hAnsi="Calibri" w:cs="Calibri"/>
        </w:rPr>
        <w:t>, glue, etc.).</w:t>
      </w:r>
      <w:r w:rsidR="002D6C01">
        <w:rPr>
          <w:rFonts w:ascii="Calibri" w:hAnsi="Calibri" w:cs="Calibri"/>
        </w:rPr>
        <w:t xml:space="preserve">  Please note that the wood component in mixed-waste streams should also be included where possible.</w:t>
      </w:r>
    </w:p>
    <w:p w:rsidR="00A345CD" w:rsidRPr="001349F7" w:rsidRDefault="00A345CD" w:rsidP="0047427B">
      <w:pPr>
        <w:jc w:val="both"/>
        <w:rPr>
          <w:rFonts w:ascii="Calibri" w:hAnsi="Calibri" w:cs="Calibri"/>
        </w:rPr>
      </w:pPr>
    </w:p>
    <w:p w:rsidR="00A345CD" w:rsidRPr="001349F7" w:rsidRDefault="00A345CD" w:rsidP="00C00C37">
      <w:pPr>
        <w:jc w:val="both"/>
        <w:rPr>
          <w:rFonts w:ascii="Calibri" w:hAnsi="Calibri" w:cs="Calibri"/>
          <w:b/>
        </w:rPr>
      </w:pPr>
      <w:r w:rsidRPr="001349F7">
        <w:rPr>
          <w:rFonts w:ascii="Calibri" w:hAnsi="Calibri" w:cs="Calibri"/>
          <w:b/>
        </w:rPr>
        <w:t>S4 Unspecified</w:t>
      </w:r>
    </w:p>
    <w:p w:rsidR="00A345CD" w:rsidRPr="001349F7" w:rsidRDefault="00A345CD" w:rsidP="00C00C37">
      <w:pPr>
        <w:jc w:val="both"/>
        <w:rPr>
          <w:rFonts w:ascii="Calibri" w:hAnsi="Calibri" w:cs="Calibri"/>
        </w:rPr>
      </w:pPr>
      <w:r w:rsidRPr="001349F7">
        <w:rPr>
          <w:rFonts w:ascii="Calibri" w:hAnsi="Calibri" w:cs="Calibri"/>
        </w:rPr>
        <w:t xml:space="preserve">Many countries know something about the amount of wood used but not its source. </w:t>
      </w:r>
      <w:r w:rsidR="000674DA">
        <w:rPr>
          <w:rFonts w:ascii="Calibri" w:hAnsi="Calibri" w:cs="Calibri"/>
        </w:rPr>
        <w:t>S</w:t>
      </w:r>
      <w:r w:rsidRPr="001349F7">
        <w:rPr>
          <w:rFonts w:ascii="Calibri" w:hAnsi="Calibri" w:cs="Calibri"/>
        </w:rPr>
        <w:t xml:space="preserve">urveys conducted </w:t>
      </w:r>
      <w:r w:rsidR="0049710E">
        <w:rPr>
          <w:rFonts w:ascii="Calibri" w:hAnsi="Calibri" w:cs="Calibri"/>
        </w:rPr>
        <w:t>when compiling energy statistics</w:t>
      </w:r>
      <w:r w:rsidR="0049710E" w:rsidRPr="001349F7">
        <w:rPr>
          <w:rFonts w:ascii="Calibri" w:hAnsi="Calibri" w:cs="Calibri"/>
        </w:rPr>
        <w:t xml:space="preserve"> </w:t>
      </w:r>
      <w:r w:rsidR="0049710E">
        <w:rPr>
          <w:rFonts w:ascii="Calibri" w:hAnsi="Calibri" w:cs="Calibri"/>
        </w:rPr>
        <w:t xml:space="preserve">may not necessarily </w:t>
      </w:r>
      <w:r w:rsidR="00891D0F">
        <w:rPr>
          <w:rFonts w:ascii="Calibri" w:hAnsi="Calibri" w:cs="Calibri"/>
        </w:rPr>
        <w:t xml:space="preserve">be </w:t>
      </w:r>
      <w:r w:rsidRPr="001349F7">
        <w:rPr>
          <w:rFonts w:ascii="Calibri" w:hAnsi="Calibri" w:cs="Calibri"/>
        </w:rPr>
        <w:t xml:space="preserve">interested in </w:t>
      </w:r>
      <w:r w:rsidR="00891D0F">
        <w:rPr>
          <w:rFonts w:ascii="Calibri" w:hAnsi="Calibri" w:cs="Calibri"/>
        </w:rPr>
        <w:t>identifying</w:t>
      </w:r>
      <w:r w:rsidRPr="001349F7">
        <w:rPr>
          <w:rFonts w:ascii="Calibri" w:hAnsi="Calibri" w:cs="Calibri"/>
        </w:rPr>
        <w:t xml:space="preserve"> the different sources and origin of the wood </w:t>
      </w:r>
      <w:proofErr w:type="spellStart"/>
      <w:r w:rsidRPr="001349F7">
        <w:rPr>
          <w:rFonts w:ascii="Calibri" w:hAnsi="Calibri" w:cs="Calibri"/>
        </w:rPr>
        <w:t>fibres</w:t>
      </w:r>
      <w:proofErr w:type="spellEnd"/>
      <w:r w:rsidRPr="001349F7">
        <w:rPr>
          <w:rFonts w:ascii="Calibri" w:hAnsi="Calibri" w:cs="Calibri"/>
        </w:rPr>
        <w:t>. This category represents a further step in making the JWEE more compatible with energy statistics.</w:t>
      </w:r>
    </w:p>
    <w:p w:rsidR="00A345CD" w:rsidRPr="001349F7" w:rsidRDefault="00A345CD" w:rsidP="0047427B">
      <w:pPr>
        <w:jc w:val="both"/>
        <w:rPr>
          <w:rFonts w:ascii="Calibri" w:hAnsi="Calibri" w:cs="Calibri"/>
        </w:rPr>
      </w:pPr>
    </w:p>
    <w:p w:rsidR="00A345CD" w:rsidRPr="005230F0" w:rsidRDefault="00A345CD" w:rsidP="00C00C37">
      <w:pPr>
        <w:jc w:val="both"/>
        <w:rPr>
          <w:rFonts w:ascii="Calibri" w:hAnsi="Calibri" w:cs="Calibri"/>
          <w:b/>
        </w:rPr>
      </w:pPr>
      <w:r w:rsidRPr="0047427B">
        <w:rPr>
          <w:rFonts w:ascii="Calibri" w:hAnsi="Calibri" w:cs="Calibri"/>
          <w:b/>
        </w:rPr>
        <w:t>U1</w:t>
      </w:r>
      <w:r w:rsidRPr="005230F0">
        <w:rPr>
          <w:rFonts w:ascii="Calibri" w:hAnsi="Calibri" w:cs="Calibri"/>
          <w:b/>
        </w:rPr>
        <w:t xml:space="preserve"> Power &amp; </w:t>
      </w:r>
      <w:r w:rsidR="00B16994" w:rsidRPr="005230F0">
        <w:rPr>
          <w:rFonts w:ascii="Calibri" w:hAnsi="Calibri" w:cs="Calibri"/>
          <w:b/>
        </w:rPr>
        <w:t>H</w:t>
      </w:r>
      <w:r w:rsidRPr="005230F0">
        <w:rPr>
          <w:rFonts w:ascii="Calibri" w:hAnsi="Calibri" w:cs="Calibri"/>
          <w:b/>
        </w:rPr>
        <w:t>eat</w:t>
      </w:r>
    </w:p>
    <w:p w:rsidR="00A013BC" w:rsidRPr="005230F0" w:rsidRDefault="00A345CD" w:rsidP="00C00C37">
      <w:pPr>
        <w:jc w:val="both"/>
        <w:rPr>
          <w:rFonts w:ascii="Calibri" w:hAnsi="Calibri" w:cs="Calibri"/>
        </w:rPr>
      </w:pPr>
      <w:r w:rsidRPr="005230F0">
        <w:rPr>
          <w:rFonts w:ascii="Calibri" w:hAnsi="Calibri" w:cs="Calibri"/>
        </w:rPr>
        <w:t>The definition of U1 refers to “Main Activity Plants” (I</w:t>
      </w:r>
      <w:r w:rsidR="00B16994" w:rsidRPr="005230F0">
        <w:rPr>
          <w:rFonts w:ascii="Calibri" w:hAnsi="Calibri" w:cs="Calibri"/>
        </w:rPr>
        <w:t xml:space="preserve">nternational </w:t>
      </w:r>
      <w:r w:rsidRPr="005230F0">
        <w:rPr>
          <w:rFonts w:ascii="Calibri" w:hAnsi="Calibri" w:cs="Calibri"/>
        </w:rPr>
        <w:t>E</w:t>
      </w:r>
      <w:r w:rsidR="00B16994" w:rsidRPr="005230F0">
        <w:rPr>
          <w:rFonts w:ascii="Calibri" w:hAnsi="Calibri" w:cs="Calibri"/>
        </w:rPr>
        <w:t xml:space="preserve">nergy </w:t>
      </w:r>
      <w:r w:rsidRPr="005230F0">
        <w:rPr>
          <w:rFonts w:ascii="Calibri" w:hAnsi="Calibri" w:cs="Calibri"/>
        </w:rPr>
        <w:t>A</w:t>
      </w:r>
      <w:r w:rsidR="00B16994" w:rsidRPr="005230F0">
        <w:rPr>
          <w:rFonts w:ascii="Calibri" w:hAnsi="Calibri" w:cs="Calibri"/>
        </w:rPr>
        <w:t>gency</w:t>
      </w:r>
      <w:r w:rsidRPr="005230F0">
        <w:rPr>
          <w:rFonts w:ascii="Calibri" w:hAnsi="Calibri" w:cs="Calibri"/>
        </w:rPr>
        <w:t xml:space="preserve"> definition), which refers to plants which are designed to produce electricity/combined heat and power (CHP) or Heat</w:t>
      </w:r>
      <w:r w:rsidR="00D94517">
        <w:rPr>
          <w:rFonts w:ascii="Calibri" w:hAnsi="Calibri" w:cs="Calibri"/>
        </w:rPr>
        <w:t xml:space="preserve"> only</w:t>
      </w:r>
      <w:r w:rsidRPr="005230F0">
        <w:rPr>
          <w:rFonts w:ascii="Calibri" w:hAnsi="Calibri" w:cs="Calibri"/>
        </w:rPr>
        <w:t xml:space="preserve">. If one or more units of the plant is a CHP unit (and the inputs and outputs cannot be distinguished on a unit basis) then the whole plant is designated as a CHP plant. However a sawmill, for example, which produces heat for itself as well as selling </w:t>
      </w:r>
      <w:r w:rsidR="002F32F3">
        <w:rPr>
          <w:rFonts w:ascii="Calibri" w:hAnsi="Calibri" w:cs="Calibri"/>
        </w:rPr>
        <w:t>heat</w:t>
      </w:r>
      <w:r w:rsidRPr="005230F0">
        <w:rPr>
          <w:rFonts w:ascii="Calibri" w:hAnsi="Calibri" w:cs="Calibri"/>
        </w:rPr>
        <w:t xml:space="preserve"> outside, would fal</w:t>
      </w:r>
      <w:r w:rsidR="008F692C">
        <w:rPr>
          <w:rFonts w:ascii="Calibri" w:hAnsi="Calibri" w:cs="Calibri"/>
        </w:rPr>
        <w:t xml:space="preserve">l under the next (U2) category. </w:t>
      </w:r>
      <w:r w:rsidRPr="00FD6586">
        <w:rPr>
          <w:rFonts w:ascii="Calibri" w:hAnsi="Calibri" w:cs="Calibri"/>
          <w:b/>
        </w:rPr>
        <w:t>Main activity supply undertakings generate electricity and/or heat for sale to third parties, as their primary activity.</w:t>
      </w:r>
      <w:r w:rsidRPr="005230F0">
        <w:rPr>
          <w:rFonts w:ascii="Calibri" w:hAnsi="Calibri" w:cs="Calibri"/>
        </w:rPr>
        <w:t xml:space="preserve"> They may be privately or publicly owned. Note that the sale need not take place through the main activity grid.</w:t>
      </w:r>
    </w:p>
    <w:p w:rsidR="00A345CD" w:rsidRPr="005230F0" w:rsidRDefault="00A345CD" w:rsidP="0047427B">
      <w:pPr>
        <w:jc w:val="both"/>
        <w:rPr>
          <w:rFonts w:ascii="Calibri" w:hAnsi="Calibri" w:cs="Calibri"/>
          <w:b/>
        </w:rPr>
      </w:pPr>
    </w:p>
    <w:p w:rsidR="00A345CD" w:rsidRPr="005230F0" w:rsidRDefault="00A345CD" w:rsidP="00C00C37">
      <w:pPr>
        <w:jc w:val="both"/>
        <w:rPr>
          <w:rFonts w:ascii="Calibri" w:hAnsi="Calibri" w:cs="Calibri"/>
          <w:b/>
        </w:rPr>
      </w:pPr>
      <w:r w:rsidRPr="005230F0">
        <w:rPr>
          <w:rFonts w:ascii="Calibri" w:hAnsi="Calibri" w:cs="Calibri"/>
          <w:b/>
        </w:rPr>
        <w:t>U2 Industrial</w:t>
      </w:r>
    </w:p>
    <w:p w:rsidR="00A345CD" w:rsidRPr="001349F7" w:rsidRDefault="00A345CD" w:rsidP="00C00C37">
      <w:pPr>
        <w:jc w:val="both"/>
        <w:rPr>
          <w:rFonts w:ascii="Calibri" w:hAnsi="Calibri" w:cs="Calibri"/>
        </w:rPr>
      </w:pPr>
      <w:r w:rsidRPr="005230F0">
        <w:rPr>
          <w:rFonts w:ascii="Calibri" w:hAnsi="Calibri" w:cs="Calibri"/>
        </w:rPr>
        <w:lastRenderedPageBreak/>
        <w:t xml:space="preserve">This refers to “auto producer” (IEA definition) undertakings that generate electricity and/or heat, </w:t>
      </w:r>
      <w:r w:rsidRPr="008F692C">
        <w:rPr>
          <w:rFonts w:ascii="Calibri" w:hAnsi="Calibri" w:cs="Calibri"/>
          <w:b/>
        </w:rPr>
        <w:t>wholly or partly for their own use as an activity which supports their primary activity</w:t>
      </w:r>
      <w:r w:rsidRPr="005230F0">
        <w:rPr>
          <w:rFonts w:ascii="Calibri" w:hAnsi="Calibri" w:cs="Calibri"/>
        </w:rPr>
        <w:t xml:space="preserve">. They may be privately or publicly owned. It includes mainly the forest based industries, </w:t>
      </w:r>
      <w:r w:rsidR="00F63D62">
        <w:rPr>
          <w:rFonts w:ascii="Calibri" w:hAnsi="Calibri" w:cs="Calibri"/>
        </w:rPr>
        <w:t>such as</w:t>
      </w:r>
      <w:r w:rsidRPr="005230F0">
        <w:rPr>
          <w:rFonts w:ascii="Calibri" w:hAnsi="Calibri" w:cs="Calibri"/>
        </w:rPr>
        <w:t xml:space="preserve"> the (chemical) pulp producers who sell some of their </w:t>
      </w:r>
      <w:r w:rsidRPr="0047427B">
        <w:rPr>
          <w:rFonts w:ascii="Calibri" w:hAnsi="Calibri" w:cs="Calibri"/>
        </w:rPr>
        <w:t>energy to third parties</w:t>
      </w:r>
      <w:r w:rsidRPr="005230F0">
        <w:rPr>
          <w:rFonts w:ascii="Calibri" w:hAnsi="Calibri" w:cs="Calibri"/>
        </w:rPr>
        <w:t xml:space="preserve"> (real or</w:t>
      </w:r>
      <w:r w:rsidRPr="001349F7">
        <w:rPr>
          <w:rFonts w:ascii="Calibri" w:hAnsi="Calibri" w:cs="Calibri"/>
        </w:rPr>
        <w:t xml:space="preserve"> virtual sales are considered). Ideally the data should also include the process heat that is used for the production of the good at the specific plant.</w:t>
      </w:r>
    </w:p>
    <w:p w:rsidR="00A345CD" w:rsidRPr="001349F7" w:rsidRDefault="00A345CD" w:rsidP="0047427B">
      <w:pPr>
        <w:jc w:val="both"/>
        <w:rPr>
          <w:rFonts w:ascii="Calibri" w:hAnsi="Calibri" w:cs="Calibri"/>
        </w:rPr>
      </w:pPr>
    </w:p>
    <w:p w:rsidR="00A345CD" w:rsidRPr="001349F7" w:rsidRDefault="00A345CD" w:rsidP="00C00C37">
      <w:pPr>
        <w:jc w:val="both"/>
        <w:rPr>
          <w:rFonts w:ascii="Calibri" w:hAnsi="Calibri" w:cs="Calibri"/>
          <w:b/>
        </w:rPr>
      </w:pPr>
      <w:r w:rsidRPr="001349F7">
        <w:rPr>
          <w:rFonts w:ascii="Calibri" w:hAnsi="Calibri" w:cs="Calibri"/>
          <w:b/>
        </w:rPr>
        <w:t>U3 Residential</w:t>
      </w:r>
    </w:p>
    <w:p w:rsidR="00A345CD" w:rsidRPr="001349F7" w:rsidRDefault="00B16994" w:rsidP="00C00C37">
      <w:pPr>
        <w:jc w:val="both"/>
        <w:rPr>
          <w:rFonts w:ascii="Calibri" w:hAnsi="Calibri" w:cs="Calibri"/>
        </w:rPr>
      </w:pPr>
      <w:r>
        <w:rPr>
          <w:rFonts w:ascii="Calibri" w:hAnsi="Calibri" w:cs="Calibri"/>
        </w:rPr>
        <w:t>This user group is</w:t>
      </w:r>
      <w:r w:rsidR="00A345CD" w:rsidRPr="001349F7">
        <w:rPr>
          <w:rFonts w:ascii="Calibri" w:hAnsi="Calibri" w:cs="Calibri"/>
        </w:rPr>
        <w:t xml:space="preserve"> referred to by the IEA as all consumption by households, excluding fuels used for transport. It includes households with employed persons (ISIC Division 95) which is a small part of total residential consumption.</w:t>
      </w:r>
    </w:p>
    <w:p w:rsidR="00A345CD" w:rsidRPr="001349F7" w:rsidRDefault="00A345CD" w:rsidP="0047427B">
      <w:pPr>
        <w:jc w:val="both"/>
        <w:rPr>
          <w:rFonts w:ascii="Calibri" w:hAnsi="Calibri" w:cs="Calibri"/>
          <w:b/>
        </w:rPr>
      </w:pPr>
    </w:p>
    <w:p w:rsidR="00A345CD" w:rsidRPr="001349F7" w:rsidRDefault="00A345CD" w:rsidP="00C00C37">
      <w:pPr>
        <w:jc w:val="both"/>
        <w:rPr>
          <w:rFonts w:ascii="Calibri" w:hAnsi="Calibri" w:cs="Calibri"/>
          <w:b/>
        </w:rPr>
      </w:pPr>
      <w:r w:rsidRPr="001349F7">
        <w:rPr>
          <w:rFonts w:ascii="Calibri" w:hAnsi="Calibri" w:cs="Calibri"/>
          <w:b/>
        </w:rPr>
        <w:t>U4 Other</w:t>
      </w:r>
    </w:p>
    <w:p w:rsidR="00A922FD" w:rsidRDefault="00A345CD" w:rsidP="00C00C37">
      <w:pPr>
        <w:jc w:val="both"/>
        <w:rPr>
          <w:rFonts w:ascii="Calibri" w:hAnsi="Calibri" w:cs="Calibri"/>
        </w:rPr>
      </w:pPr>
      <w:r w:rsidRPr="001349F7">
        <w:rPr>
          <w:rFonts w:ascii="Calibri" w:hAnsi="Calibri" w:cs="Calibri"/>
        </w:rPr>
        <w:t xml:space="preserve">This definition comprises any other economic sector </w:t>
      </w:r>
      <w:r w:rsidR="00B16994">
        <w:rPr>
          <w:rFonts w:ascii="Calibri" w:hAnsi="Calibri" w:cs="Calibri"/>
        </w:rPr>
        <w:t>not covered by</w:t>
      </w:r>
      <w:r w:rsidRPr="001349F7">
        <w:rPr>
          <w:rFonts w:ascii="Calibri" w:hAnsi="Calibri" w:cs="Calibri"/>
        </w:rPr>
        <w:t xml:space="preserve"> the above (e.g. agriculture, forestry and fishing, commercial and public services and transport).</w:t>
      </w:r>
    </w:p>
    <w:p w:rsidR="00A013BC" w:rsidRPr="00A922FD" w:rsidRDefault="00A013BC" w:rsidP="00C00C37">
      <w:pPr>
        <w:jc w:val="both"/>
        <w:rPr>
          <w:rFonts w:ascii="Calibri" w:hAnsi="Calibri" w:cs="Calibri"/>
        </w:rPr>
      </w:pPr>
    </w:p>
    <w:p w:rsidR="00A922FD" w:rsidRPr="00DC2456" w:rsidRDefault="00A013BC" w:rsidP="0047427B">
      <w:pPr>
        <w:pStyle w:val="Heading3"/>
        <w:spacing w:before="0" w:after="0"/>
        <w:jc w:val="both"/>
        <w:rPr>
          <w:lang w:val="fr-CH"/>
        </w:rPr>
      </w:pPr>
      <w:r w:rsidRPr="00F12CE8" w:rsidDel="00A013BC">
        <w:rPr>
          <w:lang w:val="en-GB"/>
        </w:rPr>
        <w:t xml:space="preserve"> </w:t>
      </w:r>
      <w:bookmarkStart w:id="61" w:name="_Toc326748711"/>
      <w:bookmarkStart w:id="62" w:name="_Toc407187222"/>
      <w:r w:rsidR="003C51EC" w:rsidRPr="00DC2456">
        <w:rPr>
          <w:lang w:val="fr-CH"/>
        </w:rPr>
        <w:t xml:space="preserve">“EU </w:t>
      </w:r>
      <w:r w:rsidR="00923731" w:rsidRPr="00DC2456">
        <w:rPr>
          <w:lang w:val="fr-CH"/>
        </w:rPr>
        <w:t>N</w:t>
      </w:r>
      <w:r w:rsidR="003C51EC" w:rsidRPr="00DC2456">
        <w:rPr>
          <w:lang w:val="fr-CH"/>
        </w:rPr>
        <w:t xml:space="preserve">REAP </w:t>
      </w:r>
      <w:r w:rsidR="00DC2456">
        <w:rPr>
          <w:lang w:val="fr-CH"/>
        </w:rPr>
        <w:t>P</w:t>
      </w:r>
      <w:r w:rsidR="00DC2456" w:rsidRPr="00DC2456">
        <w:rPr>
          <w:lang w:val="fr-CH"/>
        </w:rPr>
        <w:t xml:space="preserve">rogress </w:t>
      </w:r>
      <w:r w:rsidR="00DC2456">
        <w:rPr>
          <w:lang w:val="fr-CH"/>
        </w:rPr>
        <w:t>R</w:t>
      </w:r>
      <w:r w:rsidR="00DC2456" w:rsidRPr="00DC2456">
        <w:rPr>
          <w:lang w:val="fr-CH"/>
        </w:rPr>
        <w:t>eport-</w:t>
      </w:r>
      <w:r w:rsidR="00DC2456">
        <w:rPr>
          <w:lang w:val="fr-CH"/>
        </w:rPr>
        <w:t>T</w:t>
      </w:r>
      <w:r w:rsidR="003C51EC" w:rsidRPr="00DC2456">
        <w:rPr>
          <w:lang w:val="fr-CH"/>
        </w:rPr>
        <w:t>4” tabl</w:t>
      </w:r>
      <w:r w:rsidR="00A922FD" w:rsidRPr="00DC2456">
        <w:rPr>
          <w:lang w:val="fr-CH"/>
        </w:rPr>
        <w:t>e</w:t>
      </w:r>
      <w:bookmarkEnd w:id="61"/>
      <w:bookmarkEnd w:id="62"/>
    </w:p>
    <w:p w:rsidR="00C00C37" w:rsidRPr="00DC2456" w:rsidRDefault="00C00C37" w:rsidP="0047427B">
      <w:pPr>
        <w:rPr>
          <w:rFonts w:asciiTheme="minorHAnsi" w:hAnsiTheme="minorHAnsi" w:cstheme="minorHAnsi"/>
          <w:lang w:val="fr-CH"/>
        </w:rPr>
      </w:pPr>
    </w:p>
    <w:p w:rsidR="0038048C" w:rsidRPr="0047427B" w:rsidRDefault="00064808" w:rsidP="0047427B">
      <w:pPr>
        <w:rPr>
          <w:rFonts w:asciiTheme="minorHAnsi" w:hAnsiTheme="minorHAnsi" w:cstheme="minorHAnsi"/>
        </w:rPr>
      </w:pPr>
      <w:proofErr w:type="gramStart"/>
      <w:r w:rsidRPr="00064808">
        <w:rPr>
          <w:rFonts w:asciiTheme="minorHAnsi" w:hAnsiTheme="minorHAnsi" w:cstheme="minorHAnsi"/>
          <w:i/>
        </w:rPr>
        <w:t>Only in English version.</w:t>
      </w:r>
      <w:proofErr w:type="gramEnd"/>
      <w:r>
        <w:rPr>
          <w:rFonts w:asciiTheme="minorHAnsi" w:hAnsiTheme="minorHAnsi" w:cstheme="minorHAnsi"/>
        </w:rPr>
        <w:t xml:space="preserve"> </w:t>
      </w:r>
      <w:r w:rsidR="0022159B" w:rsidRPr="0047427B">
        <w:rPr>
          <w:rFonts w:asciiTheme="minorHAnsi" w:hAnsiTheme="minorHAnsi" w:cstheme="minorHAnsi"/>
        </w:rPr>
        <w:t xml:space="preserve">See Section </w:t>
      </w:r>
      <w:r w:rsidR="00572914">
        <w:rPr>
          <w:rFonts w:asciiTheme="minorHAnsi" w:hAnsiTheme="minorHAnsi" w:cstheme="minorHAnsi"/>
        </w:rPr>
        <w:fldChar w:fldCharType="begin"/>
      </w:r>
      <w:r w:rsidR="00572914">
        <w:rPr>
          <w:rFonts w:asciiTheme="minorHAnsi" w:hAnsiTheme="minorHAnsi" w:cstheme="minorHAnsi"/>
        </w:rPr>
        <w:instrText xml:space="preserve"> REF _Ref335984460 \r \h </w:instrText>
      </w:r>
      <w:r w:rsidR="00572914">
        <w:rPr>
          <w:rFonts w:asciiTheme="minorHAnsi" w:hAnsiTheme="minorHAnsi" w:cstheme="minorHAnsi"/>
        </w:rPr>
      </w:r>
      <w:r w:rsidR="00572914">
        <w:rPr>
          <w:rFonts w:asciiTheme="minorHAnsi" w:hAnsiTheme="minorHAnsi" w:cstheme="minorHAnsi"/>
        </w:rPr>
        <w:fldChar w:fldCharType="separate"/>
      </w:r>
      <w:r w:rsidR="00D55945">
        <w:rPr>
          <w:rFonts w:asciiTheme="minorHAnsi" w:hAnsiTheme="minorHAnsi" w:cstheme="minorHAnsi"/>
        </w:rPr>
        <w:t>3.3.5</w:t>
      </w:r>
      <w:r w:rsidR="00572914">
        <w:rPr>
          <w:rFonts w:asciiTheme="minorHAnsi" w:hAnsiTheme="minorHAnsi" w:cstheme="minorHAnsi"/>
        </w:rPr>
        <w:fldChar w:fldCharType="end"/>
      </w:r>
    </w:p>
    <w:p w:rsidR="0022159B" w:rsidRPr="0022159B" w:rsidRDefault="0022159B" w:rsidP="0047427B"/>
    <w:p w:rsidR="00AD46F0" w:rsidRPr="007433E7" w:rsidRDefault="006743B5" w:rsidP="0047427B">
      <w:pPr>
        <w:pStyle w:val="Heading2"/>
        <w:spacing w:before="0" w:after="0"/>
      </w:pPr>
      <w:bookmarkStart w:id="63" w:name="_Toc325896181"/>
      <w:bookmarkStart w:id="64" w:name="_Toc326748712"/>
      <w:bookmarkStart w:id="65" w:name="_Toc407187223"/>
      <w:r w:rsidRPr="007433E7">
        <w:t>Data collectio</w:t>
      </w:r>
      <w:r w:rsidR="00C65911" w:rsidRPr="007433E7">
        <w:t>n table</w:t>
      </w:r>
      <w:bookmarkEnd w:id="63"/>
      <w:r w:rsidR="005C2BD3">
        <w:t>s</w:t>
      </w:r>
      <w:bookmarkEnd w:id="64"/>
      <w:bookmarkEnd w:id="65"/>
    </w:p>
    <w:bookmarkEnd w:id="21"/>
    <w:p w:rsidR="00C00C37" w:rsidRDefault="00C00C37" w:rsidP="0047427B">
      <w:pPr>
        <w:jc w:val="both"/>
        <w:rPr>
          <w:rFonts w:ascii="Calibri" w:hAnsi="Calibri" w:cs="Calibri"/>
        </w:rPr>
      </w:pPr>
    </w:p>
    <w:p w:rsidR="00D00AD4" w:rsidRDefault="006743B5" w:rsidP="0047427B">
      <w:pPr>
        <w:jc w:val="both"/>
        <w:rPr>
          <w:rFonts w:ascii="Calibri" w:hAnsi="Calibri" w:cs="Calibri"/>
        </w:rPr>
      </w:pPr>
      <w:r w:rsidRPr="001349F7">
        <w:rPr>
          <w:rFonts w:ascii="Calibri" w:hAnsi="Calibri" w:cs="Calibri"/>
        </w:rPr>
        <w:t xml:space="preserve">The </w:t>
      </w:r>
      <w:r w:rsidR="00B52317">
        <w:rPr>
          <w:rFonts w:ascii="Calibri" w:hAnsi="Calibri" w:cs="Calibri"/>
        </w:rPr>
        <w:t>core of the JWEE</w:t>
      </w:r>
      <w:r w:rsidR="007813FA">
        <w:rPr>
          <w:rFonts w:ascii="Calibri" w:hAnsi="Calibri" w:cs="Calibri"/>
        </w:rPr>
        <w:t xml:space="preserve"> </w:t>
      </w:r>
      <w:r w:rsidR="00B52317">
        <w:rPr>
          <w:rFonts w:ascii="Calibri" w:hAnsi="Calibri" w:cs="Calibri"/>
        </w:rPr>
        <w:t>201</w:t>
      </w:r>
      <w:r w:rsidR="00DC2456">
        <w:rPr>
          <w:rFonts w:ascii="Calibri" w:hAnsi="Calibri" w:cs="Calibri"/>
        </w:rPr>
        <w:t>3</w:t>
      </w:r>
      <w:r w:rsidR="00B52317">
        <w:rPr>
          <w:rFonts w:ascii="Calibri" w:hAnsi="Calibri" w:cs="Calibri"/>
        </w:rPr>
        <w:t xml:space="preserve"> consists of four </w:t>
      </w:r>
      <w:r w:rsidR="007813FA">
        <w:rPr>
          <w:rFonts w:ascii="Calibri" w:hAnsi="Calibri" w:cs="Calibri"/>
        </w:rPr>
        <w:t xml:space="preserve">interlinked </w:t>
      </w:r>
      <w:r w:rsidRPr="001349F7">
        <w:rPr>
          <w:rFonts w:ascii="Calibri" w:hAnsi="Calibri" w:cs="Calibri"/>
        </w:rPr>
        <w:t>data workbooks</w:t>
      </w:r>
      <w:r w:rsidR="007813FA">
        <w:rPr>
          <w:rFonts w:ascii="Calibri" w:hAnsi="Calibri" w:cs="Calibri"/>
        </w:rPr>
        <w:t>.</w:t>
      </w:r>
      <w:r w:rsidRPr="001349F7">
        <w:rPr>
          <w:rFonts w:ascii="Calibri" w:hAnsi="Calibri" w:cs="Calibri"/>
        </w:rPr>
        <w:t xml:space="preserve"> </w:t>
      </w:r>
      <w:r w:rsidR="00AF482F">
        <w:rPr>
          <w:rFonts w:ascii="Calibri" w:hAnsi="Calibri" w:cs="Calibri"/>
        </w:rPr>
        <w:t>The</w:t>
      </w:r>
      <w:r w:rsidR="0022159B">
        <w:rPr>
          <w:rFonts w:ascii="Calibri" w:hAnsi="Calibri" w:cs="Calibri"/>
        </w:rPr>
        <w:t>se</w:t>
      </w:r>
      <w:r w:rsidR="00AF482F">
        <w:rPr>
          <w:rFonts w:ascii="Calibri" w:hAnsi="Calibri" w:cs="Calibri"/>
        </w:rPr>
        <w:t xml:space="preserve"> tables </w:t>
      </w:r>
      <w:r w:rsidR="0022159B">
        <w:rPr>
          <w:rFonts w:ascii="Calibri" w:hAnsi="Calibri" w:cs="Calibri"/>
        </w:rPr>
        <w:t>request</w:t>
      </w:r>
      <w:r w:rsidR="00AF482F">
        <w:rPr>
          <w:rFonts w:ascii="Calibri" w:hAnsi="Calibri" w:cs="Calibri"/>
        </w:rPr>
        <w:t xml:space="preserve"> detailed i</w:t>
      </w:r>
      <w:r w:rsidR="00007DD7" w:rsidRPr="001349F7">
        <w:rPr>
          <w:rFonts w:ascii="Calibri" w:hAnsi="Calibri" w:cs="Calibri"/>
        </w:rPr>
        <w:t>nformation on wood energy sources</w:t>
      </w:r>
      <w:r w:rsidR="004E193F" w:rsidRPr="001349F7">
        <w:rPr>
          <w:rFonts w:ascii="Calibri" w:hAnsi="Calibri" w:cs="Calibri"/>
        </w:rPr>
        <w:t>,</w:t>
      </w:r>
      <w:r w:rsidR="00007DD7" w:rsidRPr="001349F7">
        <w:rPr>
          <w:rFonts w:ascii="Calibri" w:hAnsi="Calibri" w:cs="Calibri"/>
        </w:rPr>
        <w:t xml:space="preserve"> the transformation</w:t>
      </w:r>
      <w:r w:rsidR="00AF482F">
        <w:rPr>
          <w:rFonts w:ascii="Calibri" w:hAnsi="Calibri" w:cs="Calibri"/>
        </w:rPr>
        <w:t xml:space="preserve"> of woody biomass into processed wood based fuels</w:t>
      </w:r>
      <w:r w:rsidR="00007DD7" w:rsidRPr="001349F7">
        <w:rPr>
          <w:rFonts w:ascii="Calibri" w:hAnsi="Calibri" w:cs="Calibri"/>
        </w:rPr>
        <w:t>, trade a</w:t>
      </w:r>
      <w:r w:rsidR="00AF482F">
        <w:rPr>
          <w:rFonts w:ascii="Calibri" w:hAnsi="Calibri" w:cs="Calibri"/>
        </w:rPr>
        <w:t xml:space="preserve">s well as </w:t>
      </w:r>
      <w:r w:rsidR="00007DD7" w:rsidRPr="001349F7">
        <w:rPr>
          <w:rFonts w:ascii="Calibri" w:hAnsi="Calibri" w:cs="Calibri"/>
        </w:rPr>
        <w:t xml:space="preserve">final </w:t>
      </w:r>
      <w:r w:rsidR="00AF482F">
        <w:rPr>
          <w:rFonts w:ascii="Calibri" w:hAnsi="Calibri" w:cs="Calibri"/>
        </w:rPr>
        <w:t>use by the different user groups.</w:t>
      </w:r>
      <w:r w:rsidR="002D5EE4" w:rsidRPr="002D5EE4">
        <w:rPr>
          <w:rFonts w:ascii="Calibri" w:hAnsi="Calibri" w:cs="Calibri"/>
        </w:rPr>
        <w:t xml:space="preserve"> </w:t>
      </w:r>
      <w:r w:rsidR="00290A86">
        <w:rPr>
          <w:rFonts w:ascii="Calibri" w:hAnsi="Calibri" w:cs="Calibri"/>
        </w:rPr>
        <w:t xml:space="preserve">The structure of the tables prevents double counting or overestimation of wood </w:t>
      </w:r>
      <w:proofErr w:type="spellStart"/>
      <w:r w:rsidR="00290A86">
        <w:rPr>
          <w:rFonts w:ascii="Calibri" w:hAnsi="Calibri" w:cs="Calibri"/>
        </w:rPr>
        <w:t>fibres’</w:t>
      </w:r>
      <w:proofErr w:type="spellEnd"/>
      <w:r w:rsidR="00290A86">
        <w:rPr>
          <w:rFonts w:ascii="Calibri" w:hAnsi="Calibri" w:cs="Calibri"/>
        </w:rPr>
        <w:t xml:space="preserve"> availability – in particular</w:t>
      </w:r>
      <w:r w:rsidR="00EB7972">
        <w:rPr>
          <w:rFonts w:ascii="Calibri" w:hAnsi="Calibri" w:cs="Calibri"/>
        </w:rPr>
        <w:t xml:space="preserve"> for</w:t>
      </w:r>
      <w:r w:rsidR="00290A86">
        <w:rPr>
          <w:rFonts w:ascii="Calibri" w:hAnsi="Calibri" w:cs="Calibri"/>
        </w:rPr>
        <w:t xml:space="preserve"> processed wood based fuels and their raw material sources.</w:t>
      </w:r>
    </w:p>
    <w:p w:rsidR="00D631AD" w:rsidRDefault="00D631AD" w:rsidP="0047427B">
      <w:pPr>
        <w:ind w:firstLine="540"/>
        <w:jc w:val="both"/>
        <w:rPr>
          <w:rFonts w:ascii="Calibri" w:hAnsi="Calibri" w:cs="Calibri"/>
        </w:rPr>
      </w:pPr>
    </w:p>
    <w:p w:rsidR="00D631AD" w:rsidRDefault="0027513E" w:rsidP="0047427B">
      <w:pPr>
        <w:keepNext/>
        <w:ind w:firstLine="540"/>
        <w:jc w:val="both"/>
      </w:pPr>
      <w:r>
        <w:rPr>
          <w:noProof/>
          <w:lang w:val="en-GB" w:eastAsia="en-GB"/>
        </w:rPr>
        <w:drawing>
          <wp:inline distT="0" distB="0" distL="0" distR="0" wp14:anchorId="274F4CFB" wp14:editId="2848F102">
            <wp:extent cx="3667125" cy="2597932"/>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6832"/>
                    <a:stretch/>
                  </pic:blipFill>
                  <pic:spPr bwMode="auto">
                    <a:xfrm>
                      <a:off x="0" y="0"/>
                      <a:ext cx="3674654" cy="2603266"/>
                    </a:xfrm>
                    <a:prstGeom prst="rect">
                      <a:avLst/>
                    </a:prstGeom>
                    <a:noFill/>
                    <a:ln>
                      <a:noFill/>
                    </a:ln>
                    <a:extLst>
                      <a:ext uri="{53640926-AAD7-44D8-BBD7-CCE9431645EC}">
                        <a14:shadowObscured xmlns:a14="http://schemas.microsoft.com/office/drawing/2010/main"/>
                      </a:ext>
                    </a:extLst>
                  </pic:spPr>
                </pic:pic>
              </a:graphicData>
            </a:graphic>
          </wp:inline>
        </w:drawing>
      </w:r>
    </w:p>
    <w:p w:rsidR="00A3674D" w:rsidRDefault="00D631AD" w:rsidP="0047427B">
      <w:pPr>
        <w:pStyle w:val="Caption"/>
        <w:spacing w:after="0"/>
        <w:ind w:left="567" w:right="1395"/>
        <w:jc w:val="both"/>
        <w:rPr>
          <w:rFonts w:ascii="Calibri" w:hAnsi="Calibri" w:cs="Calibri"/>
        </w:rPr>
      </w:pPr>
      <w:bookmarkStart w:id="66" w:name="_Toc326679967"/>
      <w:bookmarkStart w:id="67" w:name="_Toc326851348"/>
      <w:bookmarkStart w:id="68" w:name="_Toc407187234"/>
      <w:r>
        <w:t xml:space="preserve">Figure </w:t>
      </w:r>
      <w:fldSimple w:instr=" SEQ Figure \* ARABIC ">
        <w:r w:rsidR="00D55945">
          <w:rPr>
            <w:noProof/>
          </w:rPr>
          <w:t>1</w:t>
        </w:r>
      </w:fldSimple>
      <w:r>
        <w:t>: Scope of the JWEE</w:t>
      </w:r>
      <w:r w:rsidR="003B279D">
        <w:t xml:space="preserve"> </w:t>
      </w:r>
      <w:r>
        <w:t>201</w:t>
      </w:r>
      <w:bookmarkEnd w:id="66"/>
      <w:bookmarkEnd w:id="67"/>
      <w:r w:rsidR="005515EB">
        <w:t>3</w:t>
      </w:r>
      <w:bookmarkEnd w:id="68"/>
    </w:p>
    <w:p w:rsidR="00C00C37" w:rsidRDefault="00C00C37" w:rsidP="0047427B">
      <w:pPr>
        <w:jc w:val="both"/>
        <w:rPr>
          <w:rFonts w:ascii="Calibri" w:hAnsi="Calibri" w:cs="Calibri"/>
        </w:rPr>
      </w:pPr>
    </w:p>
    <w:p w:rsidR="009C54E7" w:rsidRPr="000E2818" w:rsidRDefault="004E193F" w:rsidP="0047427B">
      <w:pPr>
        <w:jc w:val="both"/>
        <w:rPr>
          <w:rFonts w:ascii="Calibri" w:hAnsi="Calibri" w:cs="Calibri"/>
        </w:rPr>
      </w:pPr>
      <w:r w:rsidRPr="001D05A6">
        <w:rPr>
          <w:rFonts w:ascii="Calibri" w:hAnsi="Calibri" w:cs="Calibri"/>
        </w:rPr>
        <w:t xml:space="preserve">The </w:t>
      </w:r>
      <w:r w:rsidR="00B52317" w:rsidRPr="00596A2C">
        <w:rPr>
          <w:rFonts w:ascii="Calibri" w:hAnsi="Calibri" w:cs="Calibri"/>
        </w:rPr>
        <w:t xml:space="preserve">entire </w:t>
      </w:r>
      <w:r w:rsidRPr="00596A2C">
        <w:rPr>
          <w:rFonts w:ascii="Calibri" w:hAnsi="Calibri" w:cs="Calibri"/>
        </w:rPr>
        <w:t xml:space="preserve">enquiry consists of </w:t>
      </w:r>
      <w:r w:rsidR="000E2818">
        <w:rPr>
          <w:rFonts w:ascii="Calibri" w:hAnsi="Calibri" w:cs="Calibri"/>
        </w:rPr>
        <w:t xml:space="preserve">over 300 empty cells </w:t>
      </w:r>
      <w:r w:rsidRPr="00596A2C">
        <w:rPr>
          <w:rFonts w:ascii="Calibri" w:hAnsi="Calibri" w:cs="Calibri"/>
        </w:rPr>
        <w:t xml:space="preserve">– of which </w:t>
      </w:r>
      <w:r w:rsidR="000E2818">
        <w:rPr>
          <w:rFonts w:ascii="Calibri" w:hAnsi="Calibri" w:cs="Calibri"/>
        </w:rPr>
        <w:t>a few</w:t>
      </w:r>
      <w:r w:rsidRPr="00596A2C">
        <w:rPr>
          <w:rFonts w:ascii="Calibri" w:hAnsi="Calibri" w:cs="Calibri"/>
        </w:rPr>
        <w:t xml:space="preserve"> are pre-filled with data on forest products, as soon as the reference country is chosen</w:t>
      </w:r>
      <w:r w:rsidR="00B52317" w:rsidRPr="00596A2C">
        <w:rPr>
          <w:rFonts w:ascii="Calibri" w:hAnsi="Calibri" w:cs="Calibri"/>
        </w:rPr>
        <w:t xml:space="preserve"> in the “Introduction” table</w:t>
      </w:r>
      <w:r w:rsidR="000E2818">
        <w:rPr>
          <w:rFonts w:ascii="Calibri" w:hAnsi="Calibri" w:cs="Calibri"/>
        </w:rPr>
        <w:t xml:space="preserve">. </w:t>
      </w:r>
      <w:r w:rsidR="001E01A2" w:rsidRPr="001D05A6">
        <w:rPr>
          <w:rFonts w:ascii="Calibri" w:hAnsi="Calibri" w:cs="Calibri"/>
        </w:rPr>
        <w:t xml:space="preserve">However, not every single cell </w:t>
      </w:r>
      <w:r w:rsidR="00EB7972">
        <w:rPr>
          <w:rFonts w:ascii="Calibri" w:hAnsi="Calibri" w:cs="Calibri"/>
        </w:rPr>
        <w:t>has</w:t>
      </w:r>
      <w:r w:rsidR="001E01A2" w:rsidRPr="001D05A6">
        <w:rPr>
          <w:rFonts w:ascii="Calibri" w:hAnsi="Calibri" w:cs="Calibri"/>
        </w:rPr>
        <w:t xml:space="preserve"> to be filled. Most responses </w:t>
      </w:r>
      <w:r w:rsidR="00EB7972">
        <w:rPr>
          <w:rFonts w:ascii="Calibri" w:hAnsi="Calibri" w:cs="Calibri"/>
        </w:rPr>
        <w:t>typically</w:t>
      </w:r>
      <w:r w:rsidR="001E01A2" w:rsidRPr="00596A2C">
        <w:rPr>
          <w:rFonts w:ascii="Calibri" w:hAnsi="Calibri" w:cs="Calibri"/>
        </w:rPr>
        <w:t xml:space="preserve"> contain </w:t>
      </w:r>
      <w:r w:rsidR="00596A2C" w:rsidRPr="001D05A6">
        <w:rPr>
          <w:rFonts w:ascii="Calibri" w:hAnsi="Calibri" w:cs="Calibri"/>
        </w:rPr>
        <w:t xml:space="preserve">a modest average of </w:t>
      </w:r>
      <w:r w:rsidR="001E01A2" w:rsidRPr="00D4451B">
        <w:rPr>
          <w:rFonts w:ascii="Calibri" w:hAnsi="Calibri" w:cs="Calibri"/>
        </w:rPr>
        <w:t>data entries</w:t>
      </w:r>
      <w:r w:rsidR="00B40437" w:rsidRPr="00D4451B">
        <w:rPr>
          <w:rFonts w:ascii="Calibri" w:hAnsi="Calibri" w:cs="Calibri"/>
        </w:rPr>
        <w:t xml:space="preserve"> in addition to the prefilled set of data</w:t>
      </w:r>
      <w:r w:rsidR="00596A2C" w:rsidRPr="00D4451B">
        <w:rPr>
          <w:rFonts w:ascii="Calibri" w:hAnsi="Calibri" w:cs="Calibri"/>
        </w:rPr>
        <w:t>.</w:t>
      </w:r>
      <w:r w:rsidR="009C54E7" w:rsidRPr="001D05A6">
        <w:rPr>
          <w:rFonts w:ascii="Calibri" w:hAnsi="Calibri" w:cs="Calibri"/>
        </w:rPr>
        <w:t xml:space="preserve"> </w:t>
      </w:r>
      <w:r w:rsidR="008178B7" w:rsidRPr="00596A2C">
        <w:rPr>
          <w:rFonts w:ascii="Calibri" w:hAnsi="Calibri" w:cs="Calibri"/>
        </w:rPr>
        <w:t>Correspondents</w:t>
      </w:r>
      <w:r w:rsidR="003B279D">
        <w:rPr>
          <w:rFonts w:ascii="Calibri" w:hAnsi="Calibri" w:cs="Calibri"/>
        </w:rPr>
        <w:t xml:space="preserve"> and </w:t>
      </w:r>
      <w:r w:rsidR="009C54E7">
        <w:rPr>
          <w:rFonts w:ascii="Calibri" w:hAnsi="Calibri" w:cs="Calibri"/>
        </w:rPr>
        <w:t xml:space="preserve">experts </w:t>
      </w:r>
      <w:r w:rsidR="009C54E7">
        <w:rPr>
          <w:rFonts w:ascii="Calibri" w:hAnsi="Calibri" w:cs="Calibri"/>
        </w:rPr>
        <w:lastRenderedPageBreak/>
        <w:t xml:space="preserve">are </w:t>
      </w:r>
      <w:r w:rsidR="00EB7972">
        <w:rPr>
          <w:rFonts w:ascii="Calibri" w:hAnsi="Calibri" w:cs="Calibri"/>
        </w:rPr>
        <w:t xml:space="preserve">nonetheless </w:t>
      </w:r>
      <w:r w:rsidR="009C54E7">
        <w:rPr>
          <w:rFonts w:ascii="Calibri" w:hAnsi="Calibri" w:cs="Calibri"/>
        </w:rPr>
        <w:t xml:space="preserve">encouraged to provide </w:t>
      </w:r>
      <w:r w:rsidR="009845BD">
        <w:rPr>
          <w:rFonts w:ascii="Calibri" w:hAnsi="Calibri" w:cs="Calibri"/>
        </w:rPr>
        <w:t>dis</w:t>
      </w:r>
      <w:r w:rsidR="009C54E7">
        <w:rPr>
          <w:rFonts w:ascii="Calibri" w:hAnsi="Calibri" w:cs="Calibri"/>
        </w:rPr>
        <w:t>aggregate</w:t>
      </w:r>
      <w:r w:rsidR="009845BD">
        <w:rPr>
          <w:rFonts w:ascii="Calibri" w:hAnsi="Calibri" w:cs="Calibri"/>
        </w:rPr>
        <w:t>d data</w:t>
      </w:r>
      <w:r w:rsidR="009C54E7">
        <w:rPr>
          <w:rFonts w:ascii="Calibri" w:hAnsi="Calibri" w:cs="Calibri"/>
        </w:rPr>
        <w:t xml:space="preserve"> wherever possible.</w:t>
      </w:r>
      <w:r w:rsidR="009845BD">
        <w:rPr>
          <w:rFonts w:ascii="Calibri" w:hAnsi="Calibri" w:cs="Calibri"/>
        </w:rPr>
        <w:t xml:space="preserve"> </w:t>
      </w:r>
      <w:r w:rsidR="009845BD" w:rsidRPr="009845BD">
        <w:rPr>
          <w:rFonts w:ascii="Calibri" w:hAnsi="Calibri" w:cs="Calibri"/>
          <w:b/>
        </w:rPr>
        <w:t>Correspondents</w:t>
      </w:r>
      <w:r w:rsidR="009845BD" w:rsidRPr="0047427B">
        <w:rPr>
          <w:rFonts w:ascii="Calibri" w:hAnsi="Calibri" w:cs="Calibri"/>
          <w:b/>
        </w:rPr>
        <w:t xml:space="preserve"> are </w:t>
      </w:r>
      <w:r w:rsidR="009845BD" w:rsidRPr="009845BD">
        <w:rPr>
          <w:rFonts w:ascii="Calibri" w:hAnsi="Calibri" w:cs="Calibri"/>
          <w:b/>
        </w:rPr>
        <w:t>also</w:t>
      </w:r>
      <w:r w:rsidR="009845BD" w:rsidRPr="0047427B">
        <w:rPr>
          <w:rFonts w:ascii="Calibri" w:hAnsi="Calibri" w:cs="Calibri"/>
          <w:b/>
        </w:rPr>
        <w:t xml:space="preserve"> invited to substantiate</w:t>
      </w:r>
      <w:r w:rsidR="009845BD">
        <w:rPr>
          <w:rFonts w:ascii="Calibri" w:hAnsi="Calibri" w:cs="Calibri"/>
          <w:b/>
        </w:rPr>
        <w:t xml:space="preserve"> and/or clarify</w:t>
      </w:r>
      <w:r w:rsidR="009845BD" w:rsidRPr="0047427B">
        <w:rPr>
          <w:rFonts w:ascii="Calibri" w:hAnsi="Calibri" w:cs="Calibri"/>
          <w:b/>
        </w:rPr>
        <w:t xml:space="preserve"> any data </w:t>
      </w:r>
      <w:r w:rsidR="009845BD">
        <w:rPr>
          <w:rFonts w:ascii="Calibri" w:hAnsi="Calibri" w:cs="Calibri"/>
          <w:b/>
        </w:rPr>
        <w:t>entry</w:t>
      </w:r>
      <w:r w:rsidR="009845BD" w:rsidRPr="0047427B">
        <w:rPr>
          <w:rFonts w:ascii="Calibri" w:hAnsi="Calibri" w:cs="Calibri"/>
          <w:b/>
        </w:rPr>
        <w:t xml:space="preserve"> by inserting comments as </w:t>
      </w:r>
      <w:r w:rsidR="009845BD">
        <w:rPr>
          <w:rFonts w:ascii="Calibri" w:hAnsi="Calibri" w:cs="Calibri"/>
          <w:b/>
        </w:rPr>
        <w:t>appropriate</w:t>
      </w:r>
      <w:r w:rsidR="009845BD" w:rsidRPr="0047427B">
        <w:rPr>
          <w:rFonts w:ascii="Calibri" w:hAnsi="Calibri" w:cs="Calibri"/>
          <w:b/>
        </w:rPr>
        <w:t>.</w:t>
      </w:r>
      <w:r w:rsidR="009C54E7">
        <w:rPr>
          <w:rFonts w:ascii="Calibri" w:hAnsi="Calibri" w:cs="Calibri"/>
        </w:rPr>
        <w:t xml:space="preserve"> </w:t>
      </w:r>
    </w:p>
    <w:p w:rsidR="00A922FD" w:rsidRPr="00DD564A" w:rsidRDefault="00EC00E9" w:rsidP="0047427B">
      <w:pPr>
        <w:pStyle w:val="Heading3"/>
        <w:spacing w:before="0" w:after="0"/>
        <w:jc w:val="both"/>
        <w:rPr>
          <w:lang w:val="fr-FR"/>
        </w:rPr>
      </w:pPr>
      <w:bookmarkStart w:id="69" w:name="_Toc326748713"/>
      <w:bookmarkStart w:id="70" w:name="_Toc407187224"/>
      <w:r w:rsidRPr="00DD564A">
        <w:rPr>
          <w:lang w:val="fr-FR"/>
        </w:rPr>
        <w:t xml:space="preserve">Table </w:t>
      </w:r>
      <w:r w:rsidR="00B52317" w:rsidRPr="00DD564A">
        <w:rPr>
          <w:lang w:val="fr-FR"/>
        </w:rPr>
        <w:t>“T I fibre sources”</w:t>
      </w:r>
      <w:bookmarkEnd w:id="69"/>
      <w:bookmarkEnd w:id="70"/>
    </w:p>
    <w:tbl>
      <w:tblPr>
        <w:tblpPr w:leftFromText="180" w:rightFromText="180" w:vertAnchor="text" w:horzAnchor="margin" w:tblpX="108" w:tblpY="265"/>
        <w:tblW w:w="9039" w:type="dxa"/>
        <w:tblCellMar>
          <w:top w:w="113" w:type="dxa"/>
          <w:bottom w:w="113" w:type="dxa"/>
        </w:tblCellMar>
        <w:tblLook w:val="04A0" w:firstRow="1" w:lastRow="0" w:firstColumn="1" w:lastColumn="0" w:noHBand="0" w:noVBand="1"/>
      </w:tblPr>
      <w:tblGrid>
        <w:gridCol w:w="2057"/>
        <w:gridCol w:w="6982"/>
      </w:tblGrid>
      <w:tr w:rsidR="00CE1BC7" w:rsidRPr="00B52317" w:rsidTr="00812313">
        <w:trPr>
          <w:trHeight w:val="630"/>
        </w:trPr>
        <w:tc>
          <w:tcPr>
            <w:tcW w:w="205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CE1BC7" w:rsidRPr="0047427B" w:rsidRDefault="002B2777" w:rsidP="0047427B">
            <w:pPr>
              <w:ind w:firstLine="201"/>
              <w:jc w:val="center"/>
              <w:rPr>
                <w:rFonts w:asciiTheme="minorHAnsi" w:hAnsiTheme="minorHAnsi" w:cstheme="minorHAnsi"/>
                <w:b/>
                <w:bCs/>
              </w:rPr>
            </w:pPr>
            <w:hyperlink r:id="rId22" w:anchor="Indicators!A1" w:history="1">
              <w:r w:rsidR="00CE1BC7" w:rsidRPr="0047427B">
                <w:rPr>
                  <w:rFonts w:asciiTheme="minorHAnsi" w:hAnsiTheme="minorHAnsi" w:cstheme="minorHAnsi"/>
                  <w:b/>
                  <w:bCs/>
                </w:rPr>
                <w:t>T I fibre sources</w:t>
              </w:r>
            </w:hyperlink>
          </w:p>
        </w:tc>
        <w:tc>
          <w:tcPr>
            <w:tcW w:w="6982" w:type="dxa"/>
            <w:tcBorders>
              <w:top w:val="single" w:sz="8" w:space="0" w:color="auto"/>
              <w:left w:val="nil"/>
              <w:bottom w:val="single" w:sz="8" w:space="0" w:color="auto"/>
              <w:right w:val="single" w:sz="8" w:space="0" w:color="000000"/>
            </w:tcBorders>
            <w:shd w:val="clear" w:color="auto" w:fill="auto"/>
            <w:vAlign w:val="center"/>
            <w:hideMark/>
          </w:tcPr>
          <w:p w:rsidR="00CE1BC7" w:rsidRPr="0047427B" w:rsidRDefault="00CE1BC7" w:rsidP="00DC2456">
            <w:pPr>
              <w:jc w:val="both"/>
              <w:rPr>
                <w:rFonts w:asciiTheme="minorHAnsi" w:hAnsiTheme="minorHAnsi" w:cstheme="minorHAnsi"/>
                <w:szCs w:val="20"/>
              </w:rPr>
            </w:pPr>
            <w:r w:rsidRPr="0047427B">
              <w:rPr>
                <w:rFonts w:asciiTheme="minorHAnsi" w:hAnsiTheme="minorHAnsi" w:cstheme="minorHAnsi"/>
                <w:szCs w:val="20"/>
              </w:rPr>
              <w:t xml:space="preserve">Assessment of wood available for energy </w:t>
            </w:r>
            <w:r w:rsidRPr="0047427B">
              <w:rPr>
                <w:rFonts w:asciiTheme="minorHAnsi" w:hAnsiTheme="minorHAnsi" w:cstheme="minorHAnsi"/>
                <w:i/>
                <w:szCs w:val="20"/>
              </w:rPr>
              <w:t xml:space="preserve">and </w:t>
            </w:r>
            <w:r w:rsidRPr="0047427B">
              <w:rPr>
                <w:rFonts w:asciiTheme="minorHAnsi" w:hAnsiTheme="minorHAnsi" w:cstheme="minorHAnsi"/>
                <w:szCs w:val="20"/>
              </w:rPr>
              <w:t>material use at national level. Partially pre-filled table with 201</w:t>
            </w:r>
            <w:r w:rsidR="00DC2456">
              <w:rPr>
                <w:rFonts w:asciiTheme="minorHAnsi" w:hAnsiTheme="minorHAnsi" w:cstheme="minorHAnsi"/>
                <w:szCs w:val="20"/>
              </w:rPr>
              <w:t>3</w:t>
            </w:r>
            <w:r w:rsidRPr="0047427B">
              <w:rPr>
                <w:rFonts w:asciiTheme="minorHAnsi" w:hAnsiTheme="minorHAnsi" w:cstheme="minorHAnsi"/>
                <w:szCs w:val="20"/>
              </w:rPr>
              <w:t xml:space="preserve"> data from the Joint Forest Sector Questionnaire as of </w:t>
            </w:r>
            <w:r w:rsidR="00DC2456">
              <w:rPr>
                <w:rFonts w:asciiTheme="minorHAnsi" w:hAnsiTheme="minorHAnsi" w:cstheme="minorHAnsi"/>
                <w:szCs w:val="20"/>
              </w:rPr>
              <w:t>November</w:t>
            </w:r>
            <w:r w:rsidRPr="0047427B">
              <w:rPr>
                <w:rFonts w:asciiTheme="minorHAnsi" w:hAnsiTheme="minorHAnsi" w:cstheme="minorHAnsi"/>
                <w:szCs w:val="20"/>
              </w:rPr>
              <w:t xml:space="preserve"> 201</w:t>
            </w:r>
            <w:r w:rsidR="00DC2456">
              <w:rPr>
                <w:rFonts w:asciiTheme="minorHAnsi" w:hAnsiTheme="minorHAnsi" w:cstheme="minorHAnsi"/>
                <w:szCs w:val="20"/>
              </w:rPr>
              <w:t>4</w:t>
            </w:r>
            <w:r w:rsidRPr="0047427B">
              <w:rPr>
                <w:rFonts w:asciiTheme="minorHAnsi" w:hAnsiTheme="minorHAnsi" w:cstheme="minorHAnsi"/>
                <w:szCs w:val="20"/>
              </w:rPr>
              <w:t xml:space="preserve">. </w:t>
            </w:r>
          </w:p>
        </w:tc>
      </w:tr>
    </w:tbl>
    <w:p w:rsidR="006F02E7" w:rsidRDefault="006F02E7" w:rsidP="00C00C37">
      <w:pPr>
        <w:tabs>
          <w:tab w:val="left" w:pos="1276"/>
          <w:tab w:val="left" w:pos="3828"/>
        </w:tabs>
        <w:jc w:val="both"/>
        <w:rPr>
          <w:rFonts w:asciiTheme="minorHAnsi" w:hAnsiTheme="minorHAnsi" w:cstheme="minorHAnsi"/>
        </w:rPr>
      </w:pPr>
    </w:p>
    <w:p w:rsidR="009D77D0" w:rsidRDefault="00A324AD" w:rsidP="0047427B">
      <w:pPr>
        <w:jc w:val="both"/>
        <w:rPr>
          <w:rFonts w:ascii="Calibri" w:hAnsi="Calibri" w:cs="Calibri"/>
        </w:rPr>
      </w:pPr>
      <w:r w:rsidRPr="00AF4280">
        <w:rPr>
          <w:rFonts w:ascii="Calibri" w:hAnsi="Calibri" w:cs="Calibri"/>
        </w:rPr>
        <w:t xml:space="preserve">Table “T I fibre sources” is an inventory of the </w:t>
      </w:r>
      <w:r w:rsidR="008178B7">
        <w:rPr>
          <w:rFonts w:ascii="Calibri" w:hAnsi="Calibri" w:cs="Calibri"/>
        </w:rPr>
        <w:t xml:space="preserve">domestically </w:t>
      </w:r>
      <w:r w:rsidRPr="00AF4280">
        <w:rPr>
          <w:rFonts w:ascii="Calibri" w:hAnsi="Calibri" w:cs="Calibri"/>
        </w:rPr>
        <w:t xml:space="preserve">available wood </w:t>
      </w:r>
      <w:r w:rsidR="00C94F9A" w:rsidRPr="00AF4280">
        <w:rPr>
          <w:rFonts w:ascii="Calibri" w:hAnsi="Calibri" w:cs="Calibri"/>
        </w:rPr>
        <w:t xml:space="preserve">sources and </w:t>
      </w:r>
      <w:r w:rsidR="00144A5D" w:rsidRPr="00AF4280">
        <w:rPr>
          <w:rFonts w:ascii="Calibri" w:hAnsi="Calibri" w:cs="Calibri"/>
        </w:rPr>
        <w:t xml:space="preserve">fibre </w:t>
      </w:r>
      <w:r w:rsidR="00C94F9A" w:rsidRPr="00AF4280">
        <w:rPr>
          <w:rFonts w:ascii="Calibri" w:hAnsi="Calibri" w:cs="Calibri"/>
        </w:rPr>
        <w:t>types</w:t>
      </w:r>
      <w:r w:rsidRPr="00AF4280">
        <w:rPr>
          <w:rFonts w:ascii="Calibri" w:hAnsi="Calibri" w:cs="Calibri"/>
        </w:rPr>
        <w:t xml:space="preserve"> </w:t>
      </w:r>
      <w:r w:rsidR="00144A5D">
        <w:rPr>
          <w:rFonts w:ascii="Calibri" w:hAnsi="Calibri" w:cs="Calibri"/>
        </w:rPr>
        <w:t xml:space="preserve">for the reference year. It also </w:t>
      </w:r>
      <w:r w:rsidRPr="00AF4280">
        <w:rPr>
          <w:rFonts w:ascii="Calibri" w:hAnsi="Calibri" w:cs="Calibri"/>
        </w:rPr>
        <w:t>includ</w:t>
      </w:r>
      <w:r w:rsidR="00144A5D">
        <w:rPr>
          <w:rFonts w:ascii="Calibri" w:hAnsi="Calibri" w:cs="Calibri"/>
        </w:rPr>
        <w:t>es</w:t>
      </w:r>
      <w:r w:rsidRPr="00AF4280">
        <w:rPr>
          <w:rFonts w:ascii="Calibri" w:hAnsi="Calibri" w:cs="Calibri"/>
        </w:rPr>
        <w:t xml:space="preserve"> information on the trade balances.</w:t>
      </w:r>
      <w:r w:rsidR="009D77D0" w:rsidRPr="00AF4280">
        <w:rPr>
          <w:rFonts w:ascii="Calibri" w:hAnsi="Calibri" w:cs="Calibri"/>
        </w:rPr>
        <w:t xml:space="preserve"> The </w:t>
      </w:r>
      <w:r w:rsidR="00144A5D">
        <w:rPr>
          <w:rFonts w:ascii="Calibri" w:hAnsi="Calibri" w:cs="Calibri"/>
        </w:rPr>
        <w:t xml:space="preserve">volumes reported should include any </w:t>
      </w:r>
      <w:proofErr w:type="spellStart"/>
      <w:r w:rsidR="00144A5D">
        <w:rPr>
          <w:rFonts w:ascii="Calibri" w:hAnsi="Calibri" w:cs="Calibri"/>
        </w:rPr>
        <w:t>fibres</w:t>
      </w:r>
      <w:proofErr w:type="spellEnd"/>
      <w:r w:rsidR="009D77D0" w:rsidRPr="00AF4280">
        <w:rPr>
          <w:rFonts w:ascii="Calibri" w:hAnsi="Calibri" w:cs="Calibri"/>
        </w:rPr>
        <w:t xml:space="preserve"> available</w:t>
      </w:r>
      <w:r w:rsidR="00144A5D">
        <w:rPr>
          <w:rFonts w:ascii="Calibri" w:hAnsi="Calibri" w:cs="Calibri"/>
        </w:rPr>
        <w:t>,</w:t>
      </w:r>
      <w:r w:rsidR="009D77D0" w:rsidRPr="00AF4280">
        <w:rPr>
          <w:rFonts w:ascii="Calibri" w:hAnsi="Calibri" w:cs="Calibri"/>
        </w:rPr>
        <w:t xml:space="preserve"> without considering their potential use</w:t>
      </w:r>
      <w:r w:rsidR="00144A5D">
        <w:rPr>
          <w:rFonts w:ascii="Calibri" w:hAnsi="Calibri" w:cs="Calibri"/>
        </w:rPr>
        <w:t xml:space="preserve"> at that stage</w:t>
      </w:r>
      <w:r w:rsidR="009D77D0" w:rsidRPr="00AF4280">
        <w:rPr>
          <w:rFonts w:ascii="Calibri" w:hAnsi="Calibri" w:cs="Calibri"/>
        </w:rPr>
        <w:t xml:space="preserve"> – </w:t>
      </w:r>
      <w:r w:rsidR="00144A5D" w:rsidRPr="00144A5D">
        <w:rPr>
          <w:rFonts w:ascii="Calibri" w:hAnsi="Calibri" w:cs="Calibri"/>
          <w:b/>
        </w:rPr>
        <w:t>T</w:t>
      </w:r>
      <w:r w:rsidR="009D77D0" w:rsidRPr="00144A5D">
        <w:rPr>
          <w:rFonts w:ascii="Calibri" w:hAnsi="Calibri" w:cs="Calibri"/>
          <w:b/>
        </w:rPr>
        <w:t xml:space="preserve">his table is not limited to </w:t>
      </w:r>
      <w:r w:rsidR="00144A5D">
        <w:rPr>
          <w:rFonts w:ascii="Calibri" w:hAnsi="Calibri" w:cs="Calibri"/>
          <w:b/>
        </w:rPr>
        <w:t>e</w:t>
      </w:r>
      <w:r w:rsidR="009D77D0" w:rsidRPr="00144A5D">
        <w:rPr>
          <w:rFonts w:ascii="Calibri" w:hAnsi="Calibri" w:cs="Calibri"/>
          <w:b/>
        </w:rPr>
        <w:t>nergy use</w:t>
      </w:r>
      <w:r w:rsidR="00144A5D">
        <w:rPr>
          <w:rFonts w:ascii="Calibri" w:hAnsi="Calibri" w:cs="Calibri"/>
          <w:b/>
        </w:rPr>
        <w:t xml:space="preserve"> of wood </w:t>
      </w:r>
      <w:proofErr w:type="spellStart"/>
      <w:r w:rsidR="00144A5D">
        <w:rPr>
          <w:rFonts w:ascii="Calibri" w:hAnsi="Calibri" w:cs="Calibri"/>
          <w:b/>
        </w:rPr>
        <w:t>fib</w:t>
      </w:r>
      <w:r w:rsidR="00144A5D" w:rsidRPr="00144A5D">
        <w:rPr>
          <w:rFonts w:ascii="Calibri" w:hAnsi="Calibri" w:cs="Calibri"/>
          <w:b/>
        </w:rPr>
        <w:t>res</w:t>
      </w:r>
      <w:proofErr w:type="spellEnd"/>
      <w:r w:rsidR="00144A5D" w:rsidRPr="00144A5D">
        <w:rPr>
          <w:rFonts w:ascii="Calibri" w:hAnsi="Calibri" w:cs="Calibri"/>
          <w:b/>
        </w:rPr>
        <w:t>.</w:t>
      </w:r>
      <w:r w:rsidR="00C00C37">
        <w:rPr>
          <w:rFonts w:ascii="Calibri" w:hAnsi="Calibri" w:cs="Calibri"/>
        </w:rPr>
        <w:t xml:space="preserve"> </w:t>
      </w:r>
      <w:r w:rsidR="00144A5D" w:rsidRPr="00144A5D">
        <w:rPr>
          <w:rFonts w:ascii="Calibri" w:hAnsi="Calibri" w:cs="Calibri"/>
        </w:rPr>
        <w:t xml:space="preserve">This approach </w:t>
      </w:r>
      <w:r w:rsidR="00144A5D">
        <w:rPr>
          <w:rFonts w:ascii="Calibri" w:hAnsi="Calibri" w:cs="Calibri"/>
        </w:rPr>
        <w:t xml:space="preserve">will enable </w:t>
      </w:r>
      <w:r w:rsidR="009D77D0" w:rsidRPr="00AF4280">
        <w:rPr>
          <w:rFonts w:ascii="Calibri" w:hAnsi="Calibri" w:cs="Calibri"/>
        </w:rPr>
        <w:t>some con</w:t>
      </w:r>
      <w:r w:rsidR="00144A5D">
        <w:rPr>
          <w:rFonts w:ascii="Calibri" w:hAnsi="Calibri" w:cs="Calibri"/>
        </w:rPr>
        <w:t>c</w:t>
      </w:r>
      <w:r w:rsidR="009D77D0" w:rsidRPr="00AF4280">
        <w:rPr>
          <w:rFonts w:ascii="Calibri" w:hAnsi="Calibri" w:cs="Calibri"/>
        </w:rPr>
        <w:t xml:space="preserve">lusions </w:t>
      </w:r>
      <w:r w:rsidR="00144A5D">
        <w:rPr>
          <w:rFonts w:ascii="Calibri" w:hAnsi="Calibri" w:cs="Calibri"/>
        </w:rPr>
        <w:t xml:space="preserve">on </w:t>
      </w:r>
      <w:r w:rsidR="009D77D0" w:rsidRPr="00AF4280">
        <w:rPr>
          <w:rFonts w:ascii="Calibri" w:hAnsi="Calibri" w:cs="Calibri"/>
        </w:rPr>
        <w:t xml:space="preserve">the role of wood energy for the forest based sector and also </w:t>
      </w:r>
      <w:r w:rsidR="00144A5D">
        <w:rPr>
          <w:rFonts w:ascii="Calibri" w:hAnsi="Calibri" w:cs="Calibri"/>
        </w:rPr>
        <w:t xml:space="preserve">helps to </w:t>
      </w:r>
      <w:r w:rsidR="009D77D0" w:rsidRPr="00AF4280">
        <w:rPr>
          <w:rFonts w:ascii="Calibri" w:hAnsi="Calibri" w:cs="Calibri"/>
        </w:rPr>
        <w:t>assess</w:t>
      </w:r>
      <w:r w:rsidR="00144A5D">
        <w:rPr>
          <w:rFonts w:ascii="Calibri" w:hAnsi="Calibri" w:cs="Calibri"/>
        </w:rPr>
        <w:t xml:space="preserve"> </w:t>
      </w:r>
      <w:r w:rsidR="009D77D0" w:rsidRPr="00AF4280">
        <w:rPr>
          <w:rFonts w:ascii="Calibri" w:hAnsi="Calibri" w:cs="Calibri"/>
        </w:rPr>
        <w:t xml:space="preserve">potential </w:t>
      </w:r>
      <w:r w:rsidR="003F4AD8">
        <w:rPr>
          <w:rFonts w:ascii="Calibri" w:hAnsi="Calibri" w:cs="Calibri"/>
        </w:rPr>
        <w:t>gaps</w:t>
      </w:r>
      <w:r w:rsidR="00144A5D">
        <w:rPr>
          <w:rFonts w:ascii="Calibri" w:hAnsi="Calibri" w:cs="Calibri"/>
        </w:rPr>
        <w:t>,</w:t>
      </w:r>
      <w:r w:rsidR="009D77D0" w:rsidRPr="00AF4280">
        <w:rPr>
          <w:rFonts w:ascii="Calibri" w:hAnsi="Calibri" w:cs="Calibri"/>
        </w:rPr>
        <w:t xml:space="preserve"> availabilities </w:t>
      </w:r>
      <w:r w:rsidR="00144A5D">
        <w:rPr>
          <w:rFonts w:ascii="Calibri" w:hAnsi="Calibri" w:cs="Calibri"/>
        </w:rPr>
        <w:t>and conflicts.</w:t>
      </w:r>
    </w:p>
    <w:p w:rsidR="00C00C37" w:rsidRPr="00AF4280" w:rsidRDefault="00C00C37" w:rsidP="0047427B">
      <w:pPr>
        <w:jc w:val="both"/>
        <w:rPr>
          <w:rFonts w:ascii="Calibri" w:hAnsi="Calibri" w:cs="Calibri"/>
        </w:rPr>
      </w:pPr>
    </w:p>
    <w:p w:rsidR="009D77D0" w:rsidRPr="0047427B" w:rsidRDefault="00144A5D" w:rsidP="0047427B">
      <w:pPr>
        <w:jc w:val="both"/>
        <w:rPr>
          <w:rFonts w:ascii="Calibri" w:hAnsi="Calibri" w:cs="Calibri"/>
        </w:rPr>
      </w:pPr>
      <w:r w:rsidRPr="0047427B">
        <w:rPr>
          <w:rFonts w:ascii="Calibri" w:hAnsi="Calibri" w:cs="Calibri"/>
        </w:rPr>
        <w:t>Table I goes</w:t>
      </w:r>
      <w:r w:rsidR="00A324AD" w:rsidRPr="0047427B">
        <w:rPr>
          <w:rFonts w:ascii="Calibri" w:hAnsi="Calibri" w:cs="Calibri"/>
        </w:rPr>
        <w:t xml:space="preserve"> beyond the set of data collected in the Joint Forest Sector Questionnaire</w:t>
      </w:r>
      <w:r w:rsidR="009C4772" w:rsidRPr="0047427B">
        <w:rPr>
          <w:rFonts w:ascii="Calibri" w:hAnsi="Calibri" w:cs="Calibri"/>
        </w:rPr>
        <w:t xml:space="preserve"> (JFSQ)</w:t>
      </w:r>
      <w:r w:rsidR="00A324AD" w:rsidRPr="0047427B">
        <w:rPr>
          <w:rFonts w:ascii="Calibri" w:hAnsi="Calibri" w:cs="Calibri"/>
        </w:rPr>
        <w:t xml:space="preserve">. However, the linkage and overlapping with the JFSQ is taken into consideration and any data </w:t>
      </w:r>
      <w:r w:rsidRPr="0047427B">
        <w:rPr>
          <w:rFonts w:ascii="Calibri" w:hAnsi="Calibri" w:cs="Calibri"/>
        </w:rPr>
        <w:t xml:space="preserve">already </w:t>
      </w:r>
      <w:r w:rsidR="00A324AD" w:rsidRPr="0047427B">
        <w:rPr>
          <w:rFonts w:ascii="Calibri" w:hAnsi="Calibri" w:cs="Calibri"/>
        </w:rPr>
        <w:t xml:space="preserve">available at </w:t>
      </w:r>
      <w:r w:rsidRPr="0047427B">
        <w:rPr>
          <w:rFonts w:ascii="Calibri" w:hAnsi="Calibri" w:cs="Calibri"/>
        </w:rPr>
        <w:t xml:space="preserve">international </w:t>
      </w:r>
      <w:r w:rsidR="00A324AD" w:rsidRPr="0047427B">
        <w:rPr>
          <w:rFonts w:ascii="Calibri" w:hAnsi="Calibri" w:cs="Calibri"/>
        </w:rPr>
        <w:t xml:space="preserve">level </w:t>
      </w:r>
      <w:r w:rsidR="003F4AD8" w:rsidRPr="0047427B">
        <w:rPr>
          <w:rFonts w:ascii="Calibri" w:hAnsi="Calibri" w:cs="Calibri"/>
        </w:rPr>
        <w:t xml:space="preserve">is </w:t>
      </w:r>
      <w:r w:rsidR="00A324AD" w:rsidRPr="0047427B">
        <w:rPr>
          <w:rFonts w:ascii="Calibri" w:hAnsi="Calibri" w:cs="Calibri"/>
        </w:rPr>
        <w:t xml:space="preserve">used to pre-fill </w:t>
      </w:r>
      <w:r w:rsidR="003F4AD8" w:rsidRPr="0047427B">
        <w:rPr>
          <w:rFonts w:ascii="Calibri" w:hAnsi="Calibri" w:cs="Calibri"/>
        </w:rPr>
        <w:t>a number of</w:t>
      </w:r>
      <w:r w:rsidR="00A324AD" w:rsidRPr="0047427B">
        <w:rPr>
          <w:rFonts w:ascii="Calibri" w:hAnsi="Calibri" w:cs="Calibri"/>
        </w:rPr>
        <w:t xml:space="preserve"> cells.</w:t>
      </w:r>
    </w:p>
    <w:p w:rsidR="00C00C37" w:rsidRDefault="00C00C37" w:rsidP="0047427B">
      <w:pPr>
        <w:jc w:val="both"/>
        <w:rPr>
          <w:rFonts w:ascii="Calibri" w:hAnsi="Calibri" w:cs="Calibri"/>
          <w:highlight w:val="yellow"/>
        </w:rPr>
      </w:pPr>
    </w:p>
    <w:p w:rsidR="009E78A6" w:rsidRPr="0047427B" w:rsidRDefault="00A324AD" w:rsidP="0047427B">
      <w:pPr>
        <w:jc w:val="both"/>
        <w:rPr>
          <w:rFonts w:ascii="Calibri" w:hAnsi="Calibri" w:cs="Calibri"/>
        </w:rPr>
      </w:pPr>
      <w:r w:rsidRPr="0047427B">
        <w:rPr>
          <w:rFonts w:ascii="Calibri" w:hAnsi="Calibri" w:cs="Calibri"/>
        </w:rPr>
        <w:t>The cell on “Black liquor (without</w:t>
      </w:r>
      <w:r w:rsidR="009E78A6" w:rsidRPr="0047427B">
        <w:rPr>
          <w:rFonts w:ascii="Calibri" w:hAnsi="Calibri" w:cs="Calibri"/>
        </w:rPr>
        <w:t xml:space="preserve"> crude</w:t>
      </w:r>
      <w:r w:rsidRPr="0047427B">
        <w:rPr>
          <w:rFonts w:ascii="Calibri" w:hAnsi="Calibri" w:cs="Calibri"/>
        </w:rPr>
        <w:t xml:space="preserve"> tall oil)” </w:t>
      </w:r>
      <w:r w:rsidR="003F4AD8" w:rsidRPr="0047427B">
        <w:rPr>
          <w:rFonts w:ascii="Calibri" w:hAnsi="Calibri" w:cs="Calibri"/>
        </w:rPr>
        <w:t>is</w:t>
      </w:r>
      <w:r w:rsidRPr="0047427B">
        <w:rPr>
          <w:rFonts w:ascii="Calibri" w:hAnsi="Calibri" w:cs="Calibri"/>
        </w:rPr>
        <w:t xml:space="preserve"> prefilled, based </w:t>
      </w:r>
      <w:r w:rsidR="003B279D" w:rsidRPr="0047427B">
        <w:rPr>
          <w:rFonts w:ascii="Calibri" w:hAnsi="Calibri" w:cs="Calibri"/>
        </w:rPr>
        <w:t xml:space="preserve">on </w:t>
      </w:r>
      <w:r w:rsidRPr="0047427B">
        <w:rPr>
          <w:rFonts w:ascii="Calibri" w:hAnsi="Calibri" w:cs="Calibri"/>
        </w:rPr>
        <w:t xml:space="preserve">JFSQ information on </w:t>
      </w:r>
      <w:r w:rsidR="009E78A6" w:rsidRPr="0047427B">
        <w:rPr>
          <w:rFonts w:ascii="Calibri" w:hAnsi="Calibri" w:cs="Calibri"/>
        </w:rPr>
        <w:t xml:space="preserve">chemical </w:t>
      </w:r>
      <w:r w:rsidRPr="0047427B">
        <w:rPr>
          <w:rFonts w:ascii="Calibri" w:hAnsi="Calibri" w:cs="Calibri"/>
        </w:rPr>
        <w:t>pulp produc</w:t>
      </w:r>
      <w:r w:rsidR="009E78A6" w:rsidRPr="0047427B">
        <w:rPr>
          <w:rFonts w:ascii="Calibri" w:hAnsi="Calibri" w:cs="Calibri"/>
        </w:rPr>
        <w:t xml:space="preserve">tion </w:t>
      </w:r>
      <w:r w:rsidRPr="0047427B">
        <w:rPr>
          <w:rFonts w:ascii="Calibri" w:hAnsi="Calibri" w:cs="Calibri"/>
        </w:rPr>
        <w:t xml:space="preserve">using the conversion </w:t>
      </w:r>
      <w:r w:rsidR="003F4AD8" w:rsidRPr="0047427B">
        <w:rPr>
          <w:rFonts w:ascii="Calibri" w:hAnsi="Calibri" w:cs="Calibri"/>
        </w:rPr>
        <w:t>factor</w:t>
      </w:r>
      <w:r w:rsidR="00E03D58" w:rsidRPr="0047427B">
        <w:rPr>
          <w:rFonts w:ascii="Calibri" w:hAnsi="Calibri" w:cs="Calibri"/>
        </w:rPr>
        <w:t>s</w:t>
      </w:r>
      <w:r w:rsidR="003F4AD8" w:rsidRPr="0047427B">
        <w:rPr>
          <w:rFonts w:ascii="Calibri" w:hAnsi="Calibri" w:cs="Calibri"/>
        </w:rPr>
        <w:t xml:space="preserve"> </w:t>
      </w:r>
      <w:r w:rsidRPr="0047427B">
        <w:rPr>
          <w:rFonts w:ascii="Calibri" w:hAnsi="Calibri" w:cs="Calibri"/>
        </w:rPr>
        <w:t xml:space="preserve">from the </w:t>
      </w:r>
      <w:r w:rsidR="00C94F9A" w:rsidRPr="0047427B">
        <w:rPr>
          <w:rFonts w:ascii="Calibri" w:hAnsi="Calibri" w:cs="Calibri"/>
        </w:rPr>
        <w:t>“Conversion factors energy” table</w:t>
      </w:r>
      <w:r w:rsidR="000F5447" w:rsidRPr="0047427B">
        <w:rPr>
          <w:rFonts w:ascii="Calibri" w:hAnsi="Calibri" w:cs="Calibri"/>
        </w:rPr>
        <w:t xml:space="preserve"> </w:t>
      </w:r>
      <w:r w:rsidR="00E817B4" w:rsidRPr="0047427B">
        <w:rPr>
          <w:rFonts w:ascii="Calibri" w:hAnsi="Calibri" w:cs="Calibri"/>
        </w:rPr>
        <w:t>Since the conversion factor</w:t>
      </w:r>
      <w:r w:rsidR="00E03D58" w:rsidRPr="0047427B">
        <w:rPr>
          <w:rFonts w:ascii="Calibri" w:hAnsi="Calibri" w:cs="Calibri"/>
        </w:rPr>
        <w:t>s</w:t>
      </w:r>
      <w:r w:rsidR="00E817B4" w:rsidRPr="0047427B">
        <w:rPr>
          <w:rFonts w:ascii="Calibri" w:hAnsi="Calibri" w:cs="Calibri"/>
        </w:rPr>
        <w:t xml:space="preserve"> for prefilling the black liquor data </w:t>
      </w:r>
      <w:r w:rsidR="00E03D58" w:rsidRPr="0047427B">
        <w:rPr>
          <w:rFonts w:ascii="Calibri" w:hAnsi="Calibri" w:cs="Calibri"/>
        </w:rPr>
        <w:t>are</w:t>
      </w:r>
      <w:r w:rsidR="00E817B4" w:rsidRPr="0047427B">
        <w:rPr>
          <w:rFonts w:ascii="Calibri" w:hAnsi="Calibri" w:cs="Calibri"/>
        </w:rPr>
        <w:t xml:space="preserve"> </w:t>
      </w:r>
      <w:r w:rsidR="00DF428B" w:rsidRPr="0047427B">
        <w:rPr>
          <w:rFonts w:ascii="Calibri" w:hAnsi="Calibri" w:cs="Calibri"/>
        </w:rPr>
        <w:t>generic</w:t>
      </w:r>
      <w:r w:rsidR="00E817B4" w:rsidRPr="0047427B">
        <w:rPr>
          <w:rFonts w:ascii="Calibri" w:hAnsi="Calibri" w:cs="Calibri"/>
        </w:rPr>
        <w:t>, country correspondents are strongly encouraged to verify the amount and to adjust it accordingly.</w:t>
      </w:r>
      <w:r w:rsidR="000F5447" w:rsidRPr="0047427B">
        <w:rPr>
          <w:rFonts w:ascii="Calibri" w:hAnsi="Calibri" w:cs="Calibri"/>
        </w:rPr>
        <w:t xml:space="preserve"> The unit has been changed to metric tonnes upon request during the Paris workshop.</w:t>
      </w:r>
    </w:p>
    <w:p w:rsidR="00C00C37" w:rsidRDefault="00C00C37" w:rsidP="0047427B">
      <w:pPr>
        <w:jc w:val="both"/>
        <w:rPr>
          <w:rFonts w:ascii="Calibri" w:hAnsi="Calibri" w:cs="Calibri"/>
        </w:rPr>
      </w:pPr>
    </w:p>
    <w:p w:rsidR="00E817B4" w:rsidRDefault="009E78A6" w:rsidP="0047427B">
      <w:pPr>
        <w:jc w:val="both"/>
        <w:rPr>
          <w:rFonts w:ascii="Calibri" w:hAnsi="Calibri" w:cs="Calibri"/>
        </w:rPr>
      </w:pPr>
      <w:r w:rsidRPr="0047427B">
        <w:rPr>
          <w:rFonts w:ascii="Calibri" w:hAnsi="Calibri" w:cs="Calibri"/>
        </w:rPr>
        <w:t xml:space="preserve">Since the </w:t>
      </w:r>
      <w:r w:rsidR="00DC2456">
        <w:rPr>
          <w:rFonts w:ascii="Calibri" w:hAnsi="Calibri" w:cs="Calibri"/>
        </w:rPr>
        <w:t>2009</w:t>
      </w:r>
      <w:r w:rsidRPr="0047427B">
        <w:rPr>
          <w:rFonts w:ascii="Calibri" w:hAnsi="Calibri" w:cs="Calibri"/>
        </w:rPr>
        <w:t xml:space="preserve"> questionnaire, the </w:t>
      </w:r>
      <w:r w:rsidR="002402EF" w:rsidRPr="0047427B">
        <w:rPr>
          <w:rFonts w:ascii="Calibri" w:hAnsi="Calibri" w:cs="Calibri"/>
        </w:rPr>
        <w:t>category</w:t>
      </w:r>
      <w:r w:rsidRPr="0047427B">
        <w:rPr>
          <w:rFonts w:ascii="Calibri" w:hAnsi="Calibri" w:cs="Calibri"/>
        </w:rPr>
        <w:t xml:space="preserve"> </w:t>
      </w:r>
      <w:r w:rsidR="002402EF" w:rsidRPr="0047427B">
        <w:rPr>
          <w:rFonts w:ascii="Calibri" w:hAnsi="Calibri" w:cs="Calibri"/>
        </w:rPr>
        <w:t>t</w:t>
      </w:r>
      <w:r w:rsidRPr="0047427B">
        <w:rPr>
          <w:rFonts w:ascii="Calibri" w:hAnsi="Calibri" w:cs="Calibri"/>
        </w:rPr>
        <w:t>all oil has been modified to “Crude tall oil”</w:t>
      </w:r>
      <w:r w:rsidR="00DC2456">
        <w:rPr>
          <w:rFonts w:ascii="Calibri" w:hAnsi="Calibri" w:cs="Calibri"/>
        </w:rPr>
        <w:t xml:space="preserve"> </w:t>
      </w:r>
      <w:r w:rsidR="002402EF" w:rsidRPr="0047427B">
        <w:rPr>
          <w:rFonts w:ascii="Calibri" w:hAnsi="Calibri" w:cs="Calibri"/>
        </w:rPr>
        <w:t xml:space="preserve">to include </w:t>
      </w:r>
      <w:r w:rsidRPr="0047427B">
        <w:rPr>
          <w:rFonts w:ascii="Calibri" w:hAnsi="Calibri" w:cs="Calibri"/>
        </w:rPr>
        <w:t xml:space="preserve">the entire amount of resin acids, fatty acids and </w:t>
      </w:r>
      <w:r w:rsidR="002F6982">
        <w:rPr>
          <w:rFonts w:ascii="Calibri" w:hAnsi="Calibri" w:cs="Calibri"/>
        </w:rPr>
        <w:t xml:space="preserve">other </w:t>
      </w:r>
      <w:proofErr w:type="spellStart"/>
      <w:r w:rsidR="002F6982">
        <w:rPr>
          <w:rFonts w:ascii="Calibri" w:hAnsi="Calibri" w:cs="Calibri"/>
        </w:rPr>
        <w:t>derivates</w:t>
      </w:r>
      <w:proofErr w:type="spellEnd"/>
      <w:r w:rsidR="002F6982" w:rsidRPr="0047427B">
        <w:rPr>
          <w:rFonts w:ascii="Calibri" w:hAnsi="Calibri" w:cs="Calibri"/>
        </w:rPr>
        <w:t xml:space="preserve"> </w:t>
      </w:r>
      <w:r w:rsidRPr="0047427B">
        <w:rPr>
          <w:rFonts w:ascii="Calibri" w:hAnsi="Calibri" w:cs="Calibri"/>
        </w:rPr>
        <w:t xml:space="preserve">that are obtained when acidifying black liquor soap with </w:t>
      </w:r>
      <w:proofErr w:type="spellStart"/>
      <w:r w:rsidRPr="0047427B">
        <w:rPr>
          <w:rFonts w:ascii="Calibri" w:hAnsi="Calibri" w:cs="Calibri"/>
        </w:rPr>
        <w:t>sul</w:t>
      </w:r>
      <w:r w:rsidR="002F6982">
        <w:rPr>
          <w:rFonts w:ascii="Calibri" w:hAnsi="Calibri" w:cs="Calibri"/>
        </w:rPr>
        <w:t>ph</w:t>
      </w:r>
      <w:r w:rsidRPr="0047427B">
        <w:rPr>
          <w:rFonts w:ascii="Calibri" w:hAnsi="Calibri" w:cs="Calibri"/>
        </w:rPr>
        <w:t>uric</w:t>
      </w:r>
      <w:proofErr w:type="spellEnd"/>
      <w:r w:rsidRPr="0047427B">
        <w:rPr>
          <w:rFonts w:ascii="Calibri" w:hAnsi="Calibri" w:cs="Calibri"/>
        </w:rPr>
        <w:t xml:space="preserve"> acid. Tall oil generation is not being prefilled, since it </w:t>
      </w:r>
      <w:r w:rsidR="00EA5D9B" w:rsidRPr="0047427B">
        <w:rPr>
          <w:rFonts w:ascii="Calibri" w:hAnsi="Calibri" w:cs="Calibri"/>
        </w:rPr>
        <w:t xml:space="preserve">is a </w:t>
      </w:r>
      <w:r w:rsidRPr="0047427B">
        <w:rPr>
          <w:rFonts w:ascii="Calibri" w:hAnsi="Calibri" w:cs="Calibri"/>
        </w:rPr>
        <w:t>highly</w:t>
      </w:r>
      <w:r w:rsidR="00EA5D9B" w:rsidRPr="0047427B">
        <w:rPr>
          <w:rFonts w:ascii="Calibri" w:hAnsi="Calibri" w:cs="Calibri"/>
        </w:rPr>
        <w:t xml:space="preserve"> specific by-product of </w:t>
      </w:r>
      <w:proofErr w:type="spellStart"/>
      <w:r w:rsidR="00EA5D9B" w:rsidRPr="0047427B">
        <w:rPr>
          <w:rFonts w:ascii="Calibri" w:hAnsi="Calibri" w:cs="Calibri"/>
        </w:rPr>
        <w:t>kraft</w:t>
      </w:r>
      <w:proofErr w:type="spellEnd"/>
      <w:r w:rsidR="00EA5D9B" w:rsidRPr="0047427B">
        <w:rPr>
          <w:rFonts w:ascii="Calibri" w:hAnsi="Calibri" w:cs="Calibri"/>
        </w:rPr>
        <w:t xml:space="preserve"> pulping of pine wood. </w:t>
      </w:r>
      <w:r w:rsidR="007B5A4F" w:rsidRPr="0047427B">
        <w:rPr>
          <w:rFonts w:ascii="Calibri" w:hAnsi="Calibri" w:cs="Calibri"/>
        </w:rPr>
        <w:t>The amount of tall oil pitch</w:t>
      </w:r>
      <w:r w:rsidR="000F5447" w:rsidRPr="0047427B">
        <w:rPr>
          <w:rFonts w:ascii="Calibri" w:hAnsi="Calibri" w:cs="Calibri"/>
        </w:rPr>
        <w:t xml:space="preserve"> should </w:t>
      </w:r>
      <w:r w:rsidR="002F6982">
        <w:rPr>
          <w:rFonts w:ascii="Calibri" w:hAnsi="Calibri" w:cs="Calibri"/>
        </w:rPr>
        <w:t xml:space="preserve">also </w:t>
      </w:r>
      <w:r w:rsidR="000F5447" w:rsidRPr="0047427B">
        <w:rPr>
          <w:rFonts w:ascii="Calibri" w:hAnsi="Calibri" w:cs="Calibri"/>
        </w:rPr>
        <w:t xml:space="preserve">be reported under </w:t>
      </w:r>
      <w:r w:rsidR="002F6982">
        <w:rPr>
          <w:rFonts w:ascii="Calibri" w:hAnsi="Calibri" w:cs="Calibri"/>
        </w:rPr>
        <w:t>this category</w:t>
      </w:r>
      <w:r w:rsidR="000F5447" w:rsidRPr="0047427B">
        <w:rPr>
          <w:rFonts w:ascii="Calibri" w:hAnsi="Calibri" w:cs="Calibri"/>
        </w:rPr>
        <w:t xml:space="preserve"> </w:t>
      </w:r>
      <w:r w:rsidR="003F149C" w:rsidRPr="0047427B">
        <w:rPr>
          <w:rFonts w:ascii="Calibri" w:hAnsi="Calibri" w:cs="Calibri"/>
        </w:rPr>
        <w:t>–</w:t>
      </w:r>
      <w:r w:rsidR="000F5447" w:rsidRPr="0047427B">
        <w:rPr>
          <w:rFonts w:ascii="Calibri" w:hAnsi="Calibri" w:cs="Calibri"/>
        </w:rPr>
        <w:t xml:space="preserve"> </w:t>
      </w:r>
      <w:r w:rsidR="003F149C" w:rsidRPr="0047427B">
        <w:rPr>
          <w:rFonts w:ascii="Calibri" w:hAnsi="Calibri" w:cs="Calibri"/>
        </w:rPr>
        <w:t>despite the fact that</w:t>
      </w:r>
      <w:r w:rsidR="007B5A4F" w:rsidRPr="0047427B">
        <w:rPr>
          <w:rFonts w:ascii="Calibri" w:hAnsi="Calibri" w:cs="Calibri"/>
        </w:rPr>
        <w:t xml:space="preserve"> a very limited number of countries may have different tax schemes </w:t>
      </w:r>
      <w:r w:rsidR="003F149C" w:rsidRPr="0047427B">
        <w:rPr>
          <w:rFonts w:ascii="Calibri" w:hAnsi="Calibri" w:cs="Calibri"/>
        </w:rPr>
        <w:t xml:space="preserve">for each </w:t>
      </w:r>
      <w:r w:rsidR="007B5A4F" w:rsidRPr="0047427B">
        <w:rPr>
          <w:rFonts w:ascii="Calibri" w:hAnsi="Calibri" w:cs="Calibri"/>
        </w:rPr>
        <w:t>tall oil distillate.</w:t>
      </w:r>
    </w:p>
    <w:p w:rsidR="00C00C37" w:rsidRDefault="00C00C37" w:rsidP="0047427B">
      <w:pPr>
        <w:jc w:val="both"/>
        <w:rPr>
          <w:rFonts w:ascii="Calibri" w:hAnsi="Calibri" w:cs="Calibri"/>
        </w:rPr>
      </w:pPr>
    </w:p>
    <w:p w:rsidR="00581C5D" w:rsidRDefault="003F4AD8" w:rsidP="0047427B">
      <w:pPr>
        <w:jc w:val="both"/>
        <w:rPr>
          <w:rFonts w:ascii="Calibri" w:hAnsi="Calibri" w:cs="Calibri"/>
        </w:rPr>
      </w:pPr>
      <w:r w:rsidRPr="0047427B">
        <w:rPr>
          <w:rFonts w:ascii="Calibri" w:hAnsi="Calibri" w:cs="Calibri"/>
        </w:rPr>
        <w:t>B</w:t>
      </w:r>
      <w:r w:rsidR="00144A5D" w:rsidRPr="0047427B">
        <w:rPr>
          <w:rFonts w:ascii="Calibri" w:hAnsi="Calibri" w:cs="Calibri"/>
        </w:rPr>
        <w:t xml:space="preserve">ark </w:t>
      </w:r>
      <w:r w:rsidRPr="0047427B">
        <w:rPr>
          <w:rFonts w:ascii="Calibri" w:hAnsi="Calibri" w:cs="Calibri"/>
        </w:rPr>
        <w:t>data is</w:t>
      </w:r>
      <w:r w:rsidR="00144A5D" w:rsidRPr="0047427B">
        <w:rPr>
          <w:rFonts w:ascii="Calibri" w:hAnsi="Calibri" w:cs="Calibri"/>
        </w:rPr>
        <w:t xml:space="preserve"> </w:t>
      </w:r>
      <w:r w:rsidRPr="0047427B">
        <w:rPr>
          <w:rFonts w:ascii="Calibri" w:hAnsi="Calibri" w:cs="Calibri"/>
        </w:rPr>
        <w:t xml:space="preserve">also </w:t>
      </w:r>
      <w:r w:rsidR="00144A5D" w:rsidRPr="0047427B">
        <w:rPr>
          <w:rFonts w:ascii="Calibri" w:hAnsi="Calibri" w:cs="Calibri"/>
        </w:rPr>
        <w:t>prefilled</w:t>
      </w:r>
      <w:r w:rsidR="009C4772" w:rsidRPr="0047427B">
        <w:rPr>
          <w:rFonts w:ascii="Calibri" w:hAnsi="Calibri" w:cs="Calibri"/>
        </w:rPr>
        <w:t xml:space="preserve"> based on</w:t>
      </w:r>
      <w:r w:rsidR="00144A5D" w:rsidRPr="0047427B">
        <w:rPr>
          <w:rFonts w:ascii="Calibri" w:hAnsi="Calibri" w:cs="Calibri"/>
        </w:rPr>
        <w:t xml:space="preserve"> </w:t>
      </w:r>
      <w:r w:rsidRPr="0047427B">
        <w:rPr>
          <w:rFonts w:ascii="Calibri" w:hAnsi="Calibri" w:cs="Calibri"/>
        </w:rPr>
        <w:t>the</w:t>
      </w:r>
      <w:r w:rsidR="00144A5D" w:rsidRPr="0047427B">
        <w:rPr>
          <w:rFonts w:ascii="Calibri" w:hAnsi="Calibri" w:cs="Calibri"/>
        </w:rPr>
        <w:t xml:space="preserve"> </w:t>
      </w:r>
      <w:r w:rsidRPr="0047427B">
        <w:rPr>
          <w:rFonts w:ascii="Calibri" w:hAnsi="Calibri" w:cs="Calibri"/>
        </w:rPr>
        <w:t xml:space="preserve">rather </w:t>
      </w:r>
      <w:r w:rsidR="00144A5D" w:rsidRPr="0047427B">
        <w:rPr>
          <w:rFonts w:ascii="Calibri" w:hAnsi="Calibri" w:cs="Calibri"/>
        </w:rPr>
        <w:t>conservative estimat</w:t>
      </w:r>
      <w:r w:rsidR="009C4772" w:rsidRPr="0047427B">
        <w:rPr>
          <w:rFonts w:ascii="Calibri" w:hAnsi="Calibri" w:cs="Calibri"/>
        </w:rPr>
        <w:t>e</w:t>
      </w:r>
      <w:r w:rsidR="00BF2BF5" w:rsidRPr="0047427B">
        <w:rPr>
          <w:rFonts w:ascii="Calibri" w:hAnsi="Calibri" w:cs="Calibri"/>
        </w:rPr>
        <w:t xml:space="preserve"> that bark represents 3</w:t>
      </w:r>
      <w:r w:rsidR="00144A5D" w:rsidRPr="0047427B">
        <w:rPr>
          <w:rFonts w:ascii="Calibri" w:hAnsi="Calibri" w:cs="Calibri"/>
        </w:rPr>
        <w:t>% of harvested</w:t>
      </w:r>
      <w:r w:rsidR="00BF2BF5" w:rsidRPr="0047427B">
        <w:rPr>
          <w:rFonts w:ascii="Calibri" w:hAnsi="Calibri" w:cs="Calibri"/>
        </w:rPr>
        <w:t xml:space="preserve"> industrial</w:t>
      </w:r>
      <w:r w:rsidR="00144A5D" w:rsidRPr="0047427B">
        <w:rPr>
          <w:rFonts w:ascii="Calibri" w:hAnsi="Calibri" w:cs="Calibri"/>
        </w:rPr>
        <w:t xml:space="preserve"> </w:t>
      </w:r>
      <w:proofErr w:type="spellStart"/>
      <w:r w:rsidR="00581C5D" w:rsidRPr="0047427B">
        <w:rPr>
          <w:rFonts w:ascii="Calibri" w:hAnsi="Calibri" w:cs="Calibri"/>
        </w:rPr>
        <w:t>round</w:t>
      </w:r>
      <w:r w:rsidR="00144A5D" w:rsidRPr="0047427B">
        <w:rPr>
          <w:rFonts w:ascii="Calibri" w:hAnsi="Calibri" w:cs="Calibri"/>
        </w:rPr>
        <w:t>wood</w:t>
      </w:r>
      <w:proofErr w:type="spellEnd"/>
      <w:r w:rsidR="00144A5D" w:rsidRPr="0047427B">
        <w:rPr>
          <w:rFonts w:ascii="Calibri" w:hAnsi="Calibri" w:cs="Calibri"/>
        </w:rPr>
        <w:t>.</w:t>
      </w:r>
      <w:r w:rsidR="00581C5D" w:rsidRPr="0047427B">
        <w:rPr>
          <w:rFonts w:ascii="Calibri" w:hAnsi="Calibri" w:cs="Calibri"/>
        </w:rPr>
        <w:t xml:space="preserve"> This estimate is </w:t>
      </w:r>
      <w:r w:rsidR="00E03D58">
        <w:rPr>
          <w:rFonts w:ascii="Calibri" w:hAnsi="Calibri" w:cs="Calibri"/>
        </w:rPr>
        <w:t>unlikely</w:t>
      </w:r>
      <w:r w:rsidR="00581C5D" w:rsidRPr="0047427B">
        <w:rPr>
          <w:rFonts w:ascii="Calibri" w:hAnsi="Calibri" w:cs="Calibri"/>
        </w:rPr>
        <w:t xml:space="preserve"> to reflect real volumes.</w:t>
      </w:r>
      <w:r w:rsidR="002F6982" w:rsidRPr="0047427B">
        <w:rPr>
          <w:rFonts w:ascii="Calibri" w:hAnsi="Calibri" w:cs="Calibri"/>
        </w:rPr>
        <w:t xml:space="preserve"> In fact, in the UNECE region, the bark of conifers and non-coniferous species ranges from as little as 4% of the total over bark volume (and weight) to as much as 30%</w:t>
      </w:r>
      <w:r w:rsidR="002F6982" w:rsidRPr="0047427B">
        <w:rPr>
          <w:rStyle w:val="FootnoteReference"/>
          <w:rFonts w:ascii="Calibri" w:hAnsi="Calibri" w:cs="Calibri"/>
        </w:rPr>
        <w:footnoteReference w:id="3"/>
      </w:r>
      <w:r w:rsidR="002F6982" w:rsidRPr="00C00C37">
        <w:rPr>
          <w:rFonts w:ascii="Calibri" w:hAnsi="Calibri" w:cs="Calibri"/>
        </w:rPr>
        <w:t xml:space="preserve">. </w:t>
      </w:r>
      <w:r w:rsidR="00581C5D" w:rsidRPr="0047427B">
        <w:rPr>
          <w:rFonts w:ascii="Calibri" w:hAnsi="Calibri" w:cs="Calibri"/>
        </w:rPr>
        <w:t xml:space="preserve"> The objective of prefilling a low estimate is </w:t>
      </w:r>
      <w:r w:rsidR="00E03D58">
        <w:rPr>
          <w:rFonts w:ascii="Calibri" w:hAnsi="Calibri" w:cs="Calibri"/>
        </w:rPr>
        <w:t>increase</w:t>
      </w:r>
      <w:r w:rsidR="00581C5D" w:rsidRPr="0047427B">
        <w:rPr>
          <w:rFonts w:ascii="Calibri" w:hAnsi="Calibri" w:cs="Calibri"/>
        </w:rPr>
        <w:t xml:space="preserve"> awareness on th</w:t>
      </w:r>
      <w:r w:rsidR="00E03D58">
        <w:rPr>
          <w:rFonts w:ascii="Calibri" w:hAnsi="Calibri" w:cs="Calibri"/>
        </w:rPr>
        <w:t>is</w:t>
      </w:r>
      <w:r w:rsidR="00581C5D" w:rsidRPr="0047427B">
        <w:rPr>
          <w:rFonts w:ascii="Calibri" w:hAnsi="Calibri" w:cs="Calibri"/>
        </w:rPr>
        <w:t xml:space="preserve"> </w:t>
      </w:r>
      <w:r w:rsidR="00E03D58">
        <w:rPr>
          <w:rFonts w:ascii="Calibri" w:hAnsi="Calibri" w:cs="Calibri"/>
        </w:rPr>
        <w:t>concealed</w:t>
      </w:r>
      <w:r w:rsidR="00581C5D" w:rsidRPr="0047427B">
        <w:rPr>
          <w:rFonts w:ascii="Calibri" w:hAnsi="Calibri" w:cs="Calibri"/>
        </w:rPr>
        <w:t xml:space="preserve"> source of energy.</w:t>
      </w:r>
      <w:r w:rsidR="00BF2BF5" w:rsidRPr="0047427B">
        <w:rPr>
          <w:rFonts w:ascii="Calibri" w:hAnsi="Calibri" w:cs="Calibri"/>
        </w:rPr>
        <w:t xml:space="preserve"> </w:t>
      </w:r>
      <w:r w:rsidR="00C00C37" w:rsidRPr="00C00C37">
        <w:rPr>
          <w:rFonts w:ascii="Calibri" w:hAnsi="Calibri" w:cs="Calibri"/>
        </w:rPr>
        <w:t xml:space="preserve">Unlike </w:t>
      </w:r>
      <w:proofErr w:type="spellStart"/>
      <w:r w:rsidR="00BB6EA6" w:rsidRPr="0047427B">
        <w:rPr>
          <w:rFonts w:ascii="Calibri" w:hAnsi="Calibri" w:cs="Calibri"/>
        </w:rPr>
        <w:t>fuelwood</w:t>
      </w:r>
      <w:proofErr w:type="spellEnd"/>
      <w:r w:rsidR="00C00C37" w:rsidRPr="00C00C37">
        <w:rPr>
          <w:rFonts w:ascii="Calibri" w:hAnsi="Calibri" w:cs="Calibri"/>
        </w:rPr>
        <w:t xml:space="preserve"> bark</w:t>
      </w:r>
      <w:r w:rsidR="00BB6EA6" w:rsidRPr="0047427B">
        <w:rPr>
          <w:rFonts w:ascii="Calibri" w:hAnsi="Calibri" w:cs="Calibri"/>
        </w:rPr>
        <w:t xml:space="preserve">, </w:t>
      </w:r>
      <w:r w:rsidR="00BF2BF5" w:rsidRPr="0047427B">
        <w:rPr>
          <w:rFonts w:ascii="Calibri" w:hAnsi="Calibri" w:cs="Calibri"/>
        </w:rPr>
        <w:t xml:space="preserve">industrial </w:t>
      </w:r>
      <w:proofErr w:type="spellStart"/>
      <w:r w:rsidR="00BF2BF5" w:rsidRPr="0047427B">
        <w:rPr>
          <w:rFonts w:ascii="Calibri" w:hAnsi="Calibri" w:cs="Calibri"/>
        </w:rPr>
        <w:t>roundwood</w:t>
      </w:r>
      <w:proofErr w:type="spellEnd"/>
      <w:r w:rsidR="00BF2BF5" w:rsidRPr="0047427B">
        <w:rPr>
          <w:rFonts w:ascii="Calibri" w:hAnsi="Calibri" w:cs="Calibri"/>
        </w:rPr>
        <w:t xml:space="preserve"> </w:t>
      </w:r>
      <w:r w:rsidR="00C00C37" w:rsidRPr="00C00C37">
        <w:rPr>
          <w:rFonts w:ascii="Calibri" w:hAnsi="Calibri" w:cs="Calibri"/>
        </w:rPr>
        <w:t xml:space="preserve">bark </w:t>
      </w:r>
      <w:r w:rsidR="00BF2BF5" w:rsidRPr="0047427B">
        <w:rPr>
          <w:rFonts w:ascii="Calibri" w:hAnsi="Calibri" w:cs="Calibri"/>
        </w:rPr>
        <w:t>has a different application right from the beginning.</w:t>
      </w:r>
      <w:r w:rsidR="00C00C37" w:rsidRPr="00C00C37">
        <w:rPr>
          <w:rFonts w:ascii="Calibri" w:hAnsi="Calibri" w:cs="Calibri"/>
        </w:rPr>
        <w:t xml:space="preserve"> </w:t>
      </w:r>
      <w:r w:rsidR="00BB6EA6" w:rsidRPr="0047427B">
        <w:rPr>
          <w:rFonts w:ascii="Calibri" w:hAnsi="Calibri" w:cs="Calibri"/>
        </w:rPr>
        <w:t xml:space="preserve">Sawmills and pulp and paper plants are equipped with very efficient bark separation units. </w:t>
      </w:r>
      <w:r w:rsidR="00581C5D" w:rsidRPr="0047427B">
        <w:rPr>
          <w:rFonts w:ascii="Calibri" w:hAnsi="Calibri" w:cs="Calibri"/>
        </w:rPr>
        <w:t xml:space="preserve">Any international statistic and most of the national statistics </w:t>
      </w:r>
      <w:r w:rsidR="00BB6EA6" w:rsidRPr="0047427B">
        <w:rPr>
          <w:rFonts w:ascii="Calibri" w:hAnsi="Calibri" w:cs="Calibri"/>
        </w:rPr>
        <w:t>report</w:t>
      </w:r>
      <w:r w:rsidR="00581C5D" w:rsidRPr="0047427B">
        <w:rPr>
          <w:rFonts w:ascii="Calibri" w:hAnsi="Calibri" w:cs="Calibri"/>
        </w:rPr>
        <w:t xml:space="preserve"> </w:t>
      </w:r>
      <w:r w:rsidR="00BB6EA6" w:rsidRPr="0047427B">
        <w:rPr>
          <w:rFonts w:ascii="Calibri" w:hAnsi="Calibri" w:cs="Calibri"/>
        </w:rPr>
        <w:t xml:space="preserve">industrial </w:t>
      </w:r>
      <w:proofErr w:type="spellStart"/>
      <w:r w:rsidR="00581C5D" w:rsidRPr="0047427B">
        <w:rPr>
          <w:rFonts w:ascii="Calibri" w:hAnsi="Calibri" w:cs="Calibri"/>
        </w:rPr>
        <w:t>roundwood</w:t>
      </w:r>
      <w:proofErr w:type="spellEnd"/>
      <w:r w:rsidR="00581C5D" w:rsidRPr="0047427B">
        <w:rPr>
          <w:rFonts w:ascii="Calibri" w:hAnsi="Calibri" w:cs="Calibri"/>
        </w:rPr>
        <w:t xml:space="preserve"> under bark</w:t>
      </w:r>
      <w:r w:rsidR="00C00C37" w:rsidRPr="0047427B">
        <w:rPr>
          <w:rFonts w:ascii="Calibri" w:hAnsi="Calibri" w:cs="Calibri"/>
        </w:rPr>
        <w:t>.</w:t>
      </w:r>
      <w:r w:rsidR="00BB6EA6" w:rsidRPr="0047427B">
        <w:rPr>
          <w:rFonts w:ascii="Calibri" w:hAnsi="Calibri" w:cs="Calibri"/>
        </w:rPr>
        <w:t xml:space="preserve"> </w:t>
      </w:r>
      <w:r w:rsidR="00C00C37" w:rsidRPr="0047427B">
        <w:rPr>
          <w:rFonts w:ascii="Calibri" w:hAnsi="Calibri" w:cs="Calibri"/>
        </w:rPr>
        <w:t>H</w:t>
      </w:r>
      <w:r w:rsidR="00BB6EA6" w:rsidRPr="0047427B">
        <w:rPr>
          <w:rFonts w:ascii="Calibri" w:hAnsi="Calibri" w:cs="Calibri"/>
        </w:rPr>
        <w:t xml:space="preserve">owever, </w:t>
      </w:r>
      <w:r w:rsidR="00C00C37" w:rsidRPr="0047427B">
        <w:rPr>
          <w:rFonts w:ascii="Calibri" w:hAnsi="Calibri" w:cs="Calibri"/>
        </w:rPr>
        <w:t xml:space="preserve">bark </w:t>
      </w:r>
      <w:r w:rsidR="00581C5D" w:rsidRPr="0047427B">
        <w:rPr>
          <w:rFonts w:ascii="Calibri" w:hAnsi="Calibri" w:cs="Calibri"/>
        </w:rPr>
        <w:t xml:space="preserve">may play a significant role in the fuel supply to pulp and paper and sawmill </w:t>
      </w:r>
      <w:r w:rsidR="00BF2BF5" w:rsidRPr="0047427B">
        <w:rPr>
          <w:rFonts w:ascii="Calibri" w:hAnsi="Calibri" w:cs="Calibri"/>
        </w:rPr>
        <w:t>industries</w:t>
      </w:r>
      <w:r w:rsidR="00BB6EA6" w:rsidRPr="0047427B">
        <w:rPr>
          <w:rFonts w:ascii="Calibri" w:hAnsi="Calibri" w:cs="Calibri"/>
        </w:rPr>
        <w:t xml:space="preserve"> for heat and steam production</w:t>
      </w:r>
      <w:r w:rsidR="00581C5D" w:rsidRPr="0047427B">
        <w:rPr>
          <w:rFonts w:ascii="Calibri" w:hAnsi="Calibri" w:cs="Calibri"/>
        </w:rPr>
        <w:t xml:space="preserve">. </w:t>
      </w:r>
    </w:p>
    <w:p w:rsidR="00C00C37" w:rsidRDefault="00C00C37" w:rsidP="0047427B">
      <w:pPr>
        <w:jc w:val="both"/>
        <w:rPr>
          <w:rFonts w:ascii="Calibri" w:hAnsi="Calibri" w:cs="Calibri"/>
        </w:rPr>
      </w:pPr>
    </w:p>
    <w:p w:rsidR="00A922FD" w:rsidRDefault="003F4AD8" w:rsidP="0047427B">
      <w:pPr>
        <w:jc w:val="both"/>
        <w:rPr>
          <w:rFonts w:ascii="Calibri" w:hAnsi="Calibri" w:cs="Calibri"/>
        </w:rPr>
      </w:pPr>
      <w:r>
        <w:rPr>
          <w:rFonts w:ascii="Calibri" w:hAnsi="Calibri" w:cs="Calibri"/>
        </w:rPr>
        <w:lastRenderedPageBreak/>
        <w:t>A few</w:t>
      </w:r>
      <w:r w:rsidR="009D77D0" w:rsidRPr="00AF4280">
        <w:rPr>
          <w:rFonts w:ascii="Calibri" w:hAnsi="Calibri" w:cs="Calibri"/>
        </w:rPr>
        <w:t xml:space="preserve"> cells may require </w:t>
      </w:r>
      <w:r w:rsidR="00144A5D">
        <w:rPr>
          <w:rFonts w:ascii="Calibri" w:hAnsi="Calibri" w:cs="Calibri"/>
        </w:rPr>
        <w:t>cross-</w:t>
      </w:r>
      <w:proofErr w:type="spellStart"/>
      <w:r w:rsidR="00144A5D">
        <w:rPr>
          <w:rFonts w:ascii="Calibri" w:hAnsi="Calibri" w:cs="Calibri"/>
        </w:rPr>
        <w:t>sectoral</w:t>
      </w:r>
      <w:proofErr w:type="spellEnd"/>
      <w:r w:rsidR="00144A5D">
        <w:rPr>
          <w:rFonts w:ascii="Calibri" w:hAnsi="Calibri" w:cs="Calibri"/>
        </w:rPr>
        <w:t xml:space="preserve"> </w:t>
      </w:r>
      <w:r>
        <w:rPr>
          <w:rFonts w:ascii="Calibri" w:hAnsi="Calibri" w:cs="Calibri"/>
        </w:rPr>
        <w:t>communication and collaboration</w:t>
      </w:r>
      <w:r w:rsidR="009D77D0" w:rsidRPr="00AF4280">
        <w:rPr>
          <w:rFonts w:ascii="Calibri" w:hAnsi="Calibri" w:cs="Calibri"/>
        </w:rPr>
        <w:t xml:space="preserve">. It is suggested that </w:t>
      </w:r>
      <w:r w:rsidR="005D7EC3" w:rsidRPr="00AF4280">
        <w:rPr>
          <w:rFonts w:ascii="Calibri" w:hAnsi="Calibri" w:cs="Calibri"/>
        </w:rPr>
        <w:t xml:space="preserve">national/ international </w:t>
      </w:r>
      <w:r w:rsidR="009D77D0" w:rsidRPr="00AF4280">
        <w:rPr>
          <w:rFonts w:ascii="Calibri" w:hAnsi="Calibri" w:cs="Calibri"/>
        </w:rPr>
        <w:t>waste statistics</w:t>
      </w:r>
      <w:r w:rsidR="00144A5D">
        <w:rPr>
          <w:rFonts w:ascii="Calibri" w:hAnsi="Calibri" w:cs="Calibri"/>
        </w:rPr>
        <w:t xml:space="preserve"> and experts</w:t>
      </w:r>
      <w:r w:rsidR="009D77D0" w:rsidRPr="00AF4280">
        <w:rPr>
          <w:rFonts w:ascii="Calibri" w:hAnsi="Calibri" w:cs="Calibri"/>
        </w:rPr>
        <w:t xml:space="preserve"> may provid</w:t>
      </w:r>
      <w:r w:rsidR="005D7EC3" w:rsidRPr="00AF4280">
        <w:rPr>
          <w:rFonts w:ascii="Calibri" w:hAnsi="Calibri" w:cs="Calibri"/>
        </w:rPr>
        <w:t xml:space="preserve">e </w:t>
      </w:r>
      <w:r>
        <w:rPr>
          <w:rFonts w:ascii="Calibri" w:hAnsi="Calibri" w:cs="Calibri"/>
        </w:rPr>
        <w:t>useful</w:t>
      </w:r>
      <w:r w:rsidRPr="00AF4280">
        <w:rPr>
          <w:rFonts w:ascii="Calibri" w:hAnsi="Calibri" w:cs="Calibri"/>
        </w:rPr>
        <w:t xml:space="preserve"> </w:t>
      </w:r>
      <w:r w:rsidR="009D77D0" w:rsidRPr="00AF4280">
        <w:rPr>
          <w:rFonts w:ascii="Calibri" w:hAnsi="Calibri" w:cs="Calibri"/>
        </w:rPr>
        <w:t>information</w:t>
      </w:r>
      <w:r w:rsidR="005D7EC3" w:rsidRPr="00AF4280">
        <w:rPr>
          <w:rFonts w:ascii="Calibri" w:hAnsi="Calibri" w:cs="Calibri"/>
        </w:rPr>
        <w:t xml:space="preserve"> on wood waste. The table also provides some information, where </w:t>
      </w:r>
      <w:r w:rsidR="003B279D">
        <w:rPr>
          <w:rFonts w:ascii="Calibri" w:hAnsi="Calibri" w:cs="Calibri"/>
        </w:rPr>
        <w:t>NC</w:t>
      </w:r>
      <w:r w:rsidR="005D7EC3" w:rsidRPr="00AF4280">
        <w:rPr>
          <w:rFonts w:ascii="Calibri" w:hAnsi="Calibri" w:cs="Calibri"/>
        </w:rPr>
        <w:t>s an</w:t>
      </w:r>
      <w:r w:rsidR="009C4772">
        <w:rPr>
          <w:rFonts w:ascii="Calibri" w:hAnsi="Calibri" w:cs="Calibri"/>
        </w:rPr>
        <w:t xml:space="preserve">d </w:t>
      </w:r>
      <w:r w:rsidR="005D7EC3" w:rsidRPr="00AF4280">
        <w:rPr>
          <w:rFonts w:ascii="Calibri" w:hAnsi="Calibri" w:cs="Calibri"/>
        </w:rPr>
        <w:t>experts may find relevant information</w:t>
      </w:r>
      <w:r w:rsidR="009D272C">
        <w:rPr>
          <w:rFonts w:ascii="Calibri" w:hAnsi="Calibri" w:cs="Calibri"/>
        </w:rPr>
        <w:t xml:space="preserve"> on wood waste</w:t>
      </w:r>
      <w:r w:rsidR="00D82047">
        <w:rPr>
          <w:rFonts w:ascii="Calibri" w:hAnsi="Calibri" w:cs="Calibri"/>
        </w:rPr>
        <w:t>.</w:t>
      </w:r>
    </w:p>
    <w:p w:rsidR="00C00C37" w:rsidRDefault="00C00C37" w:rsidP="0047427B">
      <w:pPr>
        <w:jc w:val="both"/>
        <w:rPr>
          <w:rFonts w:ascii="Calibri" w:hAnsi="Calibri" w:cs="Calibri"/>
        </w:rPr>
      </w:pPr>
    </w:p>
    <w:p w:rsidR="00EC00E9" w:rsidRDefault="00FC7039" w:rsidP="0047427B">
      <w:pPr>
        <w:jc w:val="both"/>
        <w:rPr>
          <w:rFonts w:ascii="Calibri" w:hAnsi="Calibri" w:cs="Calibri"/>
        </w:rPr>
      </w:pPr>
      <w:r>
        <w:rPr>
          <w:rFonts w:ascii="Calibri" w:hAnsi="Calibri" w:cs="Calibri"/>
        </w:rPr>
        <w:t>The column on “</w:t>
      </w:r>
      <w:r w:rsidRPr="00FC7039">
        <w:rPr>
          <w:rFonts w:ascii="Calibri" w:hAnsi="Calibri" w:cs="Calibri"/>
        </w:rPr>
        <w:t xml:space="preserve">Gross Domestic </w:t>
      </w:r>
      <w:r w:rsidR="003F4AD8">
        <w:rPr>
          <w:rFonts w:ascii="Calibri" w:hAnsi="Calibri" w:cs="Calibri"/>
        </w:rPr>
        <w:t>S</w:t>
      </w:r>
      <w:r w:rsidRPr="00FC7039">
        <w:rPr>
          <w:rFonts w:ascii="Calibri" w:hAnsi="Calibri" w:cs="Calibri"/>
        </w:rPr>
        <w:t>upply</w:t>
      </w:r>
      <w:r>
        <w:rPr>
          <w:rFonts w:ascii="Calibri" w:hAnsi="Calibri" w:cs="Calibri"/>
        </w:rPr>
        <w:t>” should remain unchanged since it is calculated based on production and net trade</w:t>
      </w:r>
      <w:r w:rsidR="003F4AD8">
        <w:rPr>
          <w:rFonts w:ascii="Calibri" w:hAnsi="Calibri" w:cs="Calibri"/>
        </w:rPr>
        <w:t xml:space="preserve"> figu</w:t>
      </w:r>
      <w:r w:rsidR="00895E13">
        <w:rPr>
          <w:rFonts w:ascii="Calibri" w:hAnsi="Calibri" w:cs="Calibri"/>
        </w:rPr>
        <w:t>r</w:t>
      </w:r>
      <w:r w:rsidR="003F4AD8">
        <w:rPr>
          <w:rFonts w:ascii="Calibri" w:hAnsi="Calibri" w:cs="Calibri"/>
        </w:rPr>
        <w:t>es</w:t>
      </w:r>
      <w:r>
        <w:rPr>
          <w:rFonts w:ascii="Calibri" w:hAnsi="Calibri" w:cs="Calibri"/>
        </w:rPr>
        <w:t>.</w:t>
      </w:r>
    </w:p>
    <w:p w:rsidR="00C00C37" w:rsidRDefault="00C00C37" w:rsidP="0047427B">
      <w:pPr>
        <w:jc w:val="both"/>
        <w:rPr>
          <w:rFonts w:ascii="Calibri" w:hAnsi="Calibri" w:cs="Calibri"/>
          <w:i/>
        </w:rPr>
      </w:pPr>
    </w:p>
    <w:p w:rsidR="00C24C67" w:rsidRPr="0047427B" w:rsidRDefault="00C24C67" w:rsidP="0047427B">
      <w:pPr>
        <w:jc w:val="both"/>
        <w:rPr>
          <w:rFonts w:ascii="Calibri" w:hAnsi="Calibri" w:cs="Calibri"/>
        </w:rPr>
      </w:pPr>
      <w:r w:rsidRPr="0047427B">
        <w:rPr>
          <w:rFonts w:ascii="Calibri" w:hAnsi="Calibri" w:cs="Calibri"/>
          <w:i/>
        </w:rPr>
        <w:t xml:space="preserve">Please note that the column on EU imports is only for countries wishing to </w:t>
      </w:r>
      <w:r w:rsidR="00C00C37">
        <w:rPr>
          <w:rFonts w:ascii="Calibri" w:hAnsi="Calibri" w:cs="Calibri"/>
          <w:i/>
        </w:rPr>
        <w:t>complete</w:t>
      </w:r>
      <w:r w:rsidRPr="0047427B">
        <w:rPr>
          <w:rFonts w:ascii="Calibri" w:hAnsi="Calibri" w:cs="Calibri"/>
          <w:i/>
        </w:rPr>
        <w:t xml:space="preserve"> the NREAP </w:t>
      </w:r>
      <w:r w:rsidR="00C00C37">
        <w:rPr>
          <w:rFonts w:ascii="Calibri" w:hAnsi="Calibri" w:cs="Calibri"/>
          <w:i/>
        </w:rPr>
        <w:t xml:space="preserve">progress report </w:t>
      </w:r>
      <w:r w:rsidRPr="0047427B">
        <w:rPr>
          <w:rFonts w:ascii="Calibri" w:hAnsi="Calibri" w:cs="Calibri"/>
          <w:i/>
        </w:rPr>
        <w:t>table.</w:t>
      </w:r>
    </w:p>
    <w:p w:rsidR="000E2818" w:rsidRPr="00C00C37" w:rsidRDefault="000E2818" w:rsidP="0047427B">
      <w:pPr>
        <w:jc w:val="both"/>
        <w:rPr>
          <w:rFonts w:ascii="Calibri" w:hAnsi="Calibri"/>
          <w:b/>
          <w:bCs/>
          <w:szCs w:val="26"/>
        </w:rPr>
      </w:pPr>
    </w:p>
    <w:p w:rsidR="00A922FD" w:rsidRPr="00D82047" w:rsidRDefault="00A922FD" w:rsidP="0047427B">
      <w:pPr>
        <w:pStyle w:val="Heading3"/>
        <w:spacing w:before="0" w:after="0"/>
        <w:jc w:val="both"/>
      </w:pPr>
      <w:bookmarkStart w:id="71" w:name="_Toc326748714"/>
      <w:bookmarkStart w:id="72" w:name="_Toc407187225"/>
      <w:r w:rsidRPr="00D82047">
        <w:t xml:space="preserve">Table </w:t>
      </w:r>
      <w:r w:rsidR="00EC00E9" w:rsidRPr="00D82047">
        <w:t>“</w:t>
      </w:r>
      <w:r w:rsidRPr="00D82047">
        <w:t>TII</w:t>
      </w:r>
      <w:r w:rsidR="00EC00E9" w:rsidRPr="00D82047">
        <w:t xml:space="preserve"> processed wood based fuels”</w:t>
      </w:r>
      <w:bookmarkEnd w:id="71"/>
      <w:bookmarkEnd w:id="72"/>
    </w:p>
    <w:p w:rsidR="00A922FD" w:rsidRDefault="00A922FD" w:rsidP="00C00C37">
      <w:pPr>
        <w:jc w:val="both"/>
      </w:pPr>
    </w:p>
    <w:tbl>
      <w:tblPr>
        <w:tblW w:w="9072" w:type="dxa"/>
        <w:tblInd w:w="108" w:type="dxa"/>
        <w:tblCellMar>
          <w:top w:w="113" w:type="dxa"/>
          <w:bottom w:w="113" w:type="dxa"/>
        </w:tblCellMar>
        <w:tblLook w:val="04A0" w:firstRow="1" w:lastRow="0" w:firstColumn="1" w:lastColumn="0" w:noHBand="0" w:noVBand="1"/>
      </w:tblPr>
      <w:tblGrid>
        <w:gridCol w:w="1985"/>
        <w:gridCol w:w="7087"/>
      </w:tblGrid>
      <w:tr w:rsidR="000C5DB4" w:rsidRPr="00B52317" w:rsidTr="00812313">
        <w:trPr>
          <w:trHeight w:val="630"/>
        </w:trPr>
        <w:tc>
          <w:tcPr>
            <w:tcW w:w="198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C5DB4" w:rsidRPr="0047427B" w:rsidRDefault="000C5DB4" w:rsidP="0047427B">
            <w:pPr>
              <w:ind w:firstLineChars="100" w:firstLine="241"/>
              <w:rPr>
                <w:rFonts w:asciiTheme="minorHAnsi" w:hAnsiTheme="minorHAnsi" w:cstheme="minorHAnsi"/>
                <w:b/>
                <w:bCs/>
              </w:rPr>
            </w:pPr>
            <w:r w:rsidRPr="0047427B">
              <w:rPr>
                <w:rFonts w:asciiTheme="minorHAnsi" w:hAnsiTheme="minorHAnsi" w:cstheme="minorHAnsi"/>
                <w:b/>
                <w:bCs/>
              </w:rPr>
              <w:t>T II processed wood based fuels</w:t>
            </w:r>
          </w:p>
        </w:tc>
        <w:tc>
          <w:tcPr>
            <w:tcW w:w="7087" w:type="dxa"/>
            <w:tcBorders>
              <w:top w:val="single" w:sz="8" w:space="0" w:color="auto"/>
              <w:left w:val="nil"/>
              <w:bottom w:val="single" w:sz="8" w:space="0" w:color="auto"/>
              <w:right w:val="single" w:sz="8" w:space="0" w:color="000000"/>
            </w:tcBorders>
            <w:shd w:val="clear" w:color="auto" w:fill="auto"/>
            <w:vAlign w:val="center"/>
            <w:hideMark/>
          </w:tcPr>
          <w:p w:rsidR="000C5DB4" w:rsidRPr="0047427B" w:rsidRDefault="000C5DB4" w:rsidP="0047427B">
            <w:pPr>
              <w:jc w:val="both"/>
              <w:rPr>
                <w:rFonts w:asciiTheme="minorHAnsi" w:hAnsiTheme="minorHAnsi" w:cstheme="minorHAnsi"/>
              </w:rPr>
            </w:pPr>
            <w:r w:rsidRPr="0047427B">
              <w:rPr>
                <w:rFonts w:asciiTheme="minorHAnsi" w:hAnsiTheme="minorHAnsi" w:cstheme="minorHAnsi"/>
              </w:rPr>
              <w:t xml:space="preserve">Assessment of national production of processed wood based fuels (charcoal, pellets, briquettes, </w:t>
            </w:r>
            <w:proofErr w:type="gramStart"/>
            <w:r w:rsidRPr="0047427B">
              <w:rPr>
                <w:rFonts w:asciiTheme="minorHAnsi" w:hAnsiTheme="minorHAnsi" w:cstheme="minorHAnsi"/>
              </w:rPr>
              <w:t>biodiesel</w:t>
            </w:r>
            <w:proofErr w:type="gramEnd"/>
            <w:r w:rsidRPr="0047427B">
              <w:rPr>
                <w:rFonts w:asciiTheme="minorHAnsi" w:hAnsiTheme="minorHAnsi" w:cstheme="minorHAnsi"/>
              </w:rPr>
              <w:t>, ethanol and pyrolysis oils).</w:t>
            </w:r>
          </w:p>
        </w:tc>
      </w:tr>
    </w:tbl>
    <w:p w:rsidR="00DA5FF9" w:rsidRDefault="00DA5FF9" w:rsidP="00C00C37">
      <w:pPr>
        <w:tabs>
          <w:tab w:val="left" w:pos="1276"/>
          <w:tab w:val="left" w:pos="3828"/>
        </w:tabs>
        <w:jc w:val="both"/>
        <w:rPr>
          <w:rFonts w:asciiTheme="minorHAnsi" w:hAnsiTheme="minorHAnsi" w:cstheme="minorHAnsi"/>
        </w:rPr>
      </w:pPr>
    </w:p>
    <w:p w:rsidR="00FC7039" w:rsidRPr="00A427FD" w:rsidRDefault="007E4A10" w:rsidP="00C00C37">
      <w:pPr>
        <w:tabs>
          <w:tab w:val="left" w:pos="1276"/>
          <w:tab w:val="left" w:pos="3828"/>
        </w:tabs>
        <w:jc w:val="both"/>
        <w:rPr>
          <w:rFonts w:ascii="Calibri" w:hAnsi="Calibri" w:cs="Calibri"/>
        </w:rPr>
      </w:pPr>
      <w:r w:rsidRPr="00A427FD">
        <w:rPr>
          <w:rFonts w:ascii="Calibri" w:hAnsi="Calibri" w:cs="Calibri"/>
        </w:rPr>
        <w:t>Even though the JWEE</w:t>
      </w:r>
      <w:r w:rsidR="009C4772">
        <w:rPr>
          <w:rFonts w:ascii="Calibri" w:hAnsi="Calibri" w:cs="Calibri"/>
        </w:rPr>
        <w:t xml:space="preserve"> </w:t>
      </w:r>
      <w:r w:rsidRPr="00A427FD">
        <w:rPr>
          <w:rFonts w:ascii="Calibri" w:hAnsi="Calibri" w:cs="Calibri"/>
        </w:rPr>
        <w:t>201</w:t>
      </w:r>
      <w:r w:rsidR="00DC2456">
        <w:rPr>
          <w:rFonts w:ascii="Calibri" w:hAnsi="Calibri" w:cs="Calibri"/>
        </w:rPr>
        <w:t>3</w:t>
      </w:r>
      <w:r w:rsidRPr="00A427FD">
        <w:rPr>
          <w:rFonts w:ascii="Calibri" w:hAnsi="Calibri" w:cs="Calibri"/>
        </w:rPr>
        <w:t xml:space="preserve"> does not cover most of the forest </w:t>
      </w:r>
      <w:r w:rsidR="00D967E0">
        <w:rPr>
          <w:rFonts w:ascii="Calibri" w:hAnsi="Calibri" w:cs="Calibri"/>
        </w:rPr>
        <w:t xml:space="preserve">based </w:t>
      </w:r>
      <w:r w:rsidRPr="00A427FD">
        <w:rPr>
          <w:rFonts w:ascii="Calibri" w:hAnsi="Calibri" w:cs="Calibri"/>
        </w:rPr>
        <w:t xml:space="preserve">products, it makes </w:t>
      </w:r>
      <w:r w:rsidR="003F4AD8">
        <w:rPr>
          <w:rFonts w:ascii="Calibri" w:hAnsi="Calibri" w:cs="Calibri"/>
        </w:rPr>
        <w:t>an</w:t>
      </w:r>
      <w:r w:rsidRPr="00A427FD">
        <w:rPr>
          <w:rFonts w:ascii="Calibri" w:hAnsi="Calibri" w:cs="Calibri"/>
        </w:rPr>
        <w:t xml:space="preserve"> exception for the production of processed </w:t>
      </w:r>
      <w:proofErr w:type="spellStart"/>
      <w:r w:rsidRPr="00A427FD">
        <w:rPr>
          <w:rFonts w:ascii="Calibri" w:hAnsi="Calibri" w:cs="Calibri"/>
        </w:rPr>
        <w:t>woodbased</w:t>
      </w:r>
      <w:proofErr w:type="spellEnd"/>
      <w:r w:rsidRPr="00A427FD">
        <w:rPr>
          <w:rFonts w:ascii="Calibri" w:hAnsi="Calibri" w:cs="Calibri"/>
        </w:rPr>
        <w:t xml:space="preserve"> fuels (</w:t>
      </w:r>
      <w:proofErr w:type="spellStart"/>
      <w:r w:rsidRPr="00A427FD">
        <w:rPr>
          <w:rFonts w:ascii="Calibri" w:hAnsi="Calibri" w:cs="Calibri"/>
        </w:rPr>
        <w:t>pwbf</w:t>
      </w:r>
      <w:proofErr w:type="spellEnd"/>
      <w:r w:rsidRPr="00A427FD">
        <w:rPr>
          <w:rFonts w:ascii="Calibri" w:hAnsi="Calibri" w:cs="Calibri"/>
        </w:rPr>
        <w:t xml:space="preserve">). This is necessary since </w:t>
      </w:r>
      <w:proofErr w:type="spellStart"/>
      <w:r w:rsidRPr="00A427FD">
        <w:rPr>
          <w:rFonts w:ascii="Calibri" w:hAnsi="Calibri" w:cs="Calibri"/>
        </w:rPr>
        <w:t>pwbf</w:t>
      </w:r>
      <w:proofErr w:type="spellEnd"/>
      <w:r w:rsidRPr="00A427FD">
        <w:rPr>
          <w:rFonts w:ascii="Calibri" w:hAnsi="Calibri" w:cs="Calibri"/>
        </w:rPr>
        <w:t xml:space="preserve"> are subject to intensive trade. In case of exports, these volumes are first deviated from the domestically available volumes and then need to be subtracted from the available biomass. Table TII compiles the </w:t>
      </w:r>
      <w:r w:rsidR="0010667A" w:rsidRPr="00A427FD">
        <w:rPr>
          <w:rFonts w:ascii="Calibri" w:hAnsi="Calibri" w:cs="Calibri"/>
        </w:rPr>
        <w:t>information about national production a</w:t>
      </w:r>
      <w:r w:rsidR="007B6BF5">
        <w:rPr>
          <w:rFonts w:ascii="Calibri" w:hAnsi="Calibri" w:cs="Calibri"/>
        </w:rPr>
        <w:t>nd trade.</w:t>
      </w:r>
    </w:p>
    <w:p w:rsidR="003F4AD8" w:rsidRDefault="003F4AD8" w:rsidP="00C00C37">
      <w:pPr>
        <w:tabs>
          <w:tab w:val="left" w:pos="1276"/>
          <w:tab w:val="left" w:pos="3828"/>
        </w:tabs>
        <w:jc w:val="both"/>
        <w:rPr>
          <w:rFonts w:ascii="Calibri" w:hAnsi="Calibri" w:cs="Calibri"/>
        </w:rPr>
      </w:pPr>
    </w:p>
    <w:p w:rsidR="00D967E0" w:rsidRDefault="00FC7039" w:rsidP="00C00C37">
      <w:pPr>
        <w:tabs>
          <w:tab w:val="left" w:pos="1276"/>
          <w:tab w:val="left" w:pos="3828"/>
        </w:tabs>
        <w:jc w:val="both"/>
        <w:rPr>
          <w:rFonts w:ascii="Calibri" w:hAnsi="Calibri" w:cs="Calibri"/>
        </w:rPr>
      </w:pPr>
      <w:r w:rsidRPr="00A427FD">
        <w:rPr>
          <w:rFonts w:ascii="Calibri" w:hAnsi="Calibri" w:cs="Calibri"/>
        </w:rPr>
        <w:t xml:space="preserve">Wood charcoal </w:t>
      </w:r>
      <w:r w:rsidR="00DC2456">
        <w:rPr>
          <w:rFonts w:ascii="Calibri" w:hAnsi="Calibri" w:cs="Calibri"/>
        </w:rPr>
        <w:t>(and now wood pellets) are</w:t>
      </w:r>
      <w:r w:rsidRPr="00A427FD">
        <w:rPr>
          <w:rFonts w:ascii="Calibri" w:hAnsi="Calibri" w:cs="Calibri"/>
        </w:rPr>
        <w:t xml:space="preserve"> already reported in the </w:t>
      </w:r>
      <w:r w:rsidR="009C4772">
        <w:rPr>
          <w:rFonts w:ascii="Calibri" w:hAnsi="Calibri" w:cs="Calibri"/>
        </w:rPr>
        <w:t>JFSQ</w:t>
      </w:r>
      <w:r w:rsidR="003F4AD8">
        <w:rPr>
          <w:rFonts w:ascii="Calibri" w:hAnsi="Calibri" w:cs="Calibri"/>
        </w:rPr>
        <w:t>,</w:t>
      </w:r>
      <w:r w:rsidRPr="00A427FD">
        <w:rPr>
          <w:rFonts w:ascii="Calibri" w:hAnsi="Calibri" w:cs="Calibri"/>
        </w:rPr>
        <w:t xml:space="preserve"> so these cells are prefilled with exi</w:t>
      </w:r>
      <w:r w:rsidR="009C4772">
        <w:rPr>
          <w:rFonts w:ascii="Calibri" w:hAnsi="Calibri" w:cs="Calibri"/>
        </w:rPr>
        <w:t>s</w:t>
      </w:r>
      <w:r w:rsidRPr="00A427FD">
        <w:rPr>
          <w:rFonts w:ascii="Calibri" w:hAnsi="Calibri" w:cs="Calibri"/>
        </w:rPr>
        <w:t>ting data.</w:t>
      </w:r>
      <w:r w:rsidR="003F4AD8">
        <w:rPr>
          <w:rFonts w:ascii="Calibri" w:hAnsi="Calibri" w:cs="Calibri"/>
        </w:rPr>
        <w:t xml:space="preserve"> </w:t>
      </w:r>
      <w:r w:rsidR="00084FC0">
        <w:rPr>
          <w:rFonts w:ascii="Calibri" w:hAnsi="Calibri" w:cs="Calibri"/>
        </w:rPr>
        <w:t xml:space="preserve">Briquettes can also be included under pellets if </w:t>
      </w:r>
      <w:r w:rsidR="000F7D2A">
        <w:rPr>
          <w:rFonts w:ascii="Calibri" w:hAnsi="Calibri" w:cs="Calibri"/>
        </w:rPr>
        <w:t xml:space="preserve">it </w:t>
      </w:r>
      <w:r w:rsidR="00084FC0">
        <w:rPr>
          <w:rFonts w:ascii="Calibri" w:hAnsi="Calibri" w:cs="Calibri"/>
        </w:rPr>
        <w:t xml:space="preserve">is not possible to distinguish </w:t>
      </w:r>
      <w:r w:rsidR="000F7D2A">
        <w:rPr>
          <w:rFonts w:ascii="Calibri" w:hAnsi="Calibri" w:cs="Calibri"/>
        </w:rPr>
        <w:t xml:space="preserve">them from pellets </w:t>
      </w:r>
      <w:r w:rsidR="00084FC0">
        <w:rPr>
          <w:rFonts w:ascii="Calibri" w:hAnsi="Calibri" w:cs="Calibri"/>
        </w:rPr>
        <w:t xml:space="preserve">(please </w:t>
      </w:r>
      <w:r w:rsidR="003C2B31">
        <w:rPr>
          <w:rFonts w:ascii="Calibri" w:hAnsi="Calibri" w:cs="Calibri"/>
        </w:rPr>
        <w:t>indicate in comments when this is done).</w:t>
      </w:r>
      <w:r w:rsidR="00084FC0">
        <w:rPr>
          <w:rFonts w:ascii="Calibri" w:hAnsi="Calibri" w:cs="Calibri"/>
        </w:rPr>
        <w:t xml:space="preserve"> </w:t>
      </w:r>
    </w:p>
    <w:p w:rsidR="003F4AD8" w:rsidRDefault="003F4AD8" w:rsidP="00C00C37">
      <w:pPr>
        <w:tabs>
          <w:tab w:val="left" w:pos="1276"/>
          <w:tab w:val="left" w:pos="3828"/>
        </w:tabs>
        <w:jc w:val="both"/>
        <w:rPr>
          <w:rFonts w:ascii="Calibri" w:hAnsi="Calibri" w:cs="Calibri"/>
        </w:rPr>
      </w:pPr>
    </w:p>
    <w:p w:rsidR="00A427FD" w:rsidRPr="00A922FD" w:rsidRDefault="003F4AD8" w:rsidP="00C00C37">
      <w:pPr>
        <w:tabs>
          <w:tab w:val="left" w:pos="1276"/>
          <w:tab w:val="left" w:pos="3828"/>
        </w:tabs>
        <w:jc w:val="both"/>
      </w:pPr>
      <w:r>
        <w:rPr>
          <w:rFonts w:ascii="Calibri" w:hAnsi="Calibri" w:cs="Calibri"/>
        </w:rPr>
        <w:t>T</w:t>
      </w:r>
      <w:r w:rsidR="00A427FD">
        <w:rPr>
          <w:rFonts w:ascii="Calibri" w:hAnsi="Calibri" w:cs="Calibri"/>
        </w:rPr>
        <w:t>he column on “</w:t>
      </w:r>
      <w:r w:rsidR="00A427FD" w:rsidRPr="00FC7039">
        <w:rPr>
          <w:rFonts w:ascii="Calibri" w:hAnsi="Calibri" w:cs="Calibri"/>
        </w:rPr>
        <w:t xml:space="preserve">Gross Domestic </w:t>
      </w:r>
      <w:r>
        <w:rPr>
          <w:rFonts w:ascii="Calibri" w:hAnsi="Calibri" w:cs="Calibri"/>
        </w:rPr>
        <w:t>S</w:t>
      </w:r>
      <w:r w:rsidR="00A427FD" w:rsidRPr="00FC7039">
        <w:rPr>
          <w:rFonts w:ascii="Calibri" w:hAnsi="Calibri" w:cs="Calibri"/>
        </w:rPr>
        <w:t>upply</w:t>
      </w:r>
      <w:r w:rsidR="00A427FD">
        <w:rPr>
          <w:rFonts w:ascii="Calibri" w:hAnsi="Calibri" w:cs="Calibri"/>
        </w:rPr>
        <w:t>” should remain unchanged since it is calculated based on production and net trade</w:t>
      </w:r>
      <w:r>
        <w:rPr>
          <w:rFonts w:ascii="Calibri" w:hAnsi="Calibri" w:cs="Calibri"/>
        </w:rPr>
        <w:t xml:space="preserve"> figures</w:t>
      </w:r>
      <w:r w:rsidR="00A427FD">
        <w:rPr>
          <w:rFonts w:ascii="Calibri" w:hAnsi="Calibri" w:cs="Calibri"/>
        </w:rPr>
        <w:t>.</w:t>
      </w:r>
    </w:p>
    <w:p w:rsidR="00531917" w:rsidRDefault="00531917" w:rsidP="00531917">
      <w:pPr>
        <w:tabs>
          <w:tab w:val="left" w:pos="1276"/>
          <w:tab w:val="left" w:pos="3828"/>
        </w:tabs>
        <w:jc w:val="both"/>
        <w:rPr>
          <w:rFonts w:asciiTheme="minorHAnsi" w:hAnsiTheme="minorHAnsi" w:cstheme="minorHAnsi"/>
        </w:rPr>
      </w:pPr>
    </w:p>
    <w:p w:rsidR="00C00C37" w:rsidRDefault="00C00C37" w:rsidP="0047427B">
      <w:pPr>
        <w:jc w:val="both"/>
        <w:rPr>
          <w:rFonts w:ascii="Calibri" w:hAnsi="Calibri" w:cs="Calibri"/>
          <w:i/>
        </w:rPr>
      </w:pPr>
      <w:r w:rsidRPr="00DE3109">
        <w:rPr>
          <w:rFonts w:ascii="Calibri" w:hAnsi="Calibri" w:cs="Calibri"/>
          <w:i/>
        </w:rPr>
        <w:t xml:space="preserve">Please note that the column on EU imports is only for countries wishing to </w:t>
      </w:r>
      <w:r>
        <w:rPr>
          <w:rFonts w:ascii="Calibri" w:hAnsi="Calibri" w:cs="Calibri"/>
          <w:i/>
        </w:rPr>
        <w:t>complete</w:t>
      </w:r>
      <w:r w:rsidRPr="00DE3109">
        <w:rPr>
          <w:rFonts w:ascii="Calibri" w:hAnsi="Calibri" w:cs="Calibri"/>
          <w:i/>
        </w:rPr>
        <w:t xml:space="preserve"> the NREAP </w:t>
      </w:r>
      <w:r>
        <w:rPr>
          <w:rFonts w:ascii="Calibri" w:hAnsi="Calibri" w:cs="Calibri"/>
          <w:i/>
        </w:rPr>
        <w:t xml:space="preserve">progress report </w:t>
      </w:r>
      <w:r w:rsidRPr="00DE3109">
        <w:rPr>
          <w:rFonts w:ascii="Calibri" w:hAnsi="Calibri" w:cs="Calibri"/>
          <w:i/>
        </w:rPr>
        <w:t>table.</w:t>
      </w:r>
    </w:p>
    <w:p w:rsidR="000E2818" w:rsidRPr="000E2818" w:rsidRDefault="000E2818" w:rsidP="00C00C37">
      <w:pPr>
        <w:jc w:val="both"/>
        <w:rPr>
          <w:rFonts w:ascii="Calibri" w:hAnsi="Calibri"/>
          <w:b/>
          <w:bCs/>
          <w:szCs w:val="26"/>
        </w:rPr>
      </w:pPr>
    </w:p>
    <w:p w:rsidR="00A922FD" w:rsidRPr="0047427B" w:rsidRDefault="00CB03B2" w:rsidP="0047427B">
      <w:pPr>
        <w:pStyle w:val="Heading3"/>
        <w:spacing w:before="0" w:after="0"/>
        <w:jc w:val="both"/>
        <w:rPr>
          <w:lang w:val="fr-CH"/>
        </w:rPr>
      </w:pPr>
      <w:bookmarkStart w:id="73" w:name="_Toc326748715"/>
      <w:bookmarkStart w:id="74" w:name="_Toc407187226"/>
      <w:r>
        <w:rPr>
          <w:lang w:val="fr-CH"/>
        </w:rPr>
        <w:t xml:space="preserve">Table </w:t>
      </w:r>
      <w:r w:rsidR="00EC00E9" w:rsidRPr="0047427B">
        <w:rPr>
          <w:lang w:val="fr-CH"/>
        </w:rPr>
        <w:t xml:space="preserve">“T III </w:t>
      </w:r>
      <w:proofErr w:type="spellStart"/>
      <w:r w:rsidR="00EC00E9" w:rsidRPr="0047427B">
        <w:rPr>
          <w:lang w:val="fr-CH"/>
        </w:rPr>
        <w:t>pwbf</w:t>
      </w:r>
      <w:proofErr w:type="spellEnd"/>
      <w:r w:rsidR="00EC00E9" w:rsidRPr="0047427B">
        <w:rPr>
          <w:lang w:val="fr-CH"/>
        </w:rPr>
        <w:t xml:space="preserve"> </w:t>
      </w:r>
      <w:proofErr w:type="spellStart"/>
      <w:r w:rsidR="00EC00E9" w:rsidRPr="0047427B">
        <w:rPr>
          <w:lang w:val="fr-CH"/>
        </w:rPr>
        <w:t>origins</w:t>
      </w:r>
      <w:proofErr w:type="spellEnd"/>
      <w:r w:rsidR="00EC00E9" w:rsidRPr="0047427B">
        <w:rPr>
          <w:lang w:val="fr-CH"/>
        </w:rPr>
        <w:t>”</w:t>
      </w:r>
      <w:bookmarkEnd w:id="73"/>
      <w:bookmarkEnd w:id="74"/>
    </w:p>
    <w:p w:rsidR="00A922FD" w:rsidRPr="0047427B" w:rsidRDefault="00A922FD" w:rsidP="00C00C37">
      <w:pPr>
        <w:jc w:val="both"/>
        <w:rPr>
          <w:lang w:val="fr-CH"/>
        </w:rPr>
      </w:pPr>
    </w:p>
    <w:tbl>
      <w:tblPr>
        <w:tblW w:w="9072" w:type="dxa"/>
        <w:tblInd w:w="108" w:type="dxa"/>
        <w:tblCellMar>
          <w:top w:w="113" w:type="dxa"/>
          <w:bottom w:w="113" w:type="dxa"/>
        </w:tblCellMar>
        <w:tblLook w:val="04A0" w:firstRow="1" w:lastRow="0" w:firstColumn="1" w:lastColumn="0" w:noHBand="0" w:noVBand="1"/>
      </w:tblPr>
      <w:tblGrid>
        <w:gridCol w:w="1985"/>
        <w:gridCol w:w="7087"/>
      </w:tblGrid>
      <w:tr w:rsidR="00F61A1C" w:rsidRPr="00B52317" w:rsidTr="00812313">
        <w:trPr>
          <w:trHeight w:val="630"/>
        </w:trPr>
        <w:tc>
          <w:tcPr>
            <w:tcW w:w="198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61A1C" w:rsidRPr="0047427B" w:rsidRDefault="00F61A1C" w:rsidP="0047427B">
            <w:pPr>
              <w:jc w:val="center"/>
              <w:rPr>
                <w:rFonts w:asciiTheme="minorHAnsi" w:hAnsiTheme="minorHAnsi" w:cstheme="minorHAnsi"/>
                <w:b/>
                <w:bCs/>
              </w:rPr>
            </w:pPr>
            <w:r w:rsidRPr="0047427B">
              <w:rPr>
                <w:rFonts w:asciiTheme="minorHAnsi" w:hAnsiTheme="minorHAnsi" w:cstheme="minorHAnsi"/>
                <w:b/>
                <w:bCs/>
              </w:rPr>
              <w:t xml:space="preserve">T III </w:t>
            </w:r>
            <w:proofErr w:type="spellStart"/>
            <w:r w:rsidRPr="0047427B">
              <w:rPr>
                <w:rFonts w:asciiTheme="minorHAnsi" w:hAnsiTheme="minorHAnsi" w:cstheme="minorHAnsi"/>
                <w:b/>
                <w:bCs/>
              </w:rPr>
              <w:t>pwbf</w:t>
            </w:r>
            <w:proofErr w:type="spellEnd"/>
            <w:r w:rsidR="00056215" w:rsidRPr="0047427B">
              <w:rPr>
                <w:rFonts w:asciiTheme="minorHAnsi" w:hAnsiTheme="minorHAnsi" w:cstheme="minorHAnsi"/>
                <w:b/>
                <w:bCs/>
              </w:rPr>
              <w:t xml:space="preserve"> origins</w:t>
            </w:r>
          </w:p>
        </w:tc>
        <w:tc>
          <w:tcPr>
            <w:tcW w:w="7087" w:type="dxa"/>
            <w:tcBorders>
              <w:top w:val="single" w:sz="8" w:space="0" w:color="auto"/>
              <w:left w:val="nil"/>
              <w:bottom w:val="single" w:sz="8" w:space="0" w:color="auto"/>
              <w:right w:val="single" w:sz="8" w:space="0" w:color="000000"/>
            </w:tcBorders>
            <w:shd w:val="clear" w:color="auto" w:fill="auto"/>
            <w:vAlign w:val="center"/>
            <w:hideMark/>
          </w:tcPr>
          <w:p w:rsidR="00F61A1C" w:rsidRPr="0047427B" w:rsidRDefault="00F61A1C" w:rsidP="00C00C37">
            <w:pPr>
              <w:ind w:left="34"/>
              <w:jc w:val="both"/>
              <w:rPr>
                <w:rFonts w:asciiTheme="minorHAnsi" w:hAnsiTheme="minorHAnsi" w:cstheme="minorHAnsi"/>
              </w:rPr>
            </w:pPr>
            <w:r w:rsidRPr="0047427B">
              <w:rPr>
                <w:rFonts w:asciiTheme="minorHAnsi" w:hAnsiTheme="minorHAnsi" w:cstheme="minorHAnsi"/>
              </w:rPr>
              <w:t xml:space="preserve">Supplementary table to TII. Assessment of wood </w:t>
            </w:r>
            <w:proofErr w:type="spellStart"/>
            <w:r w:rsidRPr="0047427B">
              <w:rPr>
                <w:rFonts w:asciiTheme="minorHAnsi" w:hAnsiTheme="minorHAnsi" w:cstheme="minorHAnsi"/>
              </w:rPr>
              <w:t>fibres</w:t>
            </w:r>
            <w:proofErr w:type="spellEnd"/>
            <w:r w:rsidRPr="0047427B">
              <w:rPr>
                <w:rFonts w:asciiTheme="minorHAnsi" w:hAnsiTheme="minorHAnsi" w:cstheme="minorHAnsi"/>
              </w:rPr>
              <w:t xml:space="preserve"> origin and quality used for the production of processed wood</w:t>
            </w:r>
            <w:r w:rsidR="006A7E81" w:rsidRPr="0047427B">
              <w:rPr>
                <w:rFonts w:asciiTheme="minorHAnsi" w:hAnsiTheme="minorHAnsi" w:cstheme="minorHAnsi"/>
              </w:rPr>
              <w:t>-</w:t>
            </w:r>
            <w:r w:rsidRPr="0047427B">
              <w:rPr>
                <w:rFonts w:asciiTheme="minorHAnsi" w:hAnsiTheme="minorHAnsi" w:cstheme="minorHAnsi"/>
              </w:rPr>
              <w:t>based fuels</w:t>
            </w:r>
            <w:r w:rsidR="006A7E81" w:rsidRPr="0047427B">
              <w:rPr>
                <w:rFonts w:asciiTheme="minorHAnsi" w:hAnsiTheme="minorHAnsi" w:cstheme="minorHAnsi"/>
              </w:rPr>
              <w:t xml:space="preserve"> (</w:t>
            </w:r>
            <w:proofErr w:type="spellStart"/>
            <w:r w:rsidR="006A7E81" w:rsidRPr="0047427B">
              <w:rPr>
                <w:rFonts w:asciiTheme="minorHAnsi" w:hAnsiTheme="minorHAnsi" w:cstheme="minorHAnsi"/>
              </w:rPr>
              <w:t>pwbf</w:t>
            </w:r>
            <w:proofErr w:type="spellEnd"/>
            <w:r w:rsidR="006A7E81" w:rsidRPr="0047427B">
              <w:rPr>
                <w:rFonts w:asciiTheme="minorHAnsi" w:hAnsiTheme="minorHAnsi" w:cstheme="minorHAnsi"/>
              </w:rPr>
              <w:t>)</w:t>
            </w:r>
            <w:r w:rsidRPr="0047427B">
              <w:rPr>
                <w:rFonts w:asciiTheme="minorHAnsi" w:hAnsiTheme="minorHAnsi" w:cstheme="minorHAnsi"/>
              </w:rPr>
              <w:t xml:space="preserve">. </w:t>
            </w:r>
            <w:r w:rsidRPr="0047427B">
              <w:rPr>
                <w:rFonts w:asciiTheme="minorHAnsi" w:hAnsiTheme="minorHAnsi" w:cstheme="minorHAnsi"/>
                <w:i/>
                <w:iCs/>
              </w:rPr>
              <w:t>Providing information in this table is optional.</w:t>
            </w:r>
          </w:p>
        </w:tc>
      </w:tr>
    </w:tbl>
    <w:p w:rsidR="00A922FD" w:rsidRDefault="00A922FD" w:rsidP="00C00C37">
      <w:pPr>
        <w:jc w:val="both"/>
      </w:pPr>
    </w:p>
    <w:p w:rsidR="000C66B8" w:rsidRDefault="004B7FC8" w:rsidP="00C00C37">
      <w:pPr>
        <w:jc w:val="both"/>
        <w:rPr>
          <w:rFonts w:asciiTheme="minorHAnsi" w:hAnsiTheme="minorHAnsi" w:cstheme="minorHAnsi"/>
        </w:rPr>
      </w:pPr>
      <w:r w:rsidRPr="00056215">
        <w:rPr>
          <w:rFonts w:asciiTheme="minorHAnsi" w:hAnsiTheme="minorHAnsi" w:cstheme="minorHAnsi"/>
        </w:rPr>
        <w:t>T</w:t>
      </w:r>
      <w:r w:rsidR="00FE03D4">
        <w:rPr>
          <w:rFonts w:asciiTheme="minorHAnsi" w:hAnsiTheme="minorHAnsi" w:cstheme="minorHAnsi"/>
        </w:rPr>
        <w:t xml:space="preserve">able </w:t>
      </w:r>
      <w:r w:rsidR="00FE03D4" w:rsidRPr="00FE03D4">
        <w:rPr>
          <w:rFonts w:asciiTheme="minorHAnsi" w:hAnsiTheme="minorHAnsi" w:cstheme="minorHAnsi"/>
        </w:rPr>
        <w:t xml:space="preserve">“T III </w:t>
      </w:r>
      <w:proofErr w:type="spellStart"/>
      <w:r w:rsidR="00FE03D4" w:rsidRPr="00FE03D4">
        <w:rPr>
          <w:rFonts w:asciiTheme="minorHAnsi" w:hAnsiTheme="minorHAnsi" w:cstheme="minorHAnsi"/>
        </w:rPr>
        <w:t>pwbf</w:t>
      </w:r>
      <w:proofErr w:type="spellEnd"/>
      <w:r w:rsidR="00FE03D4" w:rsidRPr="00FE03D4">
        <w:rPr>
          <w:rFonts w:asciiTheme="minorHAnsi" w:hAnsiTheme="minorHAnsi" w:cstheme="minorHAnsi"/>
        </w:rPr>
        <w:t xml:space="preserve"> origins” </w:t>
      </w:r>
      <w:r w:rsidR="00FE03D4">
        <w:rPr>
          <w:rFonts w:asciiTheme="minorHAnsi" w:hAnsiTheme="minorHAnsi" w:cstheme="minorHAnsi"/>
        </w:rPr>
        <w:t xml:space="preserve">is optional. </w:t>
      </w:r>
      <w:r w:rsidR="000C66B8">
        <w:rPr>
          <w:rFonts w:asciiTheme="minorHAnsi" w:hAnsiTheme="minorHAnsi" w:cstheme="minorHAnsi"/>
        </w:rPr>
        <w:t>This</w:t>
      </w:r>
      <w:r w:rsidR="00FE03D4">
        <w:rPr>
          <w:rFonts w:asciiTheme="minorHAnsi" w:hAnsiTheme="minorHAnsi" w:cstheme="minorHAnsi"/>
        </w:rPr>
        <w:t xml:space="preserve"> table has been developed to</w:t>
      </w:r>
      <w:r w:rsidR="00997558">
        <w:rPr>
          <w:rFonts w:asciiTheme="minorHAnsi" w:hAnsiTheme="minorHAnsi" w:cstheme="minorHAnsi"/>
        </w:rPr>
        <w:t xml:space="preserve"> avoid double counting</w:t>
      </w:r>
      <w:r w:rsidR="000C66B8">
        <w:rPr>
          <w:rFonts w:asciiTheme="minorHAnsi" w:hAnsiTheme="minorHAnsi" w:cstheme="minorHAnsi"/>
        </w:rPr>
        <w:t xml:space="preserve">. It subtracts </w:t>
      </w:r>
      <w:r w:rsidR="00901183">
        <w:rPr>
          <w:rFonts w:asciiTheme="minorHAnsi" w:hAnsiTheme="minorHAnsi" w:cstheme="minorHAnsi"/>
        </w:rPr>
        <w:t xml:space="preserve">the </w:t>
      </w:r>
      <w:r w:rsidR="000C66B8">
        <w:rPr>
          <w:rFonts w:asciiTheme="minorHAnsi" w:hAnsiTheme="minorHAnsi" w:cstheme="minorHAnsi"/>
        </w:rPr>
        <w:t xml:space="preserve">wood </w:t>
      </w:r>
      <w:proofErr w:type="spellStart"/>
      <w:r w:rsidR="000C66B8">
        <w:rPr>
          <w:rFonts w:asciiTheme="minorHAnsi" w:hAnsiTheme="minorHAnsi" w:cstheme="minorHAnsi"/>
        </w:rPr>
        <w:t>f</w:t>
      </w:r>
      <w:r w:rsidR="00997558">
        <w:rPr>
          <w:rFonts w:asciiTheme="minorHAnsi" w:hAnsiTheme="minorHAnsi" w:cstheme="minorHAnsi"/>
        </w:rPr>
        <w:t>ibres</w:t>
      </w:r>
      <w:proofErr w:type="spellEnd"/>
      <w:r w:rsidR="00997558">
        <w:rPr>
          <w:rFonts w:asciiTheme="minorHAnsi" w:hAnsiTheme="minorHAnsi" w:cstheme="minorHAnsi"/>
        </w:rPr>
        <w:t xml:space="preserve"> </w:t>
      </w:r>
      <w:r w:rsidR="00901183">
        <w:rPr>
          <w:rFonts w:asciiTheme="minorHAnsi" w:hAnsiTheme="minorHAnsi" w:cstheme="minorHAnsi"/>
        </w:rPr>
        <w:t>used for the production of processed wood</w:t>
      </w:r>
      <w:r w:rsidR="006A7E81">
        <w:rPr>
          <w:rFonts w:asciiTheme="minorHAnsi" w:hAnsiTheme="minorHAnsi" w:cstheme="minorHAnsi"/>
        </w:rPr>
        <w:t>-</w:t>
      </w:r>
      <w:r w:rsidR="00901183">
        <w:rPr>
          <w:rFonts w:asciiTheme="minorHAnsi" w:hAnsiTheme="minorHAnsi" w:cstheme="minorHAnsi"/>
        </w:rPr>
        <w:t xml:space="preserve">based fuels </w:t>
      </w:r>
      <w:r w:rsidR="000C66B8">
        <w:rPr>
          <w:rFonts w:asciiTheme="minorHAnsi" w:hAnsiTheme="minorHAnsi" w:cstheme="minorHAnsi"/>
        </w:rPr>
        <w:t xml:space="preserve">from </w:t>
      </w:r>
      <w:r w:rsidR="00901183">
        <w:rPr>
          <w:rFonts w:asciiTheme="minorHAnsi" w:hAnsiTheme="minorHAnsi" w:cstheme="minorHAnsi"/>
        </w:rPr>
        <w:t>the domestic supply</w:t>
      </w:r>
      <w:r w:rsidR="000C66B8">
        <w:rPr>
          <w:rFonts w:asciiTheme="minorHAnsi" w:hAnsiTheme="minorHAnsi" w:cstheme="minorHAnsi"/>
        </w:rPr>
        <w:t xml:space="preserve"> and therefore </w:t>
      </w:r>
      <w:r w:rsidR="00FE03D4">
        <w:rPr>
          <w:rFonts w:asciiTheme="minorHAnsi" w:hAnsiTheme="minorHAnsi" w:cstheme="minorHAnsi"/>
        </w:rPr>
        <w:t>provide</w:t>
      </w:r>
      <w:r w:rsidR="000C66B8">
        <w:rPr>
          <w:rFonts w:asciiTheme="minorHAnsi" w:hAnsiTheme="minorHAnsi" w:cstheme="minorHAnsi"/>
        </w:rPr>
        <w:t>s</w:t>
      </w:r>
      <w:r w:rsidR="00FE03D4">
        <w:rPr>
          <w:rFonts w:asciiTheme="minorHAnsi" w:hAnsiTheme="minorHAnsi" w:cstheme="minorHAnsi"/>
        </w:rPr>
        <w:t xml:space="preserve"> an exact balance of wood available for energy and material use</w:t>
      </w:r>
      <w:r w:rsidR="00997558">
        <w:rPr>
          <w:rFonts w:asciiTheme="minorHAnsi" w:hAnsiTheme="minorHAnsi" w:cstheme="minorHAnsi"/>
        </w:rPr>
        <w:t xml:space="preserve"> (see </w:t>
      </w:r>
      <w:r w:rsidR="001F7968">
        <w:rPr>
          <w:rFonts w:asciiTheme="minorHAnsi" w:hAnsiTheme="minorHAnsi" w:cstheme="minorHAnsi"/>
        </w:rPr>
        <w:t>column J in T</w:t>
      </w:r>
      <w:r w:rsidR="00997558">
        <w:rPr>
          <w:rFonts w:asciiTheme="minorHAnsi" w:hAnsiTheme="minorHAnsi" w:cstheme="minorHAnsi"/>
        </w:rPr>
        <w:t>able IV)</w:t>
      </w:r>
      <w:r w:rsidR="00FE03D4">
        <w:rPr>
          <w:rFonts w:asciiTheme="minorHAnsi" w:hAnsiTheme="minorHAnsi" w:cstheme="minorHAnsi"/>
        </w:rPr>
        <w:t xml:space="preserve">. </w:t>
      </w:r>
      <w:r w:rsidR="000C66B8">
        <w:rPr>
          <w:rFonts w:asciiTheme="minorHAnsi" w:hAnsiTheme="minorHAnsi" w:cstheme="minorHAnsi"/>
        </w:rPr>
        <w:t xml:space="preserve">The table enables </w:t>
      </w:r>
      <w:r w:rsidR="00901183">
        <w:rPr>
          <w:rFonts w:asciiTheme="minorHAnsi" w:hAnsiTheme="minorHAnsi" w:cstheme="minorHAnsi"/>
        </w:rPr>
        <w:t>correspondents</w:t>
      </w:r>
      <w:r w:rsidR="000C66B8">
        <w:rPr>
          <w:rFonts w:asciiTheme="minorHAnsi" w:hAnsiTheme="minorHAnsi" w:cstheme="minorHAnsi"/>
        </w:rPr>
        <w:t xml:space="preserve"> and experts to provide information on the sources </w:t>
      </w:r>
      <w:r w:rsidR="00901183">
        <w:rPr>
          <w:rFonts w:asciiTheme="minorHAnsi" w:hAnsiTheme="minorHAnsi" w:cstheme="minorHAnsi"/>
        </w:rPr>
        <w:t xml:space="preserve">of wood fibre used </w:t>
      </w:r>
      <w:r w:rsidR="000C66B8">
        <w:rPr>
          <w:rFonts w:asciiTheme="minorHAnsi" w:hAnsiTheme="minorHAnsi" w:cstheme="minorHAnsi"/>
        </w:rPr>
        <w:t>for the production of solid (w</w:t>
      </w:r>
      <w:r w:rsidR="000C66B8" w:rsidRPr="00997558">
        <w:rPr>
          <w:rFonts w:asciiTheme="minorHAnsi" w:hAnsiTheme="minorHAnsi" w:cstheme="minorHAnsi"/>
        </w:rPr>
        <w:t xml:space="preserve">ood </w:t>
      </w:r>
      <w:r w:rsidR="000C66B8">
        <w:rPr>
          <w:rFonts w:asciiTheme="minorHAnsi" w:hAnsiTheme="minorHAnsi" w:cstheme="minorHAnsi"/>
        </w:rPr>
        <w:t>c</w:t>
      </w:r>
      <w:r w:rsidR="000C66B8" w:rsidRPr="00997558">
        <w:rPr>
          <w:rFonts w:asciiTheme="minorHAnsi" w:hAnsiTheme="minorHAnsi" w:cstheme="minorHAnsi"/>
        </w:rPr>
        <w:t>harcoal</w:t>
      </w:r>
      <w:r w:rsidR="000C66B8">
        <w:rPr>
          <w:rFonts w:asciiTheme="minorHAnsi" w:hAnsiTheme="minorHAnsi" w:cstheme="minorHAnsi"/>
        </w:rPr>
        <w:t>, w</w:t>
      </w:r>
      <w:r w:rsidR="000C66B8" w:rsidRPr="00997558">
        <w:rPr>
          <w:rFonts w:asciiTheme="minorHAnsi" w:hAnsiTheme="minorHAnsi" w:cstheme="minorHAnsi"/>
        </w:rPr>
        <w:t xml:space="preserve">ood </w:t>
      </w:r>
      <w:r w:rsidR="000C66B8">
        <w:rPr>
          <w:rFonts w:asciiTheme="minorHAnsi" w:hAnsiTheme="minorHAnsi" w:cstheme="minorHAnsi"/>
        </w:rPr>
        <w:t>p</w:t>
      </w:r>
      <w:r w:rsidR="000C66B8" w:rsidRPr="00997558">
        <w:rPr>
          <w:rFonts w:asciiTheme="minorHAnsi" w:hAnsiTheme="minorHAnsi" w:cstheme="minorHAnsi"/>
        </w:rPr>
        <w:t>ellets</w:t>
      </w:r>
      <w:r w:rsidR="000C66B8">
        <w:rPr>
          <w:rFonts w:asciiTheme="minorHAnsi" w:hAnsiTheme="minorHAnsi" w:cstheme="minorHAnsi"/>
        </w:rPr>
        <w:t>, w</w:t>
      </w:r>
      <w:r w:rsidR="000C66B8" w:rsidRPr="00997558">
        <w:rPr>
          <w:rFonts w:asciiTheme="minorHAnsi" w:hAnsiTheme="minorHAnsi" w:cstheme="minorHAnsi"/>
        </w:rPr>
        <w:t xml:space="preserve">ood </w:t>
      </w:r>
      <w:r w:rsidR="000C66B8">
        <w:rPr>
          <w:rFonts w:asciiTheme="minorHAnsi" w:hAnsiTheme="minorHAnsi" w:cstheme="minorHAnsi"/>
        </w:rPr>
        <w:t>b</w:t>
      </w:r>
      <w:r w:rsidR="000C66B8" w:rsidRPr="00997558">
        <w:rPr>
          <w:rFonts w:asciiTheme="minorHAnsi" w:hAnsiTheme="minorHAnsi" w:cstheme="minorHAnsi"/>
        </w:rPr>
        <w:t>riquettes</w:t>
      </w:r>
      <w:r w:rsidR="000C66B8">
        <w:rPr>
          <w:rFonts w:asciiTheme="minorHAnsi" w:hAnsiTheme="minorHAnsi" w:cstheme="minorHAnsi"/>
        </w:rPr>
        <w:t>) and liquid processed wood</w:t>
      </w:r>
      <w:r w:rsidR="006A7E81">
        <w:rPr>
          <w:rFonts w:asciiTheme="minorHAnsi" w:hAnsiTheme="minorHAnsi" w:cstheme="minorHAnsi"/>
        </w:rPr>
        <w:t>-</w:t>
      </w:r>
      <w:r w:rsidR="000C66B8">
        <w:rPr>
          <w:rFonts w:asciiTheme="minorHAnsi" w:hAnsiTheme="minorHAnsi" w:cstheme="minorHAnsi"/>
        </w:rPr>
        <w:t>based fuels (p</w:t>
      </w:r>
      <w:r w:rsidR="000C66B8" w:rsidRPr="00997558">
        <w:rPr>
          <w:rFonts w:asciiTheme="minorHAnsi" w:hAnsiTheme="minorHAnsi" w:cstheme="minorHAnsi"/>
        </w:rPr>
        <w:t xml:space="preserve">yrolysis </w:t>
      </w:r>
      <w:r w:rsidR="000C66B8">
        <w:rPr>
          <w:rFonts w:asciiTheme="minorHAnsi" w:hAnsiTheme="minorHAnsi" w:cstheme="minorHAnsi"/>
        </w:rPr>
        <w:t>o</w:t>
      </w:r>
      <w:r w:rsidR="000C66B8" w:rsidRPr="00997558">
        <w:rPr>
          <w:rFonts w:asciiTheme="minorHAnsi" w:hAnsiTheme="minorHAnsi" w:cstheme="minorHAnsi"/>
        </w:rPr>
        <w:t>ils</w:t>
      </w:r>
      <w:r w:rsidR="000C66B8">
        <w:rPr>
          <w:rFonts w:asciiTheme="minorHAnsi" w:hAnsiTheme="minorHAnsi" w:cstheme="minorHAnsi"/>
        </w:rPr>
        <w:t>, c</w:t>
      </w:r>
      <w:r w:rsidR="000C66B8" w:rsidRPr="00997558">
        <w:rPr>
          <w:rFonts w:asciiTheme="minorHAnsi" w:hAnsiTheme="minorHAnsi" w:cstheme="minorHAnsi"/>
        </w:rPr>
        <w:t>ellulose based ethanol</w:t>
      </w:r>
      <w:r w:rsidR="000C66B8">
        <w:rPr>
          <w:rFonts w:asciiTheme="minorHAnsi" w:hAnsiTheme="minorHAnsi" w:cstheme="minorHAnsi"/>
        </w:rPr>
        <w:t>, w</w:t>
      </w:r>
      <w:r w:rsidR="000C66B8" w:rsidRPr="00997558">
        <w:rPr>
          <w:rFonts w:asciiTheme="minorHAnsi" w:hAnsiTheme="minorHAnsi" w:cstheme="minorHAnsi"/>
        </w:rPr>
        <w:t>ood based biodiesel</w:t>
      </w:r>
      <w:r w:rsidR="000C66B8">
        <w:rPr>
          <w:rFonts w:asciiTheme="minorHAnsi" w:hAnsiTheme="minorHAnsi" w:cstheme="minorHAnsi"/>
        </w:rPr>
        <w:t>).</w:t>
      </w:r>
      <w:r w:rsidR="000C66B8" w:rsidRPr="000C66B8">
        <w:rPr>
          <w:rFonts w:asciiTheme="minorHAnsi" w:hAnsiTheme="minorHAnsi" w:cstheme="minorHAnsi"/>
        </w:rPr>
        <w:t xml:space="preserve"> </w:t>
      </w:r>
      <w:r w:rsidR="000C66B8">
        <w:rPr>
          <w:rFonts w:asciiTheme="minorHAnsi" w:hAnsiTheme="minorHAnsi" w:cstheme="minorHAnsi"/>
        </w:rPr>
        <w:t xml:space="preserve">The liquid biofuels have been </w:t>
      </w:r>
      <w:r w:rsidR="000C66B8">
        <w:rPr>
          <w:rFonts w:asciiTheme="minorHAnsi" w:hAnsiTheme="minorHAnsi" w:cstheme="minorHAnsi"/>
        </w:rPr>
        <w:lastRenderedPageBreak/>
        <w:t xml:space="preserve">inserted for completeness </w:t>
      </w:r>
      <w:r w:rsidR="006A7E81">
        <w:rPr>
          <w:rFonts w:asciiTheme="minorHAnsi" w:hAnsiTheme="minorHAnsi" w:cstheme="minorHAnsi"/>
        </w:rPr>
        <w:t xml:space="preserve">so </w:t>
      </w:r>
      <w:r w:rsidR="0068081E">
        <w:rPr>
          <w:rFonts w:asciiTheme="minorHAnsi" w:hAnsiTheme="minorHAnsi" w:cstheme="minorHAnsi"/>
        </w:rPr>
        <w:t>priority</w:t>
      </w:r>
      <w:r w:rsidR="000C66B8">
        <w:rPr>
          <w:rFonts w:asciiTheme="minorHAnsi" w:hAnsiTheme="minorHAnsi" w:cstheme="minorHAnsi"/>
        </w:rPr>
        <w:t xml:space="preserve"> should be given to providing information on solid wood</w:t>
      </w:r>
      <w:r w:rsidR="006A7E81">
        <w:rPr>
          <w:rFonts w:asciiTheme="minorHAnsi" w:hAnsiTheme="minorHAnsi" w:cstheme="minorHAnsi"/>
        </w:rPr>
        <w:t>-</w:t>
      </w:r>
      <w:r w:rsidR="000C66B8">
        <w:rPr>
          <w:rFonts w:asciiTheme="minorHAnsi" w:hAnsiTheme="minorHAnsi" w:cstheme="minorHAnsi"/>
        </w:rPr>
        <w:t xml:space="preserve">based fuels. </w:t>
      </w:r>
    </w:p>
    <w:p w:rsidR="007727D3" w:rsidRDefault="007727D3" w:rsidP="00C00C37">
      <w:pPr>
        <w:jc w:val="both"/>
        <w:rPr>
          <w:rFonts w:asciiTheme="minorHAnsi" w:hAnsiTheme="minorHAnsi" w:cstheme="minorHAnsi"/>
        </w:rPr>
      </w:pPr>
    </w:p>
    <w:p w:rsidR="008B07A8" w:rsidRDefault="00FE03D4" w:rsidP="00C00C37">
      <w:pPr>
        <w:jc w:val="both"/>
        <w:rPr>
          <w:rFonts w:asciiTheme="minorHAnsi" w:hAnsiTheme="minorHAnsi" w:cstheme="minorHAnsi"/>
        </w:rPr>
      </w:pPr>
      <w:r>
        <w:rPr>
          <w:rFonts w:asciiTheme="minorHAnsi" w:hAnsiTheme="minorHAnsi" w:cstheme="minorHAnsi"/>
        </w:rPr>
        <w:t>This table may be of particular interest to countries with an extensive production of processed wood</w:t>
      </w:r>
      <w:r w:rsidR="006A7E81">
        <w:rPr>
          <w:rFonts w:asciiTheme="minorHAnsi" w:hAnsiTheme="minorHAnsi" w:cstheme="minorHAnsi"/>
        </w:rPr>
        <w:t>-</w:t>
      </w:r>
      <w:r>
        <w:rPr>
          <w:rFonts w:asciiTheme="minorHAnsi" w:hAnsiTheme="minorHAnsi" w:cstheme="minorHAnsi"/>
        </w:rPr>
        <w:t xml:space="preserve">based fuels and a high share of net exports. The transformation of wood co-products and wood </w:t>
      </w:r>
      <w:proofErr w:type="spellStart"/>
      <w:r>
        <w:rPr>
          <w:rFonts w:asciiTheme="minorHAnsi" w:hAnsiTheme="minorHAnsi" w:cstheme="minorHAnsi"/>
        </w:rPr>
        <w:t>fibres</w:t>
      </w:r>
      <w:proofErr w:type="spellEnd"/>
      <w:r>
        <w:rPr>
          <w:rFonts w:asciiTheme="minorHAnsi" w:hAnsiTheme="minorHAnsi" w:cstheme="minorHAnsi"/>
        </w:rPr>
        <w:t xml:space="preserve"> to pellets and their export can significantly reduce the wood availability at national level.</w:t>
      </w:r>
      <w:r w:rsidR="000C66B8">
        <w:rPr>
          <w:rFonts w:asciiTheme="minorHAnsi" w:hAnsiTheme="minorHAnsi" w:cstheme="minorHAnsi"/>
        </w:rPr>
        <w:t xml:space="preserve"> </w:t>
      </w:r>
      <w:r w:rsidR="00997558">
        <w:rPr>
          <w:rFonts w:asciiTheme="minorHAnsi" w:hAnsiTheme="minorHAnsi" w:cstheme="minorHAnsi"/>
        </w:rPr>
        <w:t xml:space="preserve">Despite the fact that </w:t>
      </w:r>
      <w:r w:rsidR="0068081E">
        <w:rPr>
          <w:rFonts w:asciiTheme="minorHAnsi" w:hAnsiTheme="minorHAnsi" w:cstheme="minorHAnsi"/>
        </w:rPr>
        <w:t xml:space="preserve">filling </w:t>
      </w:r>
      <w:r w:rsidR="00997558">
        <w:rPr>
          <w:rFonts w:asciiTheme="minorHAnsi" w:hAnsiTheme="minorHAnsi" w:cstheme="minorHAnsi"/>
        </w:rPr>
        <w:t xml:space="preserve">this table </w:t>
      </w:r>
      <w:r w:rsidR="0068081E">
        <w:rPr>
          <w:rFonts w:asciiTheme="minorHAnsi" w:hAnsiTheme="minorHAnsi" w:cstheme="minorHAnsi"/>
        </w:rPr>
        <w:t>is</w:t>
      </w:r>
      <w:r w:rsidR="00997558">
        <w:rPr>
          <w:rFonts w:asciiTheme="minorHAnsi" w:hAnsiTheme="minorHAnsi" w:cstheme="minorHAnsi"/>
        </w:rPr>
        <w:t xml:space="preserve"> optional, the secretariat very strongly encourage</w:t>
      </w:r>
      <w:r w:rsidR="0068081E">
        <w:rPr>
          <w:rFonts w:asciiTheme="minorHAnsi" w:hAnsiTheme="minorHAnsi" w:cstheme="minorHAnsi"/>
        </w:rPr>
        <w:t>s</w:t>
      </w:r>
      <w:r w:rsidR="00997558">
        <w:rPr>
          <w:rFonts w:asciiTheme="minorHAnsi" w:hAnsiTheme="minorHAnsi" w:cstheme="minorHAnsi"/>
        </w:rPr>
        <w:t xml:space="preserve"> </w:t>
      </w:r>
      <w:r w:rsidR="007727D3">
        <w:rPr>
          <w:rFonts w:asciiTheme="minorHAnsi" w:hAnsiTheme="minorHAnsi" w:cstheme="minorHAnsi"/>
        </w:rPr>
        <w:t>correspondent</w:t>
      </w:r>
      <w:r w:rsidR="003B279D">
        <w:rPr>
          <w:rFonts w:asciiTheme="minorHAnsi" w:hAnsiTheme="minorHAnsi" w:cstheme="minorHAnsi"/>
        </w:rPr>
        <w:t>s</w:t>
      </w:r>
      <w:r w:rsidR="00997558">
        <w:rPr>
          <w:rFonts w:asciiTheme="minorHAnsi" w:hAnsiTheme="minorHAnsi" w:cstheme="minorHAnsi"/>
        </w:rPr>
        <w:t xml:space="preserve"> to at least provide information on the production of wood pellets. The reason for that is that the pellets sector traditionally use</w:t>
      </w:r>
      <w:r w:rsidR="0068081E">
        <w:rPr>
          <w:rFonts w:asciiTheme="minorHAnsi" w:hAnsiTheme="minorHAnsi" w:cstheme="minorHAnsi"/>
        </w:rPr>
        <w:t>s</w:t>
      </w:r>
      <w:r w:rsidR="00997558">
        <w:rPr>
          <w:rFonts w:asciiTheme="minorHAnsi" w:hAnsiTheme="minorHAnsi" w:cstheme="minorHAnsi"/>
        </w:rPr>
        <w:t xml:space="preserve"> co-products as raw material. </w:t>
      </w:r>
      <w:r w:rsidR="000C66B8">
        <w:rPr>
          <w:rFonts w:asciiTheme="minorHAnsi" w:hAnsiTheme="minorHAnsi" w:cstheme="minorHAnsi"/>
        </w:rPr>
        <w:t>D</w:t>
      </w:r>
      <w:r w:rsidR="00997558">
        <w:rPr>
          <w:rFonts w:asciiTheme="minorHAnsi" w:hAnsiTheme="minorHAnsi" w:cstheme="minorHAnsi"/>
        </w:rPr>
        <w:t>ue to the downturn of the sawmill sector</w:t>
      </w:r>
      <w:r w:rsidR="000C66B8">
        <w:rPr>
          <w:rFonts w:asciiTheme="minorHAnsi" w:hAnsiTheme="minorHAnsi" w:cstheme="minorHAnsi"/>
        </w:rPr>
        <w:t xml:space="preserve"> and a constant increase in wood pellets production capacit</w:t>
      </w:r>
      <w:r w:rsidR="00901183">
        <w:rPr>
          <w:rFonts w:asciiTheme="minorHAnsi" w:hAnsiTheme="minorHAnsi" w:cstheme="minorHAnsi"/>
        </w:rPr>
        <w:t>y</w:t>
      </w:r>
      <w:r w:rsidR="000C66B8">
        <w:rPr>
          <w:rFonts w:asciiTheme="minorHAnsi" w:hAnsiTheme="minorHAnsi" w:cstheme="minorHAnsi"/>
        </w:rPr>
        <w:t xml:space="preserve"> and demand</w:t>
      </w:r>
      <w:r w:rsidR="0068081E">
        <w:rPr>
          <w:rFonts w:asciiTheme="minorHAnsi" w:hAnsiTheme="minorHAnsi" w:cstheme="minorHAnsi"/>
        </w:rPr>
        <w:t>,</w:t>
      </w:r>
      <w:r w:rsidR="000C66B8">
        <w:rPr>
          <w:rFonts w:asciiTheme="minorHAnsi" w:hAnsiTheme="minorHAnsi" w:cstheme="minorHAnsi"/>
        </w:rPr>
        <w:t xml:space="preserve"> the wood demand pattern of the sector is changing dramatically. Th</w:t>
      </w:r>
      <w:r w:rsidR="00997558">
        <w:rPr>
          <w:rFonts w:asciiTheme="minorHAnsi" w:hAnsiTheme="minorHAnsi" w:cstheme="minorHAnsi"/>
        </w:rPr>
        <w:t xml:space="preserve">e share of co-products </w:t>
      </w:r>
      <w:r w:rsidR="000C66B8">
        <w:rPr>
          <w:rFonts w:asciiTheme="minorHAnsi" w:hAnsiTheme="minorHAnsi" w:cstheme="minorHAnsi"/>
        </w:rPr>
        <w:t xml:space="preserve">in the raw material portfolio </w:t>
      </w:r>
      <w:r w:rsidR="00997558">
        <w:rPr>
          <w:rFonts w:asciiTheme="minorHAnsi" w:hAnsiTheme="minorHAnsi" w:cstheme="minorHAnsi"/>
        </w:rPr>
        <w:t xml:space="preserve">is on the decline and increasingly fresh </w:t>
      </w:r>
      <w:proofErr w:type="spellStart"/>
      <w:r w:rsidR="00997558">
        <w:rPr>
          <w:rFonts w:asciiTheme="minorHAnsi" w:hAnsiTheme="minorHAnsi" w:cstheme="minorHAnsi"/>
        </w:rPr>
        <w:t>fibres</w:t>
      </w:r>
      <w:proofErr w:type="spellEnd"/>
      <w:r w:rsidR="00997558">
        <w:rPr>
          <w:rFonts w:asciiTheme="minorHAnsi" w:hAnsiTheme="minorHAnsi" w:cstheme="minorHAnsi"/>
        </w:rPr>
        <w:t xml:space="preserve"> are </w:t>
      </w:r>
      <w:r w:rsidR="000C66B8">
        <w:rPr>
          <w:rFonts w:asciiTheme="minorHAnsi" w:hAnsiTheme="minorHAnsi" w:cstheme="minorHAnsi"/>
        </w:rPr>
        <w:t xml:space="preserve">directly </w:t>
      </w:r>
      <w:r w:rsidR="00997558">
        <w:rPr>
          <w:rFonts w:asciiTheme="minorHAnsi" w:hAnsiTheme="minorHAnsi" w:cstheme="minorHAnsi"/>
        </w:rPr>
        <w:t xml:space="preserve">used to produce wood pellets. </w:t>
      </w:r>
      <w:r w:rsidR="00901183">
        <w:rPr>
          <w:rFonts w:asciiTheme="minorHAnsi" w:hAnsiTheme="minorHAnsi" w:cstheme="minorHAnsi"/>
        </w:rPr>
        <w:t>C</w:t>
      </w:r>
      <w:r w:rsidR="00010281">
        <w:rPr>
          <w:rFonts w:asciiTheme="minorHAnsi" w:hAnsiTheme="minorHAnsi" w:cstheme="minorHAnsi"/>
        </w:rPr>
        <w:t>areful</w:t>
      </w:r>
      <w:r w:rsidR="00901183">
        <w:rPr>
          <w:rFonts w:asciiTheme="minorHAnsi" w:hAnsiTheme="minorHAnsi" w:cstheme="minorHAnsi"/>
        </w:rPr>
        <w:t xml:space="preserve"> assessment of</w:t>
      </w:r>
      <w:r w:rsidR="00010281">
        <w:rPr>
          <w:rFonts w:asciiTheme="minorHAnsi" w:hAnsiTheme="minorHAnsi" w:cstheme="minorHAnsi"/>
        </w:rPr>
        <w:t xml:space="preserve"> this sector </w:t>
      </w:r>
      <w:r w:rsidR="000C66B8">
        <w:rPr>
          <w:rFonts w:asciiTheme="minorHAnsi" w:hAnsiTheme="minorHAnsi" w:cstheme="minorHAnsi"/>
        </w:rPr>
        <w:t>is</w:t>
      </w:r>
      <w:r w:rsidR="00010281">
        <w:rPr>
          <w:rFonts w:asciiTheme="minorHAnsi" w:hAnsiTheme="minorHAnsi" w:cstheme="minorHAnsi"/>
        </w:rPr>
        <w:t xml:space="preserve"> likely to provide valuable information for deci</w:t>
      </w:r>
      <w:r w:rsidR="000C66B8">
        <w:rPr>
          <w:rFonts w:asciiTheme="minorHAnsi" w:hAnsiTheme="minorHAnsi" w:cstheme="minorHAnsi"/>
        </w:rPr>
        <w:t>si</w:t>
      </w:r>
      <w:r w:rsidR="00010281">
        <w:rPr>
          <w:rFonts w:asciiTheme="minorHAnsi" w:hAnsiTheme="minorHAnsi" w:cstheme="minorHAnsi"/>
        </w:rPr>
        <w:t xml:space="preserve">on makers. </w:t>
      </w:r>
      <w:r w:rsidR="00BA4D6C">
        <w:rPr>
          <w:rFonts w:asciiTheme="minorHAnsi" w:hAnsiTheme="minorHAnsi" w:cstheme="minorHAnsi"/>
        </w:rPr>
        <w:t xml:space="preserve"> </w:t>
      </w:r>
    </w:p>
    <w:p w:rsidR="007727D3" w:rsidRDefault="007727D3" w:rsidP="00C00C37">
      <w:pPr>
        <w:jc w:val="both"/>
        <w:rPr>
          <w:rFonts w:asciiTheme="minorHAnsi" w:hAnsiTheme="minorHAnsi" w:cstheme="minorHAnsi"/>
        </w:rPr>
      </w:pPr>
    </w:p>
    <w:p w:rsidR="00EC00E9" w:rsidRDefault="005D09CC" w:rsidP="00C00C37">
      <w:pPr>
        <w:jc w:val="both"/>
        <w:rPr>
          <w:rFonts w:asciiTheme="minorHAnsi" w:hAnsiTheme="minorHAnsi" w:cstheme="minorHAnsi"/>
        </w:rPr>
      </w:pPr>
      <w:r>
        <w:rPr>
          <w:rFonts w:asciiTheme="minorHAnsi" w:hAnsiTheme="minorHAnsi" w:cstheme="minorHAnsi"/>
        </w:rPr>
        <w:t xml:space="preserve">In case </w:t>
      </w:r>
      <w:r w:rsidR="00901183">
        <w:rPr>
          <w:rFonts w:asciiTheme="minorHAnsi" w:hAnsiTheme="minorHAnsi" w:cstheme="minorHAnsi"/>
        </w:rPr>
        <w:t>correspondents</w:t>
      </w:r>
      <w:r>
        <w:rPr>
          <w:rFonts w:asciiTheme="minorHAnsi" w:hAnsiTheme="minorHAnsi" w:cstheme="minorHAnsi"/>
        </w:rPr>
        <w:t xml:space="preserve"> and experts are unable to provide total volumes, they </w:t>
      </w:r>
      <w:r w:rsidR="00D37A57">
        <w:rPr>
          <w:rFonts w:asciiTheme="minorHAnsi" w:hAnsiTheme="minorHAnsi" w:cstheme="minorHAnsi"/>
        </w:rPr>
        <w:t>may</w:t>
      </w:r>
      <w:r>
        <w:rPr>
          <w:rFonts w:asciiTheme="minorHAnsi" w:hAnsiTheme="minorHAnsi" w:cstheme="minorHAnsi"/>
        </w:rPr>
        <w:t xml:space="preserve"> provide information on the specific shares for each single fibre source in percentage</w:t>
      </w:r>
      <w:r w:rsidR="0068081E">
        <w:rPr>
          <w:rFonts w:asciiTheme="minorHAnsi" w:hAnsiTheme="minorHAnsi" w:cstheme="minorHAnsi"/>
        </w:rPr>
        <w:t xml:space="preserve"> points</w:t>
      </w:r>
      <w:r>
        <w:rPr>
          <w:rFonts w:asciiTheme="minorHAnsi" w:hAnsiTheme="minorHAnsi" w:cstheme="minorHAnsi"/>
        </w:rPr>
        <w:t xml:space="preserve">. In case no </w:t>
      </w:r>
      <w:r w:rsidR="0068081E">
        <w:rPr>
          <w:rFonts w:asciiTheme="minorHAnsi" w:hAnsiTheme="minorHAnsi" w:cstheme="minorHAnsi"/>
        </w:rPr>
        <w:t xml:space="preserve">detailed </w:t>
      </w:r>
      <w:r>
        <w:rPr>
          <w:rFonts w:asciiTheme="minorHAnsi" w:hAnsiTheme="minorHAnsi" w:cstheme="minorHAnsi"/>
        </w:rPr>
        <w:t xml:space="preserve">information is available, aggregated shares for the direct, indirect and recovered </w:t>
      </w:r>
      <w:proofErr w:type="spellStart"/>
      <w:r>
        <w:rPr>
          <w:rFonts w:asciiTheme="minorHAnsi" w:hAnsiTheme="minorHAnsi" w:cstheme="minorHAnsi"/>
        </w:rPr>
        <w:t>fibres</w:t>
      </w:r>
      <w:proofErr w:type="spellEnd"/>
      <w:r>
        <w:rPr>
          <w:rFonts w:asciiTheme="minorHAnsi" w:hAnsiTheme="minorHAnsi" w:cstheme="minorHAnsi"/>
        </w:rPr>
        <w:t xml:space="preserve"> </w:t>
      </w:r>
      <w:r w:rsidR="0068081E">
        <w:rPr>
          <w:rFonts w:asciiTheme="minorHAnsi" w:hAnsiTheme="minorHAnsi" w:cstheme="minorHAnsi"/>
        </w:rPr>
        <w:t xml:space="preserve">may </w:t>
      </w:r>
      <w:r>
        <w:rPr>
          <w:rFonts w:asciiTheme="minorHAnsi" w:hAnsiTheme="minorHAnsi" w:cstheme="minorHAnsi"/>
        </w:rPr>
        <w:t xml:space="preserve">be entered. In case of partial information on the </w:t>
      </w:r>
      <w:proofErr w:type="spellStart"/>
      <w:r>
        <w:rPr>
          <w:rFonts w:asciiTheme="minorHAnsi" w:hAnsiTheme="minorHAnsi" w:cstheme="minorHAnsi"/>
        </w:rPr>
        <w:t>fibres</w:t>
      </w:r>
      <w:proofErr w:type="spellEnd"/>
      <w:r>
        <w:rPr>
          <w:rFonts w:asciiTheme="minorHAnsi" w:hAnsiTheme="minorHAnsi" w:cstheme="minorHAnsi"/>
        </w:rPr>
        <w:t xml:space="preserve"> used, the remaining amount will be automatically highlighted and included in table IV. In case no data are provided in this table, the volumes required will be generated based on default values and will be subtracted from </w:t>
      </w:r>
      <w:proofErr w:type="spellStart"/>
      <w:r>
        <w:rPr>
          <w:rFonts w:asciiTheme="minorHAnsi" w:hAnsiTheme="minorHAnsi" w:cstheme="minorHAnsi"/>
        </w:rPr>
        <w:t>fibres</w:t>
      </w:r>
      <w:proofErr w:type="spellEnd"/>
      <w:r>
        <w:rPr>
          <w:rFonts w:asciiTheme="minorHAnsi" w:hAnsiTheme="minorHAnsi" w:cstheme="minorHAnsi"/>
        </w:rPr>
        <w:t xml:space="preserve"> from unknown sources.</w:t>
      </w:r>
    </w:p>
    <w:p w:rsidR="00213DCC" w:rsidRDefault="00213DCC" w:rsidP="00C00C37">
      <w:pPr>
        <w:jc w:val="both"/>
        <w:rPr>
          <w:rFonts w:ascii="Calibri" w:hAnsi="Calibri"/>
          <w:b/>
          <w:bCs/>
          <w:szCs w:val="26"/>
        </w:rPr>
      </w:pPr>
    </w:p>
    <w:p w:rsidR="00A922FD" w:rsidRDefault="00A922FD" w:rsidP="0047427B">
      <w:pPr>
        <w:pStyle w:val="Heading3"/>
        <w:spacing w:before="0" w:after="0"/>
        <w:jc w:val="both"/>
      </w:pPr>
      <w:bookmarkStart w:id="75" w:name="_Toc326748716"/>
      <w:bookmarkStart w:id="76" w:name="_Toc407187227"/>
      <w:r w:rsidRPr="00D82047">
        <w:t>Table T IV</w:t>
      </w:r>
      <w:r w:rsidR="00EC00E9" w:rsidRPr="00D82047">
        <w:t xml:space="preserve"> “T IV energy use”</w:t>
      </w:r>
      <w:bookmarkEnd w:id="75"/>
      <w:bookmarkEnd w:id="76"/>
    </w:p>
    <w:p w:rsidR="00531917" w:rsidRPr="00531917" w:rsidRDefault="00531917" w:rsidP="0047427B"/>
    <w:tbl>
      <w:tblPr>
        <w:tblW w:w="9072" w:type="dxa"/>
        <w:tblInd w:w="108" w:type="dxa"/>
        <w:tblCellMar>
          <w:top w:w="113" w:type="dxa"/>
          <w:bottom w:w="113" w:type="dxa"/>
        </w:tblCellMar>
        <w:tblLook w:val="04A0" w:firstRow="1" w:lastRow="0" w:firstColumn="1" w:lastColumn="0" w:noHBand="0" w:noVBand="1"/>
      </w:tblPr>
      <w:tblGrid>
        <w:gridCol w:w="1985"/>
        <w:gridCol w:w="7087"/>
      </w:tblGrid>
      <w:tr w:rsidR="00F61A1C" w:rsidRPr="00B52317" w:rsidTr="00812313">
        <w:trPr>
          <w:trHeight w:val="630"/>
        </w:trPr>
        <w:tc>
          <w:tcPr>
            <w:tcW w:w="198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61A1C" w:rsidRPr="0047427B" w:rsidRDefault="00F61A1C" w:rsidP="0047427B">
            <w:pPr>
              <w:ind w:firstLineChars="100" w:firstLine="241"/>
              <w:jc w:val="both"/>
              <w:rPr>
                <w:rFonts w:asciiTheme="minorHAnsi" w:hAnsiTheme="minorHAnsi" w:cstheme="minorHAnsi"/>
                <w:b/>
                <w:bCs/>
              </w:rPr>
            </w:pPr>
            <w:r w:rsidRPr="0047427B">
              <w:rPr>
                <w:rFonts w:asciiTheme="minorHAnsi" w:hAnsiTheme="minorHAnsi" w:cstheme="minorHAnsi"/>
                <w:b/>
                <w:bCs/>
              </w:rPr>
              <w:t>T IV energy use</w:t>
            </w:r>
          </w:p>
        </w:tc>
        <w:tc>
          <w:tcPr>
            <w:tcW w:w="7087" w:type="dxa"/>
            <w:tcBorders>
              <w:top w:val="single" w:sz="8" w:space="0" w:color="auto"/>
              <w:left w:val="nil"/>
              <w:bottom w:val="single" w:sz="8" w:space="0" w:color="auto"/>
              <w:right w:val="single" w:sz="8" w:space="0" w:color="000000"/>
            </w:tcBorders>
            <w:shd w:val="clear" w:color="auto" w:fill="auto"/>
            <w:vAlign w:val="center"/>
            <w:hideMark/>
          </w:tcPr>
          <w:p w:rsidR="00F61A1C" w:rsidRPr="0047427B" w:rsidRDefault="00F61A1C" w:rsidP="0047427B">
            <w:pPr>
              <w:ind w:firstLineChars="100" w:firstLine="240"/>
              <w:jc w:val="both"/>
              <w:rPr>
                <w:rFonts w:asciiTheme="minorHAnsi" w:hAnsiTheme="minorHAnsi" w:cstheme="minorHAnsi"/>
              </w:rPr>
            </w:pPr>
            <w:r w:rsidRPr="0047427B">
              <w:rPr>
                <w:rFonts w:asciiTheme="minorHAnsi" w:hAnsiTheme="minorHAnsi" w:cstheme="minorHAnsi"/>
              </w:rPr>
              <w:t>Core table of the enquiry - assessment of fibre origin and amounts used for energy production by the different sectors</w:t>
            </w:r>
          </w:p>
        </w:tc>
      </w:tr>
    </w:tbl>
    <w:p w:rsidR="00EC00E9" w:rsidRDefault="00EC00E9" w:rsidP="0047427B">
      <w:pPr>
        <w:pStyle w:val="Caption"/>
        <w:keepNext/>
        <w:spacing w:after="0"/>
        <w:jc w:val="both"/>
      </w:pPr>
    </w:p>
    <w:p w:rsidR="00E35C2D" w:rsidRPr="00A74B33" w:rsidRDefault="00E35C2D" w:rsidP="0047427B">
      <w:pPr>
        <w:jc w:val="both"/>
        <w:rPr>
          <w:rFonts w:ascii="Calibri" w:hAnsi="Calibri" w:cs="Calibri"/>
        </w:rPr>
      </w:pPr>
      <w:r w:rsidRPr="00A74B33">
        <w:rPr>
          <w:rFonts w:ascii="Calibri" w:hAnsi="Calibri" w:cs="Calibri"/>
        </w:rPr>
        <w:t>Table “T IV energy use” is the core of the JWEE</w:t>
      </w:r>
      <w:r w:rsidR="009C4772">
        <w:rPr>
          <w:rFonts w:ascii="Calibri" w:hAnsi="Calibri" w:cs="Calibri"/>
        </w:rPr>
        <w:t xml:space="preserve"> </w:t>
      </w:r>
      <w:r w:rsidRPr="00A74B33">
        <w:rPr>
          <w:rFonts w:ascii="Calibri" w:hAnsi="Calibri" w:cs="Calibri"/>
        </w:rPr>
        <w:t>201</w:t>
      </w:r>
      <w:r w:rsidR="00E35199">
        <w:rPr>
          <w:rFonts w:ascii="Calibri" w:hAnsi="Calibri" w:cs="Calibri"/>
        </w:rPr>
        <w:t>3</w:t>
      </w:r>
      <w:r w:rsidR="008178B7">
        <w:rPr>
          <w:rFonts w:ascii="Calibri" w:hAnsi="Calibri" w:cs="Calibri"/>
        </w:rPr>
        <w:t xml:space="preserve"> where correspondents and experts from the energy, forestry and waste sectors need to collaborate closely. </w:t>
      </w:r>
      <w:r w:rsidRPr="00A74B33">
        <w:rPr>
          <w:rFonts w:ascii="Calibri" w:hAnsi="Calibri" w:cs="Calibri"/>
        </w:rPr>
        <w:t xml:space="preserve">It provides in one single table the </w:t>
      </w:r>
      <w:r w:rsidR="00E27C87">
        <w:rPr>
          <w:rFonts w:ascii="Calibri" w:hAnsi="Calibri" w:cs="Calibri"/>
        </w:rPr>
        <w:t>in</w:t>
      </w:r>
      <w:r w:rsidRPr="00A74B33">
        <w:rPr>
          <w:rFonts w:ascii="Calibri" w:hAnsi="Calibri" w:cs="Calibri"/>
        </w:rPr>
        <w:t xml:space="preserve">formation on wood resources as inserted in tables T I – T III and asks for energy use of wood </w:t>
      </w:r>
      <w:proofErr w:type="spellStart"/>
      <w:r w:rsidRPr="00A74B33">
        <w:rPr>
          <w:rFonts w:ascii="Calibri" w:hAnsi="Calibri" w:cs="Calibri"/>
        </w:rPr>
        <w:t>fibres</w:t>
      </w:r>
      <w:proofErr w:type="spellEnd"/>
      <w:r w:rsidRPr="00A74B33">
        <w:rPr>
          <w:rFonts w:ascii="Calibri" w:hAnsi="Calibri" w:cs="Calibri"/>
        </w:rPr>
        <w:t xml:space="preserve"> by sectors. The users are differentiated according to the International Standard Industrial Classification of all economic activities (ISIC). Any value in this table is given in the standard unit of 1000 metric tonnes dry matter (</w:t>
      </w:r>
      <w:proofErr w:type="spellStart"/>
      <w:r w:rsidRPr="00A74B33">
        <w:rPr>
          <w:rFonts w:ascii="Calibri" w:hAnsi="Calibri" w:cs="Calibri"/>
        </w:rPr>
        <w:t>t.d.m</w:t>
      </w:r>
      <w:proofErr w:type="spellEnd"/>
      <w:r w:rsidRPr="00A74B33">
        <w:rPr>
          <w:rFonts w:ascii="Calibri" w:hAnsi="Calibri" w:cs="Calibri"/>
        </w:rPr>
        <w:t>.)</w:t>
      </w:r>
      <w:r w:rsidR="00E27C87">
        <w:rPr>
          <w:rFonts w:ascii="Calibri" w:hAnsi="Calibri" w:cs="Calibri"/>
        </w:rPr>
        <w:t xml:space="preserve">, except for </w:t>
      </w:r>
      <w:r w:rsidR="002B0492">
        <w:rPr>
          <w:rFonts w:ascii="Calibri" w:hAnsi="Calibri" w:cs="Calibri"/>
        </w:rPr>
        <w:t xml:space="preserve">certain </w:t>
      </w:r>
      <w:r w:rsidR="00E27C87">
        <w:rPr>
          <w:rFonts w:ascii="Calibri" w:hAnsi="Calibri" w:cs="Calibri"/>
        </w:rPr>
        <w:t>liquid co-products.</w:t>
      </w:r>
      <w:r w:rsidRPr="00A74B33">
        <w:rPr>
          <w:rFonts w:ascii="Calibri" w:hAnsi="Calibri" w:cs="Calibri"/>
        </w:rPr>
        <w:t xml:space="preserve"> </w:t>
      </w:r>
    </w:p>
    <w:p w:rsidR="00531917" w:rsidRDefault="00531917" w:rsidP="0047427B">
      <w:pPr>
        <w:jc w:val="both"/>
        <w:rPr>
          <w:rFonts w:ascii="Calibri" w:hAnsi="Calibri" w:cs="Calibri"/>
        </w:rPr>
      </w:pPr>
    </w:p>
    <w:p w:rsidR="00A74B33" w:rsidRPr="00A74B33" w:rsidRDefault="00DA4104" w:rsidP="0047427B">
      <w:pPr>
        <w:jc w:val="both"/>
        <w:rPr>
          <w:rFonts w:ascii="Calibri" w:hAnsi="Calibri" w:cs="Calibri"/>
        </w:rPr>
      </w:pPr>
      <w:r>
        <w:rPr>
          <w:rFonts w:ascii="Calibri" w:hAnsi="Calibri" w:cs="Calibri"/>
        </w:rPr>
        <w:t>“</w:t>
      </w:r>
      <w:r w:rsidRPr="00DA4104">
        <w:rPr>
          <w:rFonts w:ascii="Calibri" w:hAnsi="Calibri" w:cs="Calibri"/>
        </w:rPr>
        <w:t>T IV energy use”</w:t>
      </w:r>
      <w:r>
        <w:rPr>
          <w:rFonts w:ascii="Calibri" w:hAnsi="Calibri" w:cs="Calibri"/>
        </w:rPr>
        <w:t xml:space="preserve"> of JWEE</w:t>
      </w:r>
      <w:r w:rsidR="00E27C87">
        <w:rPr>
          <w:rFonts w:ascii="Calibri" w:hAnsi="Calibri" w:cs="Calibri"/>
        </w:rPr>
        <w:t xml:space="preserve"> </w:t>
      </w:r>
      <w:r w:rsidR="00A74B33" w:rsidRPr="00A74B33">
        <w:rPr>
          <w:rFonts w:ascii="Calibri" w:hAnsi="Calibri" w:cs="Calibri"/>
        </w:rPr>
        <w:t>201</w:t>
      </w:r>
      <w:r w:rsidR="00E35199">
        <w:rPr>
          <w:rFonts w:ascii="Calibri" w:hAnsi="Calibri" w:cs="Calibri"/>
        </w:rPr>
        <w:t>3</w:t>
      </w:r>
      <w:r w:rsidR="00A74B33" w:rsidRPr="00A74B33">
        <w:rPr>
          <w:rFonts w:ascii="Calibri" w:hAnsi="Calibri" w:cs="Calibri"/>
        </w:rPr>
        <w:t xml:space="preserve"> derive</w:t>
      </w:r>
      <w:r w:rsidR="00A74B33">
        <w:rPr>
          <w:rFonts w:ascii="Calibri" w:hAnsi="Calibri" w:cs="Calibri"/>
        </w:rPr>
        <w:t>s</w:t>
      </w:r>
      <w:r w:rsidR="00A74B33" w:rsidRPr="00A74B33">
        <w:rPr>
          <w:rFonts w:ascii="Calibri" w:hAnsi="Calibri" w:cs="Calibri"/>
        </w:rPr>
        <w:t xml:space="preserve"> its horizontal structure (user</w:t>
      </w:r>
      <w:r w:rsidR="00713879">
        <w:rPr>
          <w:rFonts w:ascii="Calibri" w:hAnsi="Calibri" w:cs="Calibri"/>
        </w:rPr>
        <w:t>s</w:t>
      </w:r>
      <w:r w:rsidR="00A74B33" w:rsidRPr="00A74B33">
        <w:rPr>
          <w:rFonts w:ascii="Calibri" w:hAnsi="Calibri" w:cs="Calibri"/>
        </w:rPr>
        <w:t xml:space="preserve"> of wood energ</w:t>
      </w:r>
      <w:r w:rsidR="00A74B33">
        <w:rPr>
          <w:rFonts w:ascii="Calibri" w:hAnsi="Calibri" w:cs="Calibri"/>
        </w:rPr>
        <w:t>y</w:t>
      </w:r>
      <w:r w:rsidR="00A74B33" w:rsidRPr="00A74B33">
        <w:rPr>
          <w:rFonts w:ascii="Calibri" w:hAnsi="Calibri" w:cs="Calibri"/>
        </w:rPr>
        <w:t>) from the vertical part of the</w:t>
      </w:r>
      <w:r>
        <w:rPr>
          <w:rFonts w:ascii="Calibri" w:hAnsi="Calibri" w:cs="Calibri"/>
        </w:rPr>
        <w:t xml:space="preserve"> </w:t>
      </w:r>
      <w:r w:rsidRPr="00DA4104">
        <w:rPr>
          <w:rFonts w:ascii="Calibri" w:hAnsi="Calibri" w:cs="Calibri"/>
        </w:rPr>
        <w:t>IEA</w:t>
      </w:r>
      <w:r w:rsidR="00E27C87">
        <w:rPr>
          <w:rFonts w:ascii="Calibri" w:hAnsi="Calibri" w:cs="Calibri"/>
        </w:rPr>
        <w:t>/</w:t>
      </w:r>
      <w:r w:rsidRPr="00DA4104">
        <w:rPr>
          <w:rFonts w:ascii="Calibri" w:hAnsi="Calibri" w:cs="Calibri"/>
        </w:rPr>
        <w:t>Eurostat</w:t>
      </w:r>
      <w:r w:rsidR="00E27C87">
        <w:rPr>
          <w:rFonts w:ascii="Calibri" w:hAnsi="Calibri" w:cs="Calibri"/>
        </w:rPr>
        <w:t>/</w:t>
      </w:r>
      <w:r w:rsidRPr="00DA4104">
        <w:rPr>
          <w:rFonts w:ascii="Calibri" w:hAnsi="Calibri" w:cs="Calibri"/>
        </w:rPr>
        <w:t>UNECE</w:t>
      </w:r>
      <w:r w:rsidRPr="00A74B33">
        <w:rPr>
          <w:rFonts w:ascii="Calibri" w:hAnsi="Calibri" w:cs="Calibri"/>
        </w:rPr>
        <w:t xml:space="preserve"> </w:t>
      </w:r>
      <w:r>
        <w:rPr>
          <w:rFonts w:ascii="Calibri" w:hAnsi="Calibri" w:cs="Calibri"/>
        </w:rPr>
        <w:t xml:space="preserve">country annual questionnaire </w:t>
      </w:r>
      <w:r w:rsidR="00E27C87">
        <w:rPr>
          <w:rFonts w:ascii="Calibri" w:hAnsi="Calibri" w:cs="Calibri"/>
        </w:rPr>
        <w:t xml:space="preserve">on </w:t>
      </w:r>
      <w:r>
        <w:rPr>
          <w:rFonts w:ascii="Calibri" w:hAnsi="Calibri" w:cs="Calibri"/>
        </w:rPr>
        <w:t xml:space="preserve">renewables and wastes </w:t>
      </w:r>
      <w:r w:rsidR="00A74B33">
        <w:rPr>
          <w:rFonts w:ascii="Calibri" w:hAnsi="Calibri" w:cs="Calibri"/>
        </w:rPr>
        <w:t xml:space="preserve">(called </w:t>
      </w:r>
      <w:r w:rsidR="005D2DAA">
        <w:rPr>
          <w:rFonts w:ascii="Calibri" w:hAnsi="Calibri" w:cs="Calibri"/>
        </w:rPr>
        <w:t>RENQUES</w:t>
      </w:r>
      <w:r w:rsidR="00A74B33">
        <w:rPr>
          <w:rFonts w:ascii="Calibri" w:hAnsi="Calibri" w:cs="Calibri"/>
        </w:rPr>
        <w:t xml:space="preserve"> hereafter)</w:t>
      </w:r>
      <w:r w:rsidR="00A74B33" w:rsidRPr="00A74B33">
        <w:rPr>
          <w:rFonts w:ascii="Calibri" w:hAnsi="Calibri" w:cs="Calibri"/>
        </w:rPr>
        <w:t xml:space="preserve">. </w:t>
      </w:r>
      <w:r w:rsidR="00713879">
        <w:rPr>
          <w:rFonts w:ascii="Calibri" w:hAnsi="Calibri" w:cs="Calibri"/>
        </w:rPr>
        <w:t xml:space="preserve">It </w:t>
      </w:r>
      <w:r w:rsidR="00713879" w:rsidRPr="00A74B33">
        <w:rPr>
          <w:rFonts w:ascii="Calibri" w:hAnsi="Calibri" w:cs="Calibri"/>
        </w:rPr>
        <w:t xml:space="preserve">has been designed to be compatible </w:t>
      </w:r>
      <w:r w:rsidR="00713879">
        <w:rPr>
          <w:rFonts w:ascii="Calibri" w:hAnsi="Calibri" w:cs="Calibri"/>
        </w:rPr>
        <w:t>with</w:t>
      </w:r>
      <w:r w:rsidR="00713879" w:rsidRPr="00A74B33">
        <w:rPr>
          <w:rFonts w:ascii="Calibri" w:hAnsi="Calibri" w:cs="Calibri"/>
        </w:rPr>
        <w:t xml:space="preserve"> the structure of </w:t>
      </w:r>
      <w:r w:rsidR="00713879">
        <w:rPr>
          <w:rFonts w:ascii="Calibri" w:hAnsi="Calibri" w:cs="Calibri"/>
        </w:rPr>
        <w:t>RENQUES</w:t>
      </w:r>
      <w:r w:rsidR="00713879" w:rsidRPr="00EE0E3F">
        <w:rPr>
          <w:rStyle w:val="FootnoteReference"/>
          <w:rFonts w:ascii="Calibri" w:hAnsi="Calibri" w:cs="Calibri"/>
        </w:rPr>
        <w:footnoteReference w:id="4"/>
      </w:r>
      <w:r w:rsidR="00713879" w:rsidRPr="00EE0E3F">
        <w:rPr>
          <w:rFonts w:ascii="Calibri" w:hAnsi="Calibri" w:cs="Calibri"/>
        </w:rPr>
        <w:t xml:space="preserve">. </w:t>
      </w:r>
      <w:r w:rsidR="00A74B33" w:rsidRPr="00EE0E3F">
        <w:rPr>
          <w:rFonts w:ascii="Calibri" w:hAnsi="Calibri" w:cs="Calibri"/>
        </w:rPr>
        <w:t xml:space="preserve">The </w:t>
      </w:r>
      <w:r w:rsidR="005B4EB6" w:rsidRPr="00EE0E3F">
        <w:rPr>
          <w:rFonts w:ascii="Calibri" w:hAnsi="Calibri" w:cs="Calibri"/>
        </w:rPr>
        <w:t>total volumes of the JWEE</w:t>
      </w:r>
      <w:r w:rsidR="003B279D" w:rsidRPr="00EE0E3F">
        <w:rPr>
          <w:rFonts w:ascii="Calibri" w:hAnsi="Calibri" w:cs="Calibri"/>
        </w:rPr>
        <w:t xml:space="preserve"> </w:t>
      </w:r>
      <w:r w:rsidR="005B4EB6" w:rsidRPr="00EE0E3F">
        <w:rPr>
          <w:rFonts w:ascii="Calibri" w:hAnsi="Calibri" w:cs="Calibri"/>
        </w:rPr>
        <w:t>201</w:t>
      </w:r>
      <w:r w:rsidR="00E35199" w:rsidRPr="00EE0E3F">
        <w:rPr>
          <w:rFonts w:ascii="Calibri" w:hAnsi="Calibri" w:cs="Calibri"/>
        </w:rPr>
        <w:t>3</w:t>
      </w:r>
      <w:r w:rsidR="005B4EB6" w:rsidRPr="00EE0E3F">
        <w:rPr>
          <w:rFonts w:ascii="Calibri" w:hAnsi="Calibri" w:cs="Calibri"/>
        </w:rPr>
        <w:t xml:space="preserve"> </w:t>
      </w:r>
      <w:r w:rsidRPr="00EE0E3F">
        <w:rPr>
          <w:rFonts w:ascii="Calibri" w:hAnsi="Calibri" w:cs="Calibri"/>
        </w:rPr>
        <w:t xml:space="preserve">may </w:t>
      </w:r>
      <w:r w:rsidR="005B4EB6" w:rsidRPr="00EE0E3F">
        <w:rPr>
          <w:rFonts w:ascii="Calibri" w:hAnsi="Calibri" w:cs="Calibri"/>
        </w:rPr>
        <w:t>provide information for</w:t>
      </w:r>
      <w:r w:rsidR="00A74B33" w:rsidRPr="00EE0E3F">
        <w:rPr>
          <w:rFonts w:ascii="Calibri" w:hAnsi="Calibri" w:cs="Calibri"/>
        </w:rPr>
        <w:t xml:space="preserve"> cell F1 of </w:t>
      </w:r>
      <w:r w:rsidR="00713879" w:rsidRPr="00EE0E3F">
        <w:rPr>
          <w:rFonts w:ascii="Calibri" w:hAnsi="Calibri" w:cs="Calibri"/>
        </w:rPr>
        <w:t>RENQUES</w:t>
      </w:r>
      <w:r w:rsidR="00A74B33" w:rsidRPr="00EE0E3F">
        <w:rPr>
          <w:rFonts w:ascii="Calibri" w:hAnsi="Calibri" w:cs="Calibri"/>
        </w:rPr>
        <w:t xml:space="preserve"> </w:t>
      </w:r>
      <w:r w:rsidR="00A74B33" w:rsidRPr="00EE0E3F">
        <w:rPr>
          <w:rFonts w:ascii="Calibri" w:hAnsi="Calibri" w:cs="Calibri"/>
          <w:i/>
        </w:rPr>
        <w:t xml:space="preserve">“Table 2. </w:t>
      </w:r>
      <w:proofErr w:type="gramStart"/>
      <w:r w:rsidR="00A74B33" w:rsidRPr="00EE0E3F">
        <w:rPr>
          <w:rFonts w:ascii="Calibri" w:hAnsi="Calibri" w:cs="Calibri"/>
          <w:i/>
        </w:rPr>
        <w:t>SUPPLY, TRANSFORMATION, ENERGY SECT</w:t>
      </w:r>
      <w:r w:rsidR="00D37A57" w:rsidRPr="00EE0E3F">
        <w:rPr>
          <w:rFonts w:ascii="Calibri" w:hAnsi="Calibri" w:cs="Calibri"/>
          <w:i/>
        </w:rPr>
        <w:t>OR</w:t>
      </w:r>
      <w:r w:rsidR="00A74B33" w:rsidRPr="00EE0E3F">
        <w:rPr>
          <w:rFonts w:ascii="Calibri" w:hAnsi="Calibri" w:cs="Calibri"/>
          <w:i/>
        </w:rPr>
        <w:t>S &amp; END USE”.</w:t>
      </w:r>
      <w:proofErr w:type="gramEnd"/>
      <w:r w:rsidR="00A74B33" w:rsidRPr="00EE0E3F">
        <w:rPr>
          <w:rFonts w:ascii="Calibri" w:hAnsi="Calibri" w:cs="Calibri"/>
        </w:rPr>
        <w:t xml:space="preserve"> </w:t>
      </w:r>
      <w:r w:rsidR="00A74B33" w:rsidRPr="00EE0E3F">
        <w:rPr>
          <w:rFonts w:ascii="Calibri" w:hAnsi="Calibri" w:cs="Calibri"/>
        </w:rPr>
        <w:lastRenderedPageBreak/>
        <w:t xml:space="preserve">The </w:t>
      </w:r>
      <w:r w:rsidR="005B4EB6" w:rsidRPr="00EE0E3F">
        <w:rPr>
          <w:rFonts w:ascii="Calibri" w:hAnsi="Calibri" w:cs="Calibri"/>
        </w:rPr>
        <w:t>structure of the JWEE</w:t>
      </w:r>
      <w:r w:rsidR="00037055" w:rsidRPr="00EE0E3F">
        <w:rPr>
          <w:rFonts w:ascii="Calibri" w:hAnsi="Calibri" w:cs="Calibri"/>
        </w:rPr>
        <w:t xml:space="preserve"> </w:t>
      </w:r>
      <w:r w:rsidR="005B4EB6" w:rsidRPr="00EE0E3F">
        <w:rPr>
          <w:rFonts w:ascii="Calibri" w:hAnsi="Calibri" w:cs="Calibri"/>
        </w:rPr>
        <w:t>201</w:t>
      </w:r>
      <w:r w:rsidR="00E35199" w:rsidRPr="00EE0E3F">
        <w:rPr>
          <w:rFonts w:ascii="Calibri" w:hAnsi="Calibri" w:cs="Calibri"/>
        </w:rPr>
        <w:t>3</w:t>
      </w:r>
      <w:r w:rsidR="005B4EB6" w:rsidRPr="00EE0E3F">
        <w:rPr>
          <w:rFonts w:ascii="Calibri" w:hAnsi="Calibri" w:cs="Calibri"/>
        </w:rPr>
        <w:t xml:space="preserve"> is </w:t>
      </w:r>
      <w:r w:rsidR="00A74B33" w:rsidRPr="00EE0E3F">
        <w:rPr>
          <w:rFonts w:ascii="Calibri" w:hAnsi="Calibri" w:cs="Calibri"/>
        </w:rPr>
        <w:t>compatible with IEA “Table 4. PRODUCTION OF WOOD/WOOD WASTES/OTHER SOLID WASTES”.</w:t>
      </w:r>
    </w:p>
    <w:p w:rsidR="00531917" w:rsidRDefault="00531917" w:rsidP="0047427B">
      <w:pPr>
        <w:jc w:val="both"/>
        <w:rPr>
          <w:rFonts w:ascii="Calibri" w:hAnsi="Calibri" w:cs="Calibri"/>
        </w:rPr>
      </w:pPr>
    </w:p>
    <w:p w:rsidR="00A74B33" w:rsidRPr="00A74B33" w:rsidRDefault="00713879" w:rsidP="0047427B">
      <w:pPr>
        <w:jc w:val="both"/>
        <w:rPr>
          <w:rFonts w:ascii="Calibri" w:hAnsi="Calibri" w:cs="Calibri"/>
        </w:rPr>
      </w:pPr>
      <w:r>
        <w:rPr>
          <w:rFonts w:ascii="Calibri" w:hAnsi="Calibri" w:cs="Calibri"/>
        </w:rPr>
        <w:t>In this table, u</w:t>
      </w:r>
      <w:r w:rsidR="00A74B33" w:rsidRPr="00A74B33">
        <w:rPr>
          <w:rFonts w:ascii="Calibri" w:hAnsi="Calibri" w:cs="Calibri"/>
        </w:rPr>
        <w:t xml:space="preserve">p to 190 single data points can be filled. However, it is not expected that all cells will be filled by </w:t>
      </w:r>
      <w:r>
        <w:rPr>
          <w:rFonts w:ascii="Calibri" w:hAnsi="Calibri" w:cs="Calibri"/>
        </w:rPr>
        <w:t>correspondents</w:t>
      </w:r>
      <w:r w:rsidR="00A74B33" w:rsidRPr="00A74B33">
        <w:rPr>
          <w:rFonts w:ascii="Calibri" w:hAnsi="Calibri" w:cs="Calibri"/>
        </w:rPr>
        <w:t xml:space="preserve"> or experts. Totals are calculated based on the information provided in the relevant data cells. </w:t>
      </w:r>
      <w:r>
        <w:rPr>
          <w:rFonts w:ascii="Calibri" w:hAnsi="Calibri" w:cs="Calibri"/>
        </w:rPr>
        <w:t>Correspondents</w:t>
      </w:r>
      <w:r w:rsidR="00A74B33" w:rsidRPr="00A74B33">
        <w:rPr>
          <w:rFonts w:ascii="Calibri" w:hAnsi="Calibri" w:cs="Calibri"/>
        </w:rPr>
        <w:t xml:space="preserve"> </w:t>
      </w:r>
      <w:r w:rsidR="00037055">
        <w:rPr>
          <w:rFonts w:ascii="Calibri" w:hAnsi="Calibri" w:cs="Calibri"/>
        </w:rPr>
        <w:t>may</w:t>
      </w:r>
      <w:r w:rsidR="00A74B33" w:rsidRPr="00A74B33">
        <w:rPr>
          <w:rFonts w:ascii="Calibri" w:hAnsi="Calibri" w:cs="Calibri"/>
        </w:rPr>
        <w:t xml:space="preserve"> enter data directly into the total columns, in case no disaggregated data </w:t>
      </w:r>
      <w:r>
        <w:rPr>
          <w:rFonts w:ascii="Calibri" w:hAnsi="Calibri" w:cs="Calibri"/>
        </w:rPr>
        <w:t>is</w:t>
      </w:r>
      <w:r w:rsidRPr="00A74B33">
        <w:rPr>
          <w:rFonts w:ascii="Calibri" w:hAnsi="Calibri" w:cs="Calibri"/>
        </w:rPr>
        <w:t xml:space="preserve"> </w:t>
      </w:r>
      <w:r w:rsidR="00A74B33" w:rsidRPr="00A74B33">
        <w:rPr>
          <w:rFonts w:ascii="Calibri" w:hAnsi="Calibri" w:cs="Calibri"/>
        </w:rPr>
        <w:t xml:space="preserve">available. </w:t>
      </w:r>
      <w:r>
        <w:rPr>
          <w:rFonts w:ascii="Calibri" w:hAnsi="Calibri" w:cs="Calibri"/>
        </w:rPr>
        <w:t>Providing</w:t>
      </w:r>
      <w:r w:rsidRPr="00A74B33">
        <w:rPr>
          <w:rFonts w:ascii="Calibri" w:hAnsi="Calibri" w:cs="Calibri"/>
        </w:rPr>
        <w:t xml:space="preserve"> </w:t>
      </w:r>
      <w:r w:rsidR="00A74B33" w:rsidRPr="00A74B33">
        <w:rPr>
          <w:rFonts w:ascii="Calibri" w:hAnsi="Calibri" w:cs="Calibri"/>
        </w:rPr>
        <w:t xml:space="preserve">24 key data </w:t>
      </w:r>
      <w:r w:rsidR="00037055">
        <w:rPr>
          <w:rFonts w:ascii="Calibri" w:hAnsi="Calibri" w:cs="Calibri"/>
        </w:rPr>
        <w:t xml:space="preserve">points </w:t>
      </w:r>
      <w:r w:rsidR="00A74B33" w:rsidRPr="00A74B33">
        <w:rPr>
          <w:rFonts w:ascii="Calibri" w:hAnsi="Calibri" w:cs="Calibri"/>
        </w:rPr>
        <w:t>(18 of which being Totals) in lines 12,</w:t>
      </w:r>
      <w:r w:rsidR="00037055">
        <w:rPr>
          <w:rFonts w:ascii="Calibri" w:hAnsi="Calibri" w:cs="Calibri"/>
        </w:rPr>
        <w:t xml:space="preserve"> </w:t>
      </w:r>
      <w:r w:rsidR="00A74B33" w:rsidRPr="00A74B33">
        <w:rPr>
          <w:rFonts w:ascii="Calibri" w:hAnsi="Calibri" w:cs="Calibri"/>
        </w:rPr>
        <w:t>17,</w:t>
      </w:r>
      <w:r w:rsidR="00037055">
        <w:rPr>
          <w:rFonts w:ascii="Calibri" w:hAnsi="Calibri" w:cs="Calibri"/>
        </w:rPr>
        <w:t xml:space="preserve"> </w:t>
      </w:r>
      <w:r w:rsidR="00A74B33" w:rsidRPr="00A74B33">
        <w:rPr>
          <w:rFonts w:ascii="Calibri" w:hAnsi="Calibri" w:cs="Calibri"/>
        </w:rPr>
        <w:t>20,</w:t>
      </w:r>
      <w:r w:rsidR="00037055">
        <w:rPr>
          <w:rFonts w:ascii="Calibri" w:hAnsi="Calibri" w:cs="Calibri"/>
        </w:rPr>
        <w:t xml:space="preserve"> </w:t>
      </w:r>
      <w:r w:rsidR="00A74B33" w:rsidRPr="00A74B33">
        <w:rPr>
          <w:rFonts w:ascii="Calibri" w:hAnsi="Calibri" w:cs="Calibri"/>
        </w:rPr>
        <w:t>22,</w:t>
      </w:r>
      <w:r w:rsidR="00037055">
        <w:rPr>
          <w:rFonts w:ascii="Calibri" w:hAnsi="Calibri" w:cs="Calibri"/>
        </w:rPr>
        <w:t xml:space="preserve"> </w:t>
      </w:r>
      <w:r w:rsidR="00A74B33" w:rsidRPr="00A74B33">
        <w:rPr>
          <w:rFonts w:ascii="Calibri" w:hAnsi="Calibri" w:cs="Calibri"/>
        </w:rPr>
        <w:t>23,</w:t>
      </w:r>
      <w:r w:rsidR="00037055">
        <w:rPr>
          <w:rFonts w:ascii="Calibri" w:hAnsi="Calibri" w:cs="Calibri"/>
        </w:rPr>
        <w:t xml:space="preserve"> </w:t>
      </w:r>
      <w:r w:rsidR="00A74B33" w:rsidRPr="00A74B33">
        <w:rPr>
          <w:rFonts w:ascii="Calibri" w:hAnsi="Calibri" w:cs="Calibri"/>
        </w:rPr>
        <w:t xml:space="preserve">31 and columns S, AB, AE, and AO </w:t>
      </w:r>
      <w:r>
        <w:rPr>
          <w:rFonts w:ascii="Calibri" w:hAnsi="Calibri" w:cs="Calibri"/>
        </w:rPr>
        <w:t>is</w:t>
      </w:r>
      <w:r w:rsidR="00A74B33" w:rsidRPr="00A74B33">
        <w:rPr>
          <w:rFonts w:ascii="Calibri" w:hAnsi="Calibri" w:cs="Calibri"/>
        </w:rPr>
        <w:t xml:space="preserve"> satisfactory. These </w:t>
      </w:r>
      <w:r w:rsidR="00037055">
        <w:rPr>
          <w:rFonts w:ascii="Calibri" w:hAnsi="Calibri" w:cs="Calibri"/>
        </w:rPr>
        <w:t xml:space="preserve">are </w:t>
      </w:r>
      <w:r w:rsidR="00A74B33" w:rsidRPr="00A74B33">
        <w:rPr>
          <w:rFonts w:ascii="Calibri" w:hAnsi="Calibri" w:cs="Calibri"/>
        </w:rPr>
        <w:t xml:space="preserve">key data </w:t>
      </w:r>
      <w:r w:rsidR="00037055">
        <w:rPr>
          <w:rFonts w:ascii="Calibri" w:hAnsi="Calibri" w:cs="Calibri"/>
        </w:rPr>
        <w:t xml:space="preserve">points that </w:t>
      </w:r>
      <w:r w:rsidR="00A74B33" w:rsidRPr="00A74B33">
        <w:rPr>
          <w:rFonts w:ascii="Calibri" w:hAnsi="Calibri" w:cs="Calibri"/>
        </w:rPr>
        <w:t xml:space="preserve">provide highly useful information for analysis and filling </w:t>
      </w:r>
      <w:r w:rsidR="00037055">
        <w:rPr>
          <w:rFonts w:ascii="Calibri" w:hAnsi="Calibri" w:cs="Calibri"/>
        </w:rPr>
        <w:t>in of</w:t>
      </w:r>
      <w:r w:rsidR="00A74B33" w:rsidRPr="00A74B33">
        <w:rPr>
          <w:rFonts w:ascii="Calibri" w:hAnsi="Calibri" w:cs="Calibri"/>
        </w:rPr>
        <w:t xml:space="preserve"> the “aggregated data S -&gt; U” table. </w:t>
      </w:r>
    </w:p>
    <w:p w:rsidR="00531917" w:rsidRDefault="00531917" w:rsidP="0047427B">
      <w:pPr>
        <w:jc w:val="both"/>
        <w:rPr>
          <w:rFonts w:ascii="Calibri" w:hAnsi="Calibri" w:cs="Calibri"/>
        </w:rPr>
      </w:pPr>
    </w:p>
    <w:p w:rsidR="00A74B33" w:rsidRPr="00A74B33" w:rsidRDefault="00A74B33" w:rsidP="0047427B">
      <w:pPr>
        <w:jc w:val="both"/>
        <w:rPr>
          <w:rFonts w:ascii="Calibri" w:hAnsi="Calibri" w:cs="Calibri"/>
        </w:rPr>
      </w:pPr>
      <w:r w:rsidRPr="00A74B33">
        <w:rPr>
          <w:rFonts w:ascii="Calibri" w:hAnsi="Calibri" w:cs="Calibri"/>
        </w:rPr>
        <w:t xml:space="preserve">In case no other information is available, </w:t>
      </w:r>
      <w:r w:rsidR="00713879">
        <w:rPr>
          <w:rFonts w:ascii="Calibri" w:hAnsi="Calibri" w:cs="Calibri"/>
        </w:rPr>
        <w:t>corresponden</w:t>
      </w:r>
      <w:r w:rsidR="00713879" w:rsidRPr="00A74B33">
        <w:rPr>
          <w:rFonts w:ascii="Calibri" w:hAnsi="Calibri" w:cs="Calibri"/>
        </w:rPr>
        <w:t>ts</w:t>
      </w:r>
      <w:r w:rsidRPr="00A74B33">
        <w:rPr>
          <w:rFonts w:ascii="Calibri" w:hAnsi="Calibri" w:cs="Calibri"/>
        </w:rPr>
        <w:t xml:space="preserve"> </w:t>
      </w:r>
      <w:r w:rsidR="003B279D">
        <w:rPr>
          <w:rFonts w:ascii="Calibri" w:hAnsi="Calibri" w:cs="Calibri"/>
        </w:rPr>
        <w:t xml:space="preserve">and </w:t>
      </w:r>
      <w:r w:rsidRPr="00A74B33">
        <w:rPr>
          <w:rFonts w:ascii="Calibri" w:hAnsi="Calibri" w:cs="Calibri"/>
        </w:rPr>
        <w:t xml:space="preserve">experts are </w:t>
      </w:r>
      <w:r w:rsidR="00D37A57" w:rsidRPr="00A74B33">
        <w:rPr>
          <w:rFonts w:ascii="Calibri" w:hAnsi="Calibri" w:cs="Calibri"/>
        </w:rPr>
        <w:t>invited</w:t>
      </w:r>
      <w:r w:rsidRPr="00A74B33">
        <w:rPr>
          <w:rFonts w:ascii="Calibri" w:hAnsi="Calibri" w:cs="Calibri"/>
        </w:rPr>
        <w:t xml:space="preserve"> to provide information or expert estimate</w:t>
      </w:r>
      <w:r w:rsidR="00037055">
        <w:rPr>
          <w:rFonts w:ascii="Calibri" w:hAnsi="Calibri" w:cs="Calibri"/>
        </w:rPr>
        <w:t>s</w:t>
      </w:r>
      <w:r w:rsidRPr="00A74B33">
        <w:rPr>
          <w:rFonts w:ascii="Calibri" w:hAnsi="Calibri" w:cs="Calibri"/>
        </w:rPr>
        <w:t xml:space="preserve"> for details in line 3</w:t>
      </w:r>
      <w:r w:rsidR="00AE673E">
        <w:rPr>
          <w:rFonts w:ascii="Calibri" w:hAnsi="Calibri" w:cs="Calibri"/>
        </w:rPr>
        <w:t>5</w:t>
      </w:r>
      <w:r w:rsidRPr="00A74B33">
        <w:rPr>
          <w:rFonts w:ascii="Calibri" w:hAnsi="Calibri" w:cs="Calibri"/>
        </w:rPr>
        <w:t>. Energy experts should be able to provide information for line 3</w:t>
      </w:r>
      <w:r w:rsidR="00AE673E">
        <w:rPr>
          <w:rFonts w:ascii="Calibri" w:hAnsi="Calibri" w:cs="Calibri"/>
        </w:rPr>
        <w:t>5</w:t>
      </w:r>
      <w:r w:rsidRPr="00A74B33">
        <w:rPr>
          <w:rFonts w:ascii="Calibri" w:hAnsi="Calibri" w:cs="Calibri"/>
        </w:rPr>
        <w:t xml:space="preserve">. In case these are available in energy units, </w:t>
      </w:r>
      <w:r w:rsidR="00D37A57" w:rsidRPr="00A74B33">
        <w:rPr>
          <w:rFonts w:ascii="Calibri" w:hAnsi="Calibri" w:cs="Calibri"/>
        </w:rPr>
        <w:t>information</w:t>
      </w:r>
      <w:r w:rsidRPr="00A74B33">
        <w:rPr>
          <w:rFonts w:ascii="Calibri" w:hAnsi="Calibri" w:cs="Calibri"/>
        </w:rPr>
        <w:t xml:space="preserve"> from Table “Conversion Factors Energy” can be applied.</w:t>
      </w:r>
    </w:p>
    <w:p w:rsidR="00531917" w:rsidRDefault="00531917" w:rsidP="0047427B">
      <w:pPr>
        <w:jc w:val="both"/>
        <w:rPr>
          <w:rFonts w:ascii="Calibri" w:hAnsi="Calibri" w:cs="Calibri"/>
        </w:rPr>
      </w:pPr>
    </w:p>
    <w:p w:rsidR="002B0492" w:rsidRDefault="002B0492" w:rsidP="0047427B">
      <w:pPr>
        <w:jc w:val="both"/>
        <w:rPr>
          <w:rFonts w:ascii="Calibri" w:hAnsi="Calibri" w:cs="Calibri"/>
        </w:rPr>
      </w:pPr>
      <w:r>
        <w:rPr>
          <w:rFonts w:ascii="Calibri" w:hAnsi="Calibri" w:cs="Calibri"/>
        </w:rPr>
        <w:t xml:space="preserve">Values in columns I to K, </w:t>
      </w:r>
      <w:r w:rsidRPr="00A74B33">
        <w:rPr>
          <w:rFonts w:ascii="Calibri" w:hAnsi="Calibri" w:cs="Calibri"/>
        </w:rPr>
        <w:t xml:space="preserve">black background and white </w:t>
      </w:r>
      <w:r>
        <w:rPr>
          <w:rFonts w:ascii="Calibri" w:hAnsi="Calibri" w:cs="Calibri"/>
        </w:rPr>
        <w:t>figures</w:t>
      </w:r>
      <w:r w:rsidRPr="00A74B33">
        <w:rPr>
          <w:rFonts w:ascii="Calibri" w:hAnsi="Calibri" w:cs="Calibri"/>
        </w:rPr>
        <w:t xml:space="preserve"> are calculated and cannot be changed in this table.</w:t>
      </w:r>
    </w:p>
    <w:p w:rsidR="002B0492" w:rsidRDefault="002B0492" w:rsidP="0047427B">
      <w:pPr>
        <w:jc w:val="both"/>
        <w:rPr>
          <w:rFonts w:ascii="Calibri" w:hAnsi="Calibri" w:cs="Calibri"/>
        </w:rPr>
      </w:pPr>
    </w:p>
    <w:p w:rsidR="00A74B33" w:rsidRPr="00A74B33" w:rsidRDefault="00A74B33" w:rsidP="0047427B">
      <w:pPr>
        <w:jc w:val="both"/>
        <w:rPr>
          <w:rFonts w:ascii="Calibri" w:hAnsi="Calibri" w:cs="Calibri"/>
        </w:rPr>
      </w:pPr>
      <w:r w:rsidRPr="00A74B33">
        <w:rPr>
          <w:rFonts w:ascii="Calibri" w:hAnsi="Calibri" w:cs="Calibri"/>
        </w:rPr>
        <w:t xml:space="preserve">Column “I” presents the data entered in the previous tables T I – T III as “Gross Domestic Supply”. Conversion factors are used to harmonize the different units from tables T I – T II. In case </w:t>
      </w:r>
      <w:r w:rsidR="00713879">
        <w:rPr>
          <w:rFonts w:ascii="Calibri" w:hAnsi="Calibri" w:cs="Calibri"/>
        </w:rPr>
        <w:t>correspondents</w:t>
      </w:r>
      <w:r w:rsidR="00037055" w:rsidRPr="00A74B33">
        <w:rPr>
          <w:rFonts w:ascii="Calibri" w:hAnsi="Calibri" w:cs="Calibri"/>
        </w:rPr>
        <w:t xml:space="preserve"> </w:t>
      </w:r>
      <w:r w:rsidRPr="00A74B33">
        <w:rPr>
          <w:rFonts w:ascii="Calibri" w:hAnsi="Calibri" w:cs="Calibri"/>
        </w:rPr>
        <w:t xml:space="preserve">would like </w:t>
      </w:r>
      <w:r w:rsidR="003B279D">
        <w:rPr>
          <w:rFonts w:ascii="Calibri" w:hAnsi="Calibri" w:cs="Calibri"/>
        </w:rPr>
        <w:t xml:space="preserve">to </w:t>
      </w:r>
      <w:r w:rsidRPr="00A74B33">
        <w:rPr>
          <w:rFonts w:ascii="Calibri" w:hAnsi="Calibri" w:cs="Calibri"/>
        </w:rPr>
        <w:t>use specific conversion factors, they are in</w:t>
      </w:r>
      <w:r w:rsidR="00037055">
        <w:rPr>
          <w:rFonts w:ascii="Calibri" w:hAnsi="Calibri" w:cs="Calibri"/>
        </w:rPr>
        <w:t>v</w:t>
      </w:r>
      <w:r w:rsidRPr="00A74B33">
        <w:rPr>
          <w:rFonts w:ascii="Calibri" w:hAnsi="Calibri" w:cs="Calibri"/>
        </w:rPr>
        <w:t>ited to modify the default set in tab</w:t>
      </w:r>
      <w:r w:rsidR="00CC366D">
        <w:rPr>
          <w:rFonts w:ascii="Calibri" w:hAnsi="Calibri" w:cs="Calibri"/>
        </w:rPr>
        <w:t>le “Conversion Factors Energy”.</w:t>
      </w:r>
    </w:p>
    <w:p w:rsidR="00531917" w:rsidRDefault="00531917" w:rsidP="0047427B">
      <w:pPr>
        <w:jc w:val="both"/>
        <w:rPr>
          <w:rFonts w:ascii="Calibri" w:hAnsi="Calibri" w:cs="Calibri"/>
        </w:rPr>
      </w:pPr>
    </w:p>
    <w:p w:rsidR="00A74B33" w:rsidRPr="00A74B33" w:rsidRDefault="00A74B33" w:rsidP="0047427B">
      <w:pPr>
        <w:jc w:val="both"/>
        <w:rPr>
          <w:rFonts w:ascii="Calibri" w:hAnsi="Calibri" w:cs="Calibri"/>
        </w:rPr>
      </w:pPr>
      <w:r w:rsidRPr="00A74B33">
        <w:rPr>
          <w:rFonts w:ascii="Calibri" w:hAnsi="Calibri" w:cs="Calibri"/>
        </w:rPr>
        <w:t xml:space="preserve">Column “J” compiles the data entered in table T III as “transformation (table TIII)”. It prevents double counting of wood </w:t>
      </w:r>
      <w:proofErr w:type="spellStart"/>
      <w:r w:rsidRPr="00A74B33">
        <w:rPr>
          <w:rFonts w:ascii="Calibri" w:hAnsi="Calibri" w:cs="Calibri"/>
        </w:rPr>
        <w:t>fibres</w:t>
      </w:r>
      <w:proofErr w:type="spellEnd"/>
      <w:r w:rsidRPr="00A74B33">
        <w:rPr>
          <w:rFonts w:ascii="Calibri" w:hAnsi="Calibri" w:cs="Calibri"/>
        </w:rPr>
        <w:t xml:space="preserve"> and is thus a crucial step in providing accurate information on wood </w:t>
      </w:r>
      <w:proofErr w:type="spellStart"/>
      <w:r w:rsidRPr="00A74B33">
        <w:rPr>
          <w:rFonts w:ascii="Calibri" w:hAnsi="Calibri" w:cs="Calibri"/>
        </w:rPr>
        <w:t>fibres</w:t>
      </w:r>
      <w:proofErr w:type="spellEnd"/>
      <w:r w:rsidRPr="00A74B33">
        <w:rPr>
          <w:rFonts w:ascii="Calibri" w:hAnsi="Calibri" w:cs="Calibri"/>
        </w:rPr>
        <w:t xml:space="preserve"> availability at national level. The </w:t>
      </w:r>
      <w:r w:rsidR="00037055">
        <w:rPr>
          <w:rFonts w:ascii="Calibri" w:hAnsi="Calibri" w:cs="Calibri"/>
        </w:rPr>
        <w:t>v</w:t>
      </w:r>
      <w:r w:rsidRPr="00A74B33">
        <w:rPr>
          <w:rFonts w:ascii="Calibri" w:hAnsi="Calibri" w:cs="Calibri"/>
        </w:rPr>
        <w:t xml:space="preserve">alues are calculated based on the information on the production of </w:t>
      </w:r>
      <w:proofErr w:type="spellStart"/>
      <w:r w:rsidRPr="00A74B33">
        <w:rPr>
          <w:rFonts w:ascii="Calibri" w:hAnsi="Calibri" w:cs="Calibri"/>
        </w:rPr>
        <w:t>pwbf</w:t>
      </w:r>
      <w:proofErr w:type="spellEnd"/>
      <w:r w:rsidRPr="00A74B33">
        <w:rPr>
          <w:rFonts w:ascii="Calibri" w:hAnsi="Calibri" w:cs="Calibri"/>
        </w:rPr>
        <w:t xml:space="preserve"> (T II) and the share of the different wood sources and types of </w:t>
      </w:r>
      <w:proofErr w:type="spellStart"/>
      <w:r w:rsidRPr="00A74B33">
        <w:rPr>
          <w:rFonts w:ascii="Calibri" w:hAnsi="Calibri" w:cs="Calibri"/>
        </w:rPr>
        <w:t>fibres</w:t>
      </w:r>
      <w:proofErr w:type="spellEnd"/>
      <w:r w:rsidRPr="00A74B33">
        <w:rPr>
          <w:rFonts w:ascii="Calibri" w:hAnsi="Calibri" w:cs="Calibri"/>
        </w:rPr>
        <w:t xml:space="preserve">. Conversion factors are used to harmonize the </w:t>
      </w:r>
      <w:r w:rsidR="00D37A57" w:rsidRPr="00A74B33">
        <w:rPr>
          <w:rFonts w:ascii="Calibri" w:hAnsi="Calibri" w:cs="Calibri"/>
        </w:rPr>
        <w:t>different</w:t>
      </w:r>
      <w:r w:rsidRPr="00A74B33">
        <w:rPr>
          <w:rFonts w:ascii="Calibri" w:hAnsi="Calibri" w:cs="Calibri"/>
        </w:rPr>
        <w:t xml:space="preserve"> units from tables T II and T III. In case </w:t>
      </w:r>
      <w:r w:rsidR="00713879">
        <w:rPr>
          <w:rFonts w:ascii="Calibri" w:hAnsi="Calibri" w:cs="Calibri"/>
        </w:rPr>
        <w:t>correspondents</w:t>
      </w:r>
      <w:r w:rsidR="00037055" w:rsidRPr="00A74B33">
        <w:rPr>
          <w:rFonts w:ascii="Calibri" w:hAnsi="Calibri" w:cs="Calibri"/>
        </w:rPr>
        <w:t xml:space="preserve"> </w:t>
      </w:r>
      <w:r w:rsidRPr="00A74B33">
        <w:rPr>
          <w:rFonts w:ascii="Calibri" w:hAnsi="Calibri" w:cs="Calibri"/>
        </w:rPr>
        <w:t xml:space="preserve">would like </w:t>
      </w:r>
      <w:r w:rsidR="005F7A06">
        <w:rPr>
          <w:rFonts w:ascii="Calibri" w:hAnsi="Calibri" w:cs="Calibri"/>
        </w:rPr>
        <w:t xml:space="preserve">to </w:t>
      </w:r>
      <w:r w:rsidRPr="00A74B33">
        <w:rPr>
          <w:rFonts w:ascii="Calibri" w:hAnsi="Calibri" w:cs="Calibri"/>
        </w:rPr>
        <w:t>use specific conversion factors, they are in</w:t>
      </w:r>
      <w:r w:rsidR="00037055">
        <w:rPr>
          <w:rFonts w:ascii="Calibri" w:hAnsi="Calibri" w:cs="Calibri"/>
        </w:rPr>
        <w:t>v</w:t>
      </w:r>
      <w:r w:rsidRPr="00A74B33">
        <w:rPr>
          <w:rFonts w:ascii="Calibri" w:hAnsi="Calibri" w:cs="Calibri"/>
        </w:rPr>
        <w:t>ited to modify the default set in table “Conversion Factors Energy”.</w:t>
      </w:r>
    </w:p>
    <w:p w:rsidR="00531917" w:rsidRDefault="00531917" w:rsidP="0047427B">
      <w:pPr>
        <w:jc w:val="both"/>
        <w:rPr>
          <w:rFonts w:ascii="Calibri" w:hAnsi="Calibri" w:cs="Calibri"/>
        </w:rPr>
      </w:pPr>
    </w:p>
    <w:p w:rsidR="00EC00E9" w:rsidRDefault="00A74B33" w:rsidP="0047427B">
      <w:pPr>
        <w:jc w:val="both"/>
        <w:rPr>
          <w:rFonts w:ascii="Calibri" w:hAnsi="Calibri" w:cs="Calibri"/>
        </w:rPr>
      </w:pPr>
      <w:r w:rsidRPr="00A74B33">
        <w:rPr>
          <w:rFonts w:ascii="Calibri" w:hAnsi="Calibri" w:cs="Calibri"/>
        </w:rPr>
        <w:t xml:space="preserve">Column “K” calculates the “Net Domestic supply” of wood </w:t>
      </w:r>
      <w:proofErr w:type="spellStart"/>
      <w:r w:rsidRPr="00A74B33">
        <w:rPr>
          <w:rFonts w:ascii="Calibri" w:hAnsi="Calibri" w:cs="Calibri"/>
        </w:rPr>
        <w:t>fibres</w:t>
      </w:r>
      <w:proofErr w:type="spellEnd"/>
      <w:r w:rsidRPr="00A74B33">
        <w:rPr>
          <w:rFonts w:ascii="Calibri" w:hAnsi="Calibri" w:cs="Calibri"/>
        </w:rPr>
        <w:t xml:space="preserve"> at national level. The values are generated by subtracting values </w:t>
      </w:r>
      <w:r w:rsidR="005F7A06">
        <w:rPr>
          <w:rFonts w:ascii="Calibri" w:hAnsi="Calibri" w:cs="Calibri"/>
        </w:rPr>
        <w:t xml:space="preserve">in </w:t>
      </w:r>
      <w:r w:rsidRPr="00A74B33">
        <w:rPr>
          <w:rFonts w:ascii="Calibri" w:hAnsi="Calibri" w:cs="Calibri"/>
        </w:rPr>
        <w:t xml:space="preserve">column “J” from column “I”. The Net Domestic supply represents all wood </w:t>
      </w:r>
      <w:proofErr w:type="spellStart"/>
      <w:r w:rsidRPr="00A74B33">
        <w:rPr>
          <w:rFonts w:ascii="Calibri" w:hAnsi="Calibri" w:cs="Calibri"/>
        </w:rPr>
        <w:t>fibres</w:t>
      </w:r>
      <w:proofErr w:type="spellEnd"/>
      <w:r w:rsidRPr="00A74B33">
        <w:rPr>
          <w:rFonts w:ascii="Calibri" w:hAnsi="Calibri" w:cs="Calibri"/>
        </w:rPr>
        <w:t xml:space="preserve"> available at national level for material and energy use. </w:t>
      </w:r>
    </w:p>
    <w:p w:rsidR="00AE673E" w:rsidRDefault="00AE673E" w:rsidP="0047427B">
      <w:pPr>
        <w:jc w:val="both"/>
        <w:rPr>
          <w:rFonts w:ascii="Calibri" w:hAnsi="Calibri" w:cs="Calibri"/>
        </w:rPr>
      </w:pPr>
    </w:p>
    <w:p w:rsidR="000C2D48" w:rsidRDefault="000C2D48" w:rsidP="0047427B">
      <w:pPr>
        <w:jc w:val="both"/>
        <w:rPr>
          <w:rFonts w:ascii="Calibri" w:hAnsi="Calibri" w:cs="Calibri"/>
        </w:rPr>
      </w:pPr>
      <w:r>
        <w:rPr>
          <w:rFonts w:ascii="Calibri" w:hAnsi="Calibri" w:cs="Calibri"/>
        </w:rPr>
        <w:t xml:space="preserve">The other columns </w:t>
      </w:r>
    </w:p>
    <w:p w:rsidR="000C2D48" w:rsidRDefault="000C2D48" w:rsidP="0047427B">
      <w:pPr>
        <w:jc w:val="both"/>
        <w:rPr>
          <w:rFonts w:ascii="Calibri" w:hAnsi="Calibri" w:cs="Calibri"/>
        </w:rPr>
      </w:pPr>
    </w:p>
    <w:p w:rsidR="00AE673E" w:rsidRDefault="00AE673E" w:rsidP="002719A0">
      <w:pPr>
        <w:jc w:val="both"/>
        <w:rPr>
          <w:rFonts w:ascii="Calibri" w:hAnsi="Calibri" w:cs="Calibri"/>
        </w:rPr>
      </w:pPr>
      <w:r w:rsidRPr="00AE673E">
        <w:rPr>
          <w:rFonts w:ascii="Calibri" w:hAnsi="Calibri" w:cs="Calibri"/>
        </w:rPr>
        <w:t>The JWEE columns V and X are compatible with the related IEA flows under "Total final consumption", i.e. "Paper,</w:t>
      </w:r>
      <w:r w:rsidR="00D62FA9">
        <w:rPr>
          <w:rFonts w:ascii="Calibri" w:hAnsi="Calibri" w:cs="Calibri"/>
        </w:rPr>
        <w:t xml:space="preserve"> </w:t>
      </w:r>
      <w:r w:rsidRPr="00AE673E">
        <w:rPr>
          <w:rFonts w:ascii="Calibri" w:hAnsi="Calibri" w:cs="Calibri"/>
        </w:rPr>
        <w:t xml:space="preserve">pulp and print" and "Wood and wood products". All other categories under Total final consumption-Industry (textile, construction, food etc.) would fall under JWEE column Z (other).  In addition V and </w:t>
      </w:r>
      <w:proofErr w:type="spellStart"/>
      <w:r w:rsidRPr="00AE673E">
        <w:rPr>
          <w:rFonts w:ascii="Calibri" w:hAnsi="Calibri" w:cs="Calibri"/>
        </w:rPr>
        <w:t>and</w:t>
      </w:r>
      <w:proofErr w:type="spellEnd"/>
      <w:r w:rsidRPr="00AE673E">
        <w:rPr>
          <w:rFonts w:ascii="Calibri" w:hAnsi="Calibri" w:cs="Calibri"/>
        </w:rPr>
        <w:t xml:space="preserve"> X should ideally include the </w:t>
      </w:r>
      <w:proofErr w:type="spellStart"/>
      <w:r w:rsidRPr="00AE673E">
        <w:rPr>
          <w:rFonts w:ascii="Calibri" w:hAnsi="Calibri" w:cs="Calibri"/>
        </w:rPr>
        <w:t>autoproducer</w:t>
      </w:r>
      <w:proofErr w:type="spellEnd"/>
      <w:r w:rsidRPr="00AE673E">
        <w:rPr>
          <w:rFonts w:ascii="Calibri" w:hAnsi="Calibri" w:cs="Calibri"/>
        </w:rPr>
        <w:t xml:space="preserve"> figure by flow, that is, find out how much of e.g. </w:t>
      </w:r>
      <w:proofErr w:type="spellStart"/>
      <w:r w:rsidRPr="00AE673E">
        <w:rPr>
          <w:rFonts w:ascii="Calibri" w:hAnsi="Calibri" w:cs="Calibri"/>
        </w:rPr>
        <w:t>autoproducer</w:t>
      </w:r>
      <w:proofErr w:type="spellEnd"/>
      <w:r w:rsidRPr="00AE673E">
        <w:rPr>
          <w:rFonts w:ascii="Calibri" w:hAnsi="Calibri" w:cs="Calibri"/>
        </w:rPr>
        <w:t xml:space="preserve"> heat/CHP/</w:t>
      </w:r>
      <w:proofErr w:type="spellStart"/>
      <w:r w:rsidRPr="00AE673E">
        <w:rPr>
          <w:rFonts w:ascii="Calibri" w:hAnsi="Calibri" w:cs="Calibri"/>
        </w:rPr>
        <w:t>elec</w:t>
      </w:r>
      <w:proofErr w:type="spellEnd"/>
      <w:r w:rsidRPr="00AE673E">
        <w:rPr>
          <w:rFonts w:ascii="Calibri" w:hAnsi="Calibri" w:cs="Calibri"/>
        </w:rPr>
        <w:t xml:space="preserve"> is coming from the wood or pulp sectors. The rest of the </w:t>
      </w:r>
      <w:proofErr w:type="spellStart"/>
      <w:r w:rsidRPr="00AE673E">
        <w:rPr>
          <w:rFonts w:ascii="Calibri" w:hAnsi="Calibri" w:cs="Calibri"/>
        </w:rPr>
        <w:t>autoproduced</w:t>
      </w:r>
      <w:proofErr w:type="spellEnd"/>
      <w:r w:rsidRPr="00AE673E">
        <w:rPr>
          <w:rFonts w:ascii="Calibri" w:hAnsi="Calibri" w:cs="Calibri"/>
        </w:rPr>
        <w:t xml:space="preserve"> Electricity, Heat and CHP would go under column Z (if it comes from other industries) or the other columns if it comes from residential, commercial and so on.  Of course, it might be hard for correspondents to have a detailed breakdown of </w:t>
      </w:r>
      <w:proofErr w:type="spellStart"/>
      <w:r w:rsidRPr="00AE673E">
        <w:rPr>
          <w:rFonts w:ascii="Calibri" w:hAnsi="Calibri" w:cs="Calibri"/>
        </w:rPr>
        <w:t>autoproducer</w:t>
      </w:r>
      <w:proofErr w:type="spellEnd"/>
      <w:r w:rsidRPr="00AE673E">
        <w:rPr>
          <w:rFonts w:ascii="Calibri" w:hAnsi="Calibri" w:cs="Calibri"/>
        </w:rPr>
        <w:t xml:space="preserve"> energy. IEA stats do not seem to have this breakdown.</w:t>
      </w:r>
    </w:p>
    <w:p w:rsidR="002719A0" w:rsidRDefault="002719A0" w:rsidP="002719A0">
      <w:pPr>
        <w:ind w:left="720"/>
        <w:jc w:val="both"/>
        <w:rPr>
          <w:rFonts w:ascii="Calibri" w:hAnsi="Calibri" w:cs="Calibri"/>
        </w:rPr>
      </w:pPr>
    </w:p>
    <w:p w:rsidR="000E2818" w:rsidRDefault="000E2818" w:rsidP="0047427B">
      <w:pPr>
        <w:jc w:val="both"/>
        <w:rPr>
          <w:rFonts w:ascii="Calibri" w:hAnsi="Calibri" w:cs="Calibri"/>
        </w:rPr>
      </w:pPr>
    </w:p>
    <w:p w:rsidR="00531917" w:rsidRPr="00531917" w:rsidRDefault="00C24C67" w:rsidP="0047427B">
      <w:pPr>
        <w:pStyle w:val="Heading3"/>
        <w:spacing w:before="0" w:after="0"/>
      </w:pPr>
      <w:bookmarkStart w:id="77" w:name="_Toc336000529"/>
      <w:bookmarkStart w:id="78" w:name="_Ref335984460"/>
      <w:bookmarkStart w:id="79" w:name="_Toc407187228"/>
      <w:bookmarkEnd w:id="77"/>
      <w:r>
        <w:t>EU N</w:t>
      </w:r>
      <w:r w:rsidR="00780E90">
        <w:t>ational Renewable Energy Action Plan</w:t>
      </w:r>
      <w:r w:rsidR="00531917">
        <w:t xml:space="preserve"> (NREAP)</w:t>
      </w:r>
      <w:r>
        <w:t xml:space="preserve"> Progress Report</w:t>
      </w:r>
      <w:bookmarkEnd w:id="78"/>
      <w:bookmarkEnd w:id="79"/>
    </w:p>
    <w:p w:rsidR="00531917" w:rsidRDefault="00531917" w:rsidP="00531917">
      <w:pPr>
        <w:jc w:val="both"/>
        <w:rPr>
          <w:rFonts w:ascii="Calibri" w:hAnsi="Calibri" w:cs="Calibri"/>
        </w:rPr>
      </w:pPr>
    </w:p>
    <w:tbl>
      <w:tblPr>
        <w:tblW w:w="9072" w:type="dxa"/>
        <w:tblInd w:w="108" w:type="dxa"/>
        <w:tblCellMar>
          <w:top w:w="113" w:type="dxa"/>
          <w:bottom w:w="113" w:type="dxa"/>
        </w:tblCellMar>
        <w:tblLook w:val="04A0" w:firstRow="1" w:lastRow="0" w:firstColumn="1" w:lastColumn="0" w:noHBand="0" w:noVBand="1"/>
      </w:tblPr>
      <w:tblGrid>
        <w:gridCol w:w="1985"/>
        <w:gridCol w:w="7087"/>
      </w:tblGrid>
      <w:tr w:rsidR="00531917" w:rsidRPr="00780E90" w:rsidTr="00531917">
        <w:trPr>
          <w:trHeight w:val="630"/>
        </w:trPr>
        <w:tc>
          <w:tcPr>
            <w:tcW w:w="198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31917" w:rsidRPr="00DE3109" w:rsidRDefault="00531917" w:rsidP="00D62FA9">
            <w:pPr>
              <w:jc w:val="center"/>
              <w:rPr>
                <w:rFonts w:asciiTheme="minorHAnsi" w:hAnsiTheme="minorHAnsi" w:cstheme="minorHAnsi"/>
                <w:b/>
                <w:bCs/>
              </w:rPr>
            </w:pPr>
            <w:r>
              <w:rPr>
                <w:rFonts w:asciiTheme="minorHAnsi" w:hAnsiTheme="minorHAnsi" w:cstheme="minorHAnsi"/>
                <w:b/>
                <w:bCs/>
              </w:rPr>
              <w:t xml:space="preserve">EU </w:t>
            </w:r>
            <w:r w:rsidRPr="00DE3109">
              <w:rPr>
                <w:rFonts w:asciiTheme="minorHAnsi" w:hAnsiTheme="minorHAnsi" w:cstheme="minorHAnsi"/>
                <w:b/>
                <w:bCs/>
              </w:rPr>
              <w:t>NREA</w:t>
            </w:r>
            <w:r>
              <w:rPr>
                <w:rFonts w:asciiTheme="minorHAnsi" w:hAnsiTheme="minorHAnsi" w:cstheme="minorHAnsi"/>
                <w:b/>
                <w:bCs/>
              </w:rPr>
              <w:t xml:space="preserve">P </w:t>
            </w:r>
            <w:r w:rsidRPr="00DE3109">
              <w:rPr>
                <w:rFonts w:asciiTheme="minorHAnsi" w:hAnsiTheme="minorHAnsi" w:cstheme="minorHAnsi"/>
                <w:b/>
                <w:bCs/>
              </w:rPr>
              <w:t>progress report</w:t>
            </w:r>
            <w:r>
              <w:rPr>
                <w:rFonts w:asciiTheme="minorHAnsi" w:hAnsiTheme="minorHAnsi" w:cstheme="minorHAnsi"/>
                <w:b/>
                <w:bCs/>
              </w:rPr>
              <w:t xml:space="preserve"> – Table 4</w:t>
            </w:r>
          </w:p>
        </w:tc>
        <w:tc>
          <w:tcPr>
            <w:tcW w:w="7087" w:type="dxa"/>
            <w:tcBorders>
              <w:top w:val="single" w:sz="8" w:space="0" w:color="auto"/>
              <w:left w:val="nil"/>
              <w:bottom w:val="single" w:sz="8" w:space="0" w:color="auto"/>
              <w:right w:val="single" w:sz="8" w:space="0" w:color="000000"/>
            </w:tcBorders>
            <w:shd w:val="clear" w:color="auto" w:fill="auto"/>
            <w:vAlign w:val="center"/>
            <w:hideMark/>
          </w:tcPr>
          <w:p w:rsidR="00531917" w:rsidRPr="00DE3109" w:rsidRDefault="00531917" w:rsidP="00531917">
            <w:pPr>
              <w:jc w:val="both"/>
              <w:rPr>
                <w:rFonts w:asciiTheme="minorHAnsi" w:hAnsiTheme="minorHAnsi" w:cstheme="minorHAnsi"/>
              </w:rPr>
            </w:pPr>
            <w:r w:rsidRPr="00DE3109">
              <w:rPr>
                <w:rFonts w:asciiTheme="minorHAnsi" w:hAnsiTheme="minorHAnsi" w:cstheme="minorHAnsi"/>
              </w:rPr>
              <w:t>A guidance table, designed to facilitate the reporting of EU Member States to the European Commission on progress with regards to their respective NREAP.</w:t>
            </w:r>
          </w:p>
        </w:tc>
      </w:tr>
    </w:tbl>
    <w:p w:rsidR="00531917" w:rsidRDefault="00531917" w:rsidP="00C00C37">
      <w:pPr>
        <w:jc w:val="both"/>
        <w:rPr>
          <w:rFonts w:ascii="Calibri" w:hAnsi="Calibri" w:cs="Calibri"/>
        </w:rPr>
      </w:pPr>
    </w:p>
    <w:p w:rsidR="0022159B" w:rsidRPr="000E2818" w:rsidRDefault="0022159B" w:rsidP="00C00C37">
      <w:pPr>
        <w:jc w:val="both"/>
        <w:rPr>
          <w:rFonts w:ascii="Calibri" w:hAnsi="Calibri" w:cs="Calibri"/>
        </w:rPr>
      </w:pPr>
      <w:r w:rsidRPr="00F41561">
        <w:rPr>
          <w:rFonts w:ascii="Calibri" w:hAnsi="Calibri" w:cs="Calibri"/>
        </w:rPr>
        <w:t>European Union</w:t>
      </w:r>
      <w:r>
        <w:rPr>
          <w:rFonts w:ascii="Calibri" w:hAnsi="Calibri" w:cs="Calibri"/>
        </w:rPr>
        <w:t xml:space="preserve"> (EU)</w:t>
      </w:r>
      <w:r w:rsidRPr="00F41561">
        <w:rPr>
          <w:rFonts w:ascii="Calibri" w:hAnsi="Calibri" w:cs="Calibri"/>
        </w:rPr>
        <w:t xml:space="preserve"> </w:t>
      </w:r>
      <w:r>
        <w:rPr>
          <w:rFonts w:ascii="Calibri" w:hAnsi="Calibri" w:cs="Calibri"/>
        </w:rPr>
        <w:t>m</w:t>
      </w:r>
      <w:r w:rsidRPr="00F41561">
        <w:rPr>
          <w:rFonts w:ascii="Calibri" w:hAnsi="Calibri" w:cs="Calibri"/>
        </w:rPr>
        <w:t xml:space="preserve">ember </w:t>
      </w:r>
      <w:r>
        <w:rPr>
          <w:rFonts w:ascii="Calibri" w:hAnsi="Calibri" w:cs="Calibri"/>
        </w:rPr>
        <w:t>states</w:t>
      </w:r>
      <w:r w:rsidRPr="00F41561">
        <w:rPr>
          <w:rFonts w:ascii="Calibri" w:hAnsi="Calibri" w:cs="Calibri"/>
        </w:rPr>
        <w:t xml:space="preserve"> are requested to submit progress reports </w:t>
      </w:r>
      <w:r>
        <w:rPr>
          <w:rFonts w:ascii="Calibri" w:hAnsi="Calibri" w:cs="Calibri"/>
        </w:rPr>
        <w:t>on their National Renewable Energy Action Plans (NREAP)</w:t>
      </w:r>
      <w:r w:rsidRPr="00F41561">
        <w:rPr>
          <w:rFonts w:ascii="Calibri" w:hAnsi="Calibri" w:cs="Calibri"/>
        </w:rPr>
        <w:t xml:space="preserve"> </w:t>
      </w:r>
      <w:r>
        <w:rPr>
          <w:rFonts w:ascii="Calibri" w:hAnsi="Calibri" w:cs="Calibri"/>
        </w:rPr>
        <w:t>every second year u</w:t>
      </w:r>
      <w:r w:rsidRPr="00F41561">
        <w:rPr>
          <w:rFonts w:ascii="Calibri" w:hAnsi="Calibri" w:cs="Calibri"/>
        </w:rPr>
        <w:t>ntil 2021</w:t>
      </w:r>
      <w:r>
        <w:rPr>
          <w:rFonts w:ascii="Calibri" w:hAnsi="Calibri" w:cs="Calibri"/>
        </w:rPr>
        <w:t xml:space="preserve">. </w:t>
      </w:r>
      <w:r w:rsidR="00531917" w:rsidRPr="00DE3109">
        <w:rPr>
          <w:rFonts w:asciiTheme="minorHAnsi" w:hAnsiTheme="minorHAnsi" w:cstheme="minorHAnsi"/>
          <w:color w:val="000000"/>
        </w:rPr>
        <w:t>During its 34</w:t>
      </w:r>
      <w:r w:rsidR="00531917" w:rsidRPr="00DE3109">
        <w:rPr>
          <w:rFonts w:asciiTheme="minorHAnsi" w:hAnsiTheme="minorHAnsi" w:cstheme="minorHAnsi"/>
          <w:color w:val="000000"/>
          <w:vertAlign w:val="superscript"/>
        </w:rPr>
        <w:t>th</w:t>
      </w:r>
      <w:r w:rsidR="00531917" w:rsidRPr="00DE3109">
        <w:rPr>
          <w:rFonts w:asciiTheme="minorHAnsi" w:hAnsiTheme="minorHAnsi" w:cstheme="minorHAnsi"/>
          <w:color w:val="000000"/>
        </w:rPr>
        <w:t xml:space="preserve"> session, the Working Party on Forest Statistics, Economics and Management highlighted a potential convergence between the UNECE/FAO and Eurostat reporting process and proposed to explore means for the Joint Wood Energy Enquiry (JWEE) data for EU countries to feed into the template for </w:t>
      </w:r>
      <w:r w:rsidR="00010E59">
        <w:rPr>
          <w:rFonts w:asciiTheme="minorHAnsi" w:hAnsiTheme="minorHAnsi" w:cstheme="minorHAnsi"/>
          <w:color w:val="000000"/>
        </w:rPr>
        <w:t>NREAP</w:t>
      </w:r>
      <w:r w:rsidR="00531917" w:rsidRPr="00DE3109">
        <w:rPr>
          <w:rFonts w:asciiTheme="minorHAnsi" w:hAnsiTheme="minorHAnsi" w:cstheme="minorHAnsi"/>
          <w:color w:val="000000"/>
        </w:rPr>
        <w:t xml:space="preserve"> progress reports.</w:t>
      </w:r>
      <w:r w:rsidR="000E2818">
        <w:rPr>
          <w:rFonts w:ascii="Calibri" w:hAnsi="Calibri" w:cs="Calibri"/>
        </w:rPr>
        <w:t xml:space="preserve"> </w:t>
      </w:r>
      <w:r w:rsidR="00531917" w:rsidRPr="00DE3109">
        <w:rPr>
          <w:rFonts w:asciiTheme="minorHAnsi" w:hAnsiTheme="minorHAnsi" w:cstheme="minorHAnsi"/>
          <w:bCs/>
        </w:rPr>
        <w:t>Following t</w:t>
      </w:r>
      <w:r w:rsidR="00010E59">
        <w:rPr>
          <w:rFonts w:asciiTheme="minorHAnsi" w:hAnsiTheme="minorHAnsi" w:cstheme="minorHAnsi"/>
          <w:bCs/>
        </w:rPr>
        <w:t>his proposal, “</w:t>
      </w:r>
      <w:r w:rsidR="00010E59" w:rsidRPr="00010E59">
        <w:rPr>
          <w:rFonts w:asciiTheme="minorHAnsi" w:hAnsiTheme="minorHAnsi" w:cstheme="minorHAnsi"/>
          <w:bCs/>
        </w:rPr>
        <w:t>EU</w:t>
      </w:r>
      <w:r w:rsidR="00D62FA9">
        <w:rPr>
          <w:rFonts w:asciiTheme="minorHAnsi" w:hAnsiTheme="minorHAnsi" w:cstheme="minorHAnsi"/>
          <w:bCs/>
        </w:rPr>
        <w:t xml:space="preserve"> </w:t>
      </w:r>
      <w:r w:rsidR="00010E59" w:rsidRPr="00010E59">
        <w:rPr>
          <w:rFonts w:asciiTheme="minorHAnsi" w:hAnsiTheme="minorHAnsi" w:cstheme="minorHAnsi"/>
          <w:bCs/>
        </w:rPr>
        <w:t>NREAP progress report – Table 4</w:t>
      </w:r>
      <w:r w:rsidR="00531917" w:rsidRPr="00DE3109">
        <w:rPr>
          <w:rFonts w:asciiTheme="minorHAnsi" w:hAnsiTheme="minorHAnsi" w:cstheme="minorHAnsi"/>
          <w:bCs/>
        </w:rPr>
        <w:t>”</w:t>
      </w:r>
      <w:r w:rsidR="00531917" w:rsidRPr="00DE3109">
        <w:rPr>
          <w:rFonts w:asciiTheme="minorHAnsi" w:hAnsiTheme="minorHAnsi" w:cstheme="minorHAnsi"/>
          <w:color w:val="000000"/>
        </w:rPr>
        <w:t xml:space="preserve"> has been developed and included in the JWEE 201</w:t>
      </w:r>
      <w:r w:rsidR="00F12CE8">
        <w:rPr>
          <w:rFonts w:asciiTheme="minorHAnsi" w:hAnsiTheme="minorHAnsi" w:cstheme="minorHAnsi"/>
          <w:color w:val="000000"/>
        </w:rPr>
        <w:t>1</w:t>
      </w:r>
      <w:r w:rsidR="00531917" w:rsidRPr="00DE3109">
        <w:rPr>
          <w:rFonts w:asciiTheme="minorHAnsi" w:hAnsiTheme="minorHAnsi" w:cstheme="minorHAnsi"/>
          <w:color w:val="000000"/>
        </w:rPr>
        <w:t>. The table is compatible with Table 4 of the EU “Template for Member States progress reports under Directive 2009/28/EC”</w:t>
      </w:r>
      <w:r w:rsidR="00010E59" w:rsidRPr="00010E59">
        <w:rPr>
          <w:rStyle w:val="FootnoteReference"/>
          <w:rFonts w:ascii="Calibri" w:hAnsi="Calibri" w:cs="Calibri"/>
        </w:rPr>
        <w:t xml:space="preserve"> </w:t>
      </w:r>
      <w:r w:rsidR="00010E59">
        <w:rPr>
          <w:rStyle w:val="FootnoteReference"/>
          <w:rFonts w:ascii="Calibri" w:hAnsi="Calibri" w:cs="Calibri"/>
        </w:rPr>
        <w:footnoteReference w:id="5"/>
      </w:r>
      <w:r w:rsidR="00531917" w:rsidRPr="00DE3109">
        <w:rPr>
          <w:rFonts w:asciiTheme="minorHAnsi" w:hAnsiTheme="minorHAnsi" w:cstheme="minorHAnsi"/>
          <w:color w:val="000000"/>
        </w:rPr>
        <w:t xml:space="preserve"> and aims at easing the task of JWEE correspondents from the EU</w:t>
      </w:r>
      <w:r w:rsidR="002719A0">
        <w:rPr>
          <w:rFonts w:asciiTheme="minorHAnsi" w:hAnsiTheme="minorHAnsi" w:cstheme="minorHAnsi"/>
          <w:color w:val="000000"/>
        </w:rPr>
        <w:t xml:space="preserve"> reporting countries</w:t>
      </w:r>
      <w:r w:rsidR="00531917" w:rsidRPr="00DE3109">
        <w:rPr>
          <w:rFonts w:asciiTheme="minorHAnsi" w:hAnsiTheme="minorHAnsi" w:cstheme="minorHAnsi"/>
          <w:color w:val="000000"/>
        </w:rPr>
        <w:t>.</w:t>
      </w:r>
      <w:r w:rsidR="00010E59">
        <w:rPr>
          <w:rFonts w:asciiTheme="minorHAnsi" w:hAnsiTheme="minorHAnsi" w:cstheme="minorHAnsi"/>
          <w:color w:val="000000"/>
        </w:rPr>
        <w:t xml:space="preserve"> </w:t>
      </w:r>
      <w:r>
        <w:rPr>
          <w:rFonts w:ascii="Calibri" w:hAnsi="Calibri" w:cs="Calibri"/>
        </w:rPr>
        <w:t>The JWEE 201</w:t>
      </w:r>
      <w:r w:rsidR="002719A0">
        <w:rPr>
          <w:rFonts w:ascii="Calibri" w:hAnsi="Calibri" w:cs="Calibri"/>
        </w:rPr>
        <w:t>3</w:t>
      </w:r>
      <w:r>
        <w:rPr>
          <w:rFonts w:ascii="Calibri" w:hAnsi="Calibri" w:cs="Calibri"/>
        </w:rPr>
        <w:t xml:space="preserve"> therefore offers a table that automatically compiles submitted data to pre-fill table 4 of the NREAP progress report template. </w:t>
      </w:r>
    </w:p>
    <w:p w:rsidR="0022159B" w:rsidRDefault="0022159B" w:rsidP="00C00C37">
      <w:pPr>
        <w:ind w:firstLine="567"/>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top w:w="142" w:type="dxa"/>
          <w:bottom w:w="142" w:type="dxa"/>
        </w:tblCellMar>
        <w:tblLook w:val="04A0" w:firstRow="1" w:lastRow="0" w:firstColumn="1" w:lastColumn="0" w:noHBand="0" w:noVBand="1"/>
      </w:tblPr>
      <w:tblGrid>
        <w:gridCol w:w="9190"/>
      </w:tblGrid>
      <w:tr w:rsidR="0022159B" w:rsidRPr="00DA4B53" w:rsidTr="0022159B">
        <w:tc>
          <w:tcPr>
            <w:tcW w:w="9190" w:type="dxa"/>
            <w:shd w:val="clear" w:color="auto" w:fill="C4BC96"/>
          </w:tcPr>
          <w:p w:rsidR="0022159B" w:rsidRPr="00DA4B53" w:rsidRDefault="0022159B" w:rsidP="00C00C37">
            <w:pPr>
              <w:jc w:val="both"/>
              <w:rPr>
                <w:rFonts w:ascii="Calibri" w:hAnsi="Calibri" w:cs="Calibri"/>
                <w:b/>
              </w:rPr>
            </w:pPr>
            <w:r w:rsidRPr="00DA4B53">
              <w:rPr>
                <w:rFonts w:ascii="Calibri" w:hAnsi="Calibri" w:cs="Calibri"/>
                <w:b/>
              </w:rPr>
              <w:t>Disclaimer:</w:t>
            </w:r>
          </w:p>
          <w:p w:rsidR="0022159B" w:rsidRPr="00DA4B53" w:rsidRDefault="0022159B" w:rsidP="00F12CE8">
            <w:pPr>
              <w:jc w:val="both"/>
              <w:rPr>
                <w:rFonts w:ascii="Calibri" w:hAnsi="Calibri" w:cs="Calibri"/>
              </w:rPr>
            </w:pPr>
            <w:r w:rsidRPr="00DA4B53">
              <w:rPr>
                <w:rFonts w:ascii="Calibri" w:hAnsi="Calibri" w:cs="Calibri"/>
              </w:rPr>
              <w:t>Using JWEE</w:t>
            </w:r>
            <w:r>
              <w:rPr>
                <w:rFonts w:ascii="Calibri" w:hAnsi="Calibri" w:cs="Calibri"/>
              </w:rPr>
              <w:t xml:space="preserve"> </w:t>
            </w:r>
            <w:r w:rsidRPr="00DA4B53">
              <w:rPr>
                <w:rFonts w:ascii="Calibri" w:hAnsi="Calibri" w:cs="Calibri"/>
              </w:rPr>
              <w:t>201</w:t>
            </w:r>
            <w:r w:rsidR="00046337">
              <w:rPr>
                <w:rFonts w:ascii="Calibri" w:hAnsi="Calibri" w:cs="Calibri"/>
              </w:rPr>
              <w:t>3</w:t>
            </w:r>
            <w:r w:rsidRPr="00DA4B53">
              <w:rPr>
                <w:rFonts w:ascii="Calibri" w:hAnsi="Calibri" w:cs="Calibri"/>
              </w:rPr>
              <w:t xml:space="preserve"> data to </w:t>
            </w:r>
            <w:r>
              <w:rPr>
                <w:rFonts w:ascii="Calibri" w:hAnsi="Calibri" w:cs="Calibri"/>
              </w:rPr>
              <w:t>pre-</w:t>
            </w:r>
            <w:r w:rsidRPr="00DA4B53">
              <w:rPr>
                <w:rFonts w:ascii="Calibri" w:hAnsi="Calibri" w:cs="Calibri"/>
              </w:rPr>
              <w:t xml:space="preserve">fill table 4 requested by the European Commission is </w:t>
            </w:r>
            <w:r>
              <w:rPr>
                <w:rFonts w:ascii="Calibri" w:hAnsi="Calibri" w:cs="Calibri"/>
              </w:rPr>
              <w:t xml:space="preserve">meant to be </w:t>
            </w:r>
            <w:r w:rsidRPr="00DA4B53">
              <w:rPr>
                <w:rFonts w:ascii="Calibri" w:hAnsi="Calibri" w:cs="Calibri"/>
              </w:rPr>
              <w:t>a</w:t>
            </w:r>
            <w:r>
              <w:rPr>
                <w:rFonts w:ascii="Calibri" w:hAnsi="Calibri" w:cs="Calibri"/>
              </w:rPr>
              <w:t>n informal</w:t>
            </w:r>
            <w:r w:rsidRPr="00DA4B53">
              <w:rPr>
                <w:rFonts w:ascii="Calibri" w:hAnsi="Calibri" w:cs="Calibri"/>
              </w:rPr>
              <w:t xml:space="preserve"> service </w:t>
            </w:r>
            <w:r>
              <w:rPr>
                <w:rFonts w:ascii="Calibri" w:hAnsi="Calibri" w:cs="Calibri"/>
              </w:rPr>
              <w:t>for</w:t>
            </w:r>
            <w:r w:rsidRPr="00DA4B53">
              <w:rPr>
                <w:rFonts w:ascii="Calibri" w:hAnsi="Calibri" w:cs="Calibri"/>
              </w:rPr>
              <w:t xml:space="preserve"> JWEE</w:t>
            </w:r>
            <w:r>
              <w:rPr>
                <w:rFonts w:ascii="Calibri" w:hAnsi="Calibri" w:cs="Calibri"/>
              </w:rPr>
              <w:t xml:space="preserve"> </w:t>
            </w:r>
            <w:r w:rsidRPr="00DA4B53">
              <w:rPr>
                <w:rFonts w:ascii="Calibri" w:hAnsi="Calibri" w:cs="Calibri"/>
              </w:rPr>
              <w:t>201</w:t>
            </w:r>
            <w:r w:rsidR="00F12CE8">
              <w:rPr>
                <w:rFonts w:ascii="Calibri" w:hAnsi="Calibri" w:cs="Calibri"/>
              </w:rPr>
              <w:t>3</w:t>
            </w:r>
            <w:r w:rsidRPr="00DA4B53">
              <w:rPr>
                <w:rFonts w:ascii="Calibri" w:hAnsi="Calibri" w:cs="Calibri"/>
              </w:rPr>
              <w:t xml:space="preserve"> correspondents but does not </w:t>
            </w:r>
            <w:r>
              <w:rPr>
                <w:rFonts w:ascii="Calibri" w:hAnsi="Calibri" w:cs="Calibri"/>
              </w:rPr>
              <w:t>carry implications on European Commission reporting processes.</w:t>
            </w:r>
            <w:r w:rsidRPr="00DA4B53">
              <w:rPr>
                <w:rFonts w:ascii="Calibri" w:hAnsi="Calibri" w:cs="Calibri"/>
              </w:rPr>
              <w:t xml:space="preserve"> The JWEE</w:t>
            </w:r>
            <w:r>
              <w:rPr>
                <w:rFonts w:ascii="Calibri" w:hAnsi="Calibri" w:cs="Calibri"/>
              </w:rPr>
              <w:t xml:space="preserve"> </w:t>
            </w:r>
            <w:r w:rsidRPr="00DA4B53">
              <w:rPr>
                <w:rFonts w:ascii="Calibri" w:hAnsi="Calibri" w:cs="Calibri"/>
              </w:rPr>
              <w:t>201</w:t>
            </w:r>
            <w:r w:rsidR="002719A0">
              <w:rPr>
                <w:rFonts w:ascii="Calibri" w:hAnsi="Calibri" w:cs="Calibri"/>
              </w:rPr>
              <w:t>3</w:t>
            </w:r>
            <w:r w:rsidRPr="00DA4B53">
              <w:rPr>
                <w:rFonts w:ascii="Calibri" w:hAnsi="Calibri" w:cs="Calibri"/>
              </w:rPr>
              <w:t xml:space="preserve"> and the EU </w:t>
            </w:r>
            <w:r>
              <w:rPr>
                <w:rFonts w:ascii="Calibri" w:hAnsi="Calibri" w:cs="Calibri"/>
              </w:rPr>
              <w:t>N</w:t>
            </w:r>
            <w:r w:rsidRPr="00DA4B53">
              <w:rPr>
                <w:rFonts w:ascii="Calibri" w:hAnsi="Calibri" w:cs="Calibri"/>
              </w:rPr>
              <w:t xml:space="preserve">REAP are two entirely </w:t>
            </w:r>
            <w:r>
              <w:rPr>
                <w:rFonts w:ascii="Calibri" w:hAnsi="Calibri" w:cs="Calibri"/>
              </w:rPr>
              <w:t>separate</w:t>
            </w:r>
            <w:r w:rsidRPr="00DA4B53">
              <w:rPr>
                <w:rFonts w:ascii="Calibri" w:hAnsi="Calibri" w:cs="Calibri"/>
              </w:rPr>
              <w:t xml:space="preserve"> data collection processes. The UNECE/FAO denies </w:t>
            </w:r>
            <w:r w:rsidRPr="00B16994">
              <w:rPr>
                <w:rFonts w:ascii="Calibri" w:hAnsi="Calibri" w:cs="Calibri"/>
              </w:rPr>
              <w:t xml:space="preserve">any responsibility for the correctness, the reliability and the completeness of the information </w:t>
            </w:r>
            <w:r>
              <w:rPr>
                <w:rFonts w:ascii="Calibri" w:hAnsi="Calibri" w:cs="Calibri"/>
              </w:rPr>
              <w:t xml:space="preserve">thereby </w:t>
            </w:r>
            <w:r w:rsidRPr="00B16994">
              <w:rPr>
                <w:rFonts w:ascii="Calibri" w:hAnsi="Calibri" w:cs="Calibri"/>
              </w:rPr>
              <w:t>provided</w:t>
            </w:r>
            <w:r w:rsidRPr="00DA4B53">
              <w:rPr>
                <w:rFonts w:ascii="Calibri" w:hAnsi="Calibri" w:cs="Calibri"/>
              </w:rPr>
              <w:t xml:space="preserve">, since reporting structures, </w:t>
            </w:r>
            <w:r>
              <w:rPr>
                <w:rFonts w:ascii="Calibri" w:hAnsi="Calibri" w:cs="Calibri"/>
              </w:rPr>
              <w:t>correspondents</w:t>
            </w:r>
            <w:r w:rsidRPr="00DA4B53">
              <w:rPr>
                <w:rFonts w:ascii="Calibri" w:hAnsi="Calibri" w:cs="Calibri"/>
              </w:rPr>
              <w:t>, methodologies and (default) conversion factors may differ</w:t>
            </w:r>
            <w:r>
              <w:rPr>
                <w:rFonts w:ascii="Calibri" w:hAnsi="Calibri" w:cs="Calibri"/>
              </w:rPr>
              <w:t xml:space="preserve"> between the two processes</w:t>
            </w:r>
            <w:r w:rsidRPr="00DA4B53">
              <w:rPr>
                <w:rFonts w:ascii="Calibri" w:hAnsi="Calibri" w:cs="Calibri"/>
              </w:rPr>
              <w:t>.</w:t>
            </w:r>
          </w:p>
        </w:tc>
      </w:tr>
    </w:tbl>
    <w:p w:rsidR="0022159B" w:rsidRDefault="0022159B" w:rsidP="00C00C37">
      <w:pPr>
        <w:ind w:firstLine="567"/>
        <w:jc w:val="both"/>
        <w:rPr>
          <w:rFonts w:ascii="Calibri" w:hAnsi="Calibri" w:cs="Calibri"/>
        </w:rPr>
      </w:pPr>
    </w:p>
    <w:p w:rsidR="0022159B" w:rsidRDefault="0022159B" w:rsidP="0047427B">
      <w:pPr>
        <w:jc w:val="both"/>
        <w:rPr>
          <w:rFonts w:ascii="Calibri" w:hAnsi="Calibri" w:cs="Calibri"/>
        </w:rPr>
      </w:pPr>
      <w:r>
        <w:rPr>
          <w:rFonts w:ascii="Calibri" w:hAnsi="Calibri" w:cs="Calibri"/>
        </w:rPr>
        <w:t>However, it is hoped that the “</w:t>
      </w:r>
      <w:r w:rsidRPr="00A73EFC">
        <w:rPr>
          <w:rFonts w:ascii="Calibri" w:hAnsi="Calibri" w:cs="Calibri"/>
        </w:rPr>
        <w:t xml:space="preserve">EU </w:t>
      </w:r>
      <w:r>
        <w:rPr>
          <w:rFonts w:ascii="Calibri" w:hAnsi="Calibri" w:cs="Calibri"/>
        </w:rPr>
        <w:t>N</w:t>
      </w:r>
      <w:r w:rsidRPr="00A73EFC">
        <w:rPr>
          <w:rFonts w:ascii="Calibri" w:hAnsi="Calibri" w:cs="Calibri"/>
        </w:rPr>
        <w:t>REAP table 4</w:t>
      </w:r>
      <w:r>
        <w:rPr>
          <w:rFonts w:ascii="Calibri" w:hAnsi="Calibri" w:cs="Calibri"/>
        </w:rPr>
        <w:t xml:space="preserve">” will </w:t>
      </w:r>
      <w:proofErr w:type="spellStart"/>
      <w:r>
        <w:rPr>
          <w:rFonts w:ascii="Calibri" w:hAnsi="Calibri" w:cs="Calibri"/>
        </w:rPr>
        <w:t>i</w:t>
      </w:r>
      <w:proofErr w:type="spellEnd"/>
      <w:r>
        <w:rPr>
          <w:rFonts w:ascii="Calibri" w:hAnsi="Calibri" w:cs="Calibri"/>
        </w:rPr>
        <w:t>) raise the visibility of NCs and experts, ii) promote the use of the JWEE structure, iii) enable countries to further streamline their data reporting processes, iv) and improve cross-</w:t>
      </w:r>
      <w:proofErr w:type="spellStart"/>
      <w:r>
        <w:rPr>
          <w:rFonts w:ascii="Calibri" w:hAnsi="Calibri" w:cs="Calibri"/>
        </w:rPr>
        <w:t>sectoral</w:t>
      </w:r>
      <w:proofErr w:type="spellEnd"/>
      <w:r>
        <w:rPr>
          <w:rFonts w:ascii="Calibri" w:hAnsi="Calibri" w:cs="Calibri"/>
        </w:rPr>
        <w:t xml:space="preserve"> cooperation and communication at all levels.</w:t>
      </w:r>
    </w:p>
    <w:p w:rsidR="000E2818" w:rsidRDefault="000E2818" w:rsidP="0047427B">
      <w:pPr>
        <w:jc w:val="both"/>
        <w:rPr>
          <w:rFonts w:ascii="Calibri" w:hAnsi="Calibri" w:cs="Calibri"/>
        </w:rPr>
      </w:pPr>
    </w:p>
    <w:p w:rsidR="0022159B" w:rsidRDefault="0022159B" w:rsidP="0047427B">
      <w:pPr>
        <w:pStyle w:val="Caption"/>
        <w:keepNext/>
        <w:spacing w:after="0"/>
        <w:jc w:val="both"/>
      </w:pPr>
      <w:bookmarkStart w:id="80" w:name="_Toc407187890"/>
      <w:r>
        <w:t xml:space="preserve">Table </w:t>
      </w:r>
      <w:fldSimple w:instr=" SEQ Table \* ARABIC ">
        <w:r w:rsidR="00D55945">
          <w:rPr>
            <w:noProof/>
          </w:rPr>
          <w:t>4</w:t>
        </w:r>
      </w:fldSimple>
      <w:r>
        <w:t>: National Renewable Energy Action Plan progress report table 4</w:t>
      </w:r>
      <w:bookmarkEnd w:id="80"/>
    </w:p>
    <w:p w:rsidR="00213DCC" w:rsidRPr="00213DCC" w:rsidRDefault="00213DCC" w:rsidP="0047427B"/>
    <w:p w:rsidR="0022159B" w:rsidRDefault="0022159B" w:rsidP="0047427B">
      <w:pPr>
        <w:jc w:val="both"/>
        <w:rPr>
          <w:rFonts w:ascii="Calibri" w:hAnsi="Calibri" w:cs="Calibri"/>
        </w:rPr>
      </w:pPr>
      <w:r w:rsidRPr="0047427B">
        <w:rPr>
          <w:rFonts w:ascii="Calibri" w:hAnsi="Calibri" w:cs="Calibri"/>
          <w:noProof/>
          <w:lang w:val="en-GB" w:eastAsia="en-GB"/>
        </w:rPr>
        <w:lastRenderedPageBreak/>
        <w:drawing>
          <wp:inline distT="0" distB="0" distL="0" distR="0" wp14:anchorId="78DFDBC8" wp14:editId="3EFF7B92">
            <wp:extent cx="5658164" cy="362197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78066" cy="3634714"/>
                    </a:xfrm>
                    <a:prstGeom prst="rect">
                      <a:avLst/>
                    </a:prstGeom>
                    <a:noFill/>
                    <a:ln>
                      <a:noFill/>
                    </a:ln>
                  </pic:spPr>
                </pic:pic>
              </a:graphicData>
            </a:graphic>
          </wp:inline>
        </w:drawing>
      </w:r>
    </w:p>
    <w:p w:rsidR="007E742D" w:rsidRPr="00780E90" w:rsidRDefault="007E742D" w:rsidP="0047427B">
      <w:pPr>
        <w:pStyle w:val="Caption"/>
        <w:keepNext/>
        <w:spacing w:after="0"/>
        <w:jc w:val="both"/>
        <w:rPr>
          <w:rFonts w:cstheme="minorHAnsi"/>
        </w:rPr>
      </w:pPr>
    </w:p>
    <w:p w:rsidR="00780E90" w:rsidRPr="0047427B" w:rsidRDefault="00780E90" w:rsidP="00C00C37">
      <w:pPr>
        <w:jc w:val="both"/>
        <w:rPr>
          <w:rFonts w:asciiTheme="minorHAnsi" w:hAnsiTheme="minorHAnsi" w:cstheme="minorHAnsi"/>
        </w:rPr>
      </w:pPr>
      <w:r w:rsidRPr="0047427B">
        <w:rPr>
          <w:rFonts w:asciiTheme="minorHAnsi" w:hAnsiTheme="minorHAnsi" w:cstheme="minorHAnsi"/>
        </w:rPr>
        <w:t>Data is taken from Table I, Table III and Table IV of the JWEE and is provided for all the categories in the NREAP progress report except for “Agricultural by-products / processed residues and fishery by-products” and “Common arable crops for biofuels</w:t>
      </w:r>
      <w:r w:rsidR="007B6BF5">
        <w:rPr>
          <w:rFonts w:asciiTheme="minorHAnsi" w:hAnsiTheme="minorHAnsi" w:cstheme="minorHAnsi"/>
        </w:rPr>
        <w:t>”:</w:t>
      </w:r>
      <w:r w:rsidRPr="0047427B">
        <w:rPr>
          <w:rFonts w:asciiTheme="minorHAnsi" w:hAnsiTheme="minorHAnsi" w:cstheme="minorHAnsi"/>
        </w:rPr>
        <w:t xml:space="preserve"> </w:t>
      </w:r>
    </w:p>
    <w:p w:rsidR="00780E90" w:rsidRPr="000E2818" w:rsidRDefault="000E2818" w:rsidP="0047427B">
      <w:pPr>
        <w:pStyle w:val="ListParagraph"/>
        <w:numPr>
          <w:ilvl w:val="0"/>
          <w:numId w:val="32"/>
        </w:numPr>
        <w:spacing w:line="276" w:lineRule="auto"/>
        <w:jc w:val="both"/>
        <w:rPr>
          <w:rFonts w:asciiTheme="minorHAnsi" w:hAnsiTheme="minorHAnsi" w:cstheme="minorHAnsi"/>
        </w:rPr>
      </w:pPr>
      <w:r>
        <w:rPr>
          <w:rFonts w:asciiTheme="minorHAnsi" w:hAnsiTheme="minorHAnsi" w:cstheme="minorHAnsi"/>
          <w:color w:val="000000"/>
        </w:rPr>
        <w:t>“</w:t>
      </w:r>
      <w:r w:rsidR="00780E90" w:rsidRPr="000E2818">
        <w:rPr>
          <w:rFonts w:asciiTheme="minorHAnsi" w:hAnsiTheme="minorHAnsi" w:cstheme="minorHAnsi"/>
          <w:color w:val="000000"/>
        </w:rPr>
        <w:t>Direct supply</w:t>
      </w:r>
      <w:r>
        <w:rPr>
          <w:rFonts w:asciiTheme="minorHAnsi" w:hAnsiTheme="minorHAnsi" w:cstheme="minorHAnsi"/>
          <w:color w:val="000000"/>
        </w:rPr>
        <w:t>”:</w:t>
      </w:r>
      <w:r w:rsidR="00780E90" w:rsidRPr="000E2818">
        <w:rPr>
          <w:rFonts w:asciiTheme="minorHAnsi" w:hAnsiTheme="minorHAnsi" w:cstheme="minorHAnsi"/>
          <w:color w:val="000000"/>
        </w:rPr>
        <w:t xml:space="preserve"> </w:t>
      </w:r>
      <w:r w:rsidR="007B6BF5">
        <w:rPr>
          <w:rFonts w:asciiTheme="minorHAnsi" w:hAnsiTheme="minorHAnsi" w:cstheme="minorHAnsi"/>
        </w:rPr>
        <w:t>relates</w:t>
      </w:r>
      <w:r w:rsidR="00780E90" w:rsidRPr="000E2818">
        <w:rPr>
          <w:rFonts w:asciiTheme="minorHAnsi" w:hAnsiTheme="minorHAnsi" w:cstheme="minorHAnsi"/>
        </w:rPr>
        <w:t xml:space="preserve"> to Table IV</w:t>
      </w:r>
      <w:r w:rsidR="00780E90" w:rsidRPr="000E2818">
        <w:rPr>
          <w:rFonts w:asciiTheme="minorHAnsi" w:hAnsiTheme="minorHAnsi" w:cstheme="minorHAnsi"/>
          <w:color w:val="000000"/>
        </w:rPr>
        <w:t xml:space="preserve"> “Primary</w:t>
      </w:r>
      <w:r>
        <w:rPr>
          <w:rFonts w:asciiTheme="minorHAnsi" w:hAnsiTheme="minorHAnsi" w:cstheme="minorHAnsi"/>
          <w:color w:val="000000"/>
        </w:rPr>
        <w:t xml:space="preserve"> solid biomass” for each sector, t</w:t>
      </w:r>
      <w:r w:rsidR="00780E90" w:rsidRPr="000E2818">
        <w:rPr>
          <w:rFonts w:asciiTheme="minorHAnsi" w:hAnsiTheme="minorHAnsi" w:cstheme="minorHAnsi"/>
          <w:color w:val="000000"/>
        </w:rPr>
        <w:t xml:space="preserve">o which we add the feedstock for the production of Wood Charcoal, pellets and briquettes multiplied by the percentage of </w:t>
      </w:r>
      <w:proofErr w:type="spellStart"/>
      <w:r w:rsidR="00780E90" w:rsidRPr="000E2818">
        <w:rPr>
          <w:rFonts w:asciiTheme="minorHAnsi" w:hAnsiTheme="minorHAnsi" w:cstheme="minorHAnsi"/>
          <w:color w:val="000000"/>
        </w:rPr>
        <w:t>fibres</w:t>
      </w:r>
      <w:proofErr w:type="spellEnd"/>
      <w:r w:rsidR="00780E90" w:rsidRPr="000E2818">
        <w:rPr>
          <w:rFonts w:asciiTheme="minorHAnsi" w:hAnsiTheme="minorHAnsi" w:cstheme="minorHAnsi"/>
          <w:color w:val="000000"/>
        </w:rPr>
        <w:t xml:space="preserve"> from direct supply</w:t>
      </w:r>
      <w:r w:rsidR="00780E90" w:rsidRPr="000E2818">
        <w:rPr>
          <w:rFonts w:asciiTheme="minorHAnsi" w:hAnsiTheme="minorHAnsi" w:cstheme="minorHAnsi"/>
          <w:color w:val="000000"/>
          <w:sz w:val="20"/>
          <w:szCs w:val="20"/>
        </w:rPr>
        <w:t xml:space="preserve"> </w:t>
      </w:r>
      <w:r w:rsidR="00780E90" w:rsidRPr="000E2818">
        <w:rPr>
          <w:rFonts w:asciiTheme="minorHAnsi" w:hAnsiTheme="minorHAnsi" w:cstheme="minorHAnsi"/>
          <w:color w:val="000000"/>
        </w:rPr>
        <w:t>(from Table III).</w:t>
      </w:r>
      <w:r w:rsidR="00780E90" w:rsidRPr="000E2818">
        <w:rPr>
          <w:rFonts w:asciiTheme="minorHAnsi" w:hAnsiTheme="minorHAnsi" w:cstheme="minorHAnsi"/>
          <w:color w:val="000000"/>
          <w:sz w:val="20"/>
          <w:szCs w:val="20"/>
        </w:rPr>
        <w:t xml:space="preserve"> </w:t>
      </w:r>
    </w:p>
    <w:p w:rsidR="00780E90" w:rsidRPr="000E2818" w:rsidRDefault="000E2818" w:rsidP="0047427B">
      <w:pPr>
        <w:pStyle w:val="ListParagraph"/>
        <w:numPr>
          <w:ilvl w:val="0"/>
          <w:numId w:val="32"/>
        </w:numPr>
        <w:spacing w:line="276" w:lineRule="auto"/>
        <w:jc w:val="both"/>
        <w:rPr>
          <w:rFonts w:asciiTheme="minorHAnsi" w:hAnsiTheme="minorHAnsi" w:cstheme="minorHAnsi"/>
        </w:rPr>
      </w:pPr>
      <w:r>
        <w:rPr>
          <w:rFonts w:asciiTheme="minorHAnsi" w:hAnsiTheme="minorHAnsi" w:cstheme="minorHAnsi"/>
        </w:rPr>
        <w:t>“</w:t>
      </w:r>
      <w:r w:rsidR="00780E90" w:rsidRPr="000E2818">
        <w:rPr>
          <w:rFonts w:asciiTheme="minorHAnsi" w:hAnsiTheme="minorHAnsi" w:cstheme="minorHAnsi"/>
        </w:rPr>
        <w:t>Indirect supply</w:t>
      </w:r>
      <w:r w:rsidR="007B6BF5">
        <w:rPr>
          <w:rFonts w:asciiTheme="minorHAnsi" w:hAnsiTheme="minorHAnsi" w:cstheme="minorHAnsi"/>
          <w:color w:val="000000"/>
        </w:rPr>
        <w:t>” relates</w:t>
      </w:r>
      <w:r>
        <w:rPr>
          <w:rFonts w:asciiTheme="minorHAnsi" w:hAnsiTheme="minorHAnsi" w:cstheme="minorHAnsi"/>
          <w:color w:val="000000"/>
        </w:rPr>
        <w:t xml:space="preserve"> to Table IV</w:t>
      </w:r>
      <w:r w:rsidR="00780E90" w:rsidRPr="000E2818">
        <w:rPr>
          <w:rFonts w:asciiTheme="minorHAnsi" w:hAnsiTheme="minorHAnsi" w:cstheme="minorHAnsi"/>
          <w:color w:val="000000"/>
        </w:rPr>
        <w:t xml:space="preserve"> “Forest based Industry- solid co-products” and black liq</w:t>
      </w:r>
      <w:r>
        <w:rPr>
          <w:rFonts w:asciiTheme="minorHAnsi" w:hAnsiTheme="minorHAnsi" w:cstheme="minorHAnsi"/>
          <w:color w:val="000000"/>
        </w:rPr>
        <w:t>uor for each consumption sector, t</w:t>
      </w:r>
      <w:r w:rsidR="00780E90" w:rsidRPr="000E2818">
        <w:rPr>
          <w:rFonts w:asciiTheme="minorHAnsi" w:hAnsiTheme="minorHAnsi" w:cstheme="minorHAnsi"/>
          <w:color w:val="000000"/>
        </w:rPr>
        <w:t xml:space="preserve">o which we add the feedstock for the production of wood charcoal, pellets and briquettes multiplied by the percentage of </w:t>
      </w:r>
      <w:proofErr w:type="spellStart"/>
      <w:r w:rsidR="00780E90" w:rsidRPr="000E2818">
        <w:rPr>
          <w:rFonts w:asciiTheme="minorHAnsi" w:hAnsiTheme="minorHAnsi" w:cstheme="minorHAnsi"/>
          <w:color w:val="000000"/>
        </w:rPr>
        <w:t>fibres</w:t>
      </w:r>
      <w:proofErr w:type="spellEnd"/>
      <w:r w:rsidR="00780E90" w:rsidRPr="000E2818">
        <w:rPr>
          <w:rFonts w:asciiTheme="minorHAnsi" w:hAnsiTheme="minorHAnsi" w:cstheme="minorHAnsi"/>
          <w:color w:val="000000"/>
        </w:rPr>
        <w:t xml:space="preserve"> from indirect supply (from Table III). </w:t>
      </w:r>
    </w:p>
    <w:p w:rsidR="00780E90" w:rsidRPr="000E2818" w:rsidRDefault="00780E90" w:rsidP="0047427B">
      <w:pPr>
        <w:pStyle w:val="ListParagraph"/>
        <w:numPr>
          <w:ilvl w:val="0"/>
          <w:numId w:val="32"/>
        </w:numPr>
        <w:spacing w:line="276" w:lineRule="auto"/>
        <w:jc w:val="both"/>
        <w:rPr>
          <w:rFonts w:asciiTheme="minorHAnsi" w:hAnsiTheme="minorHAnsi" w:cstheme="minorHAnsi"/>
        </w:rPr>
      </w:pPr>
      <w:r w:rsidRPr="000E2818">
        <w:rPr>
          <w:rFonts w:asciiTheme="minorHAnsi" w:hAnsiTheme="minorHAnsi" w:cstheme="minorHAnsi"/>
          <w:color w:val="000000"/>
        </w:rPr>
        <w:t>“Energy crops (grasses etc.) and short rotation trees”: is brought in from the Table I category “</w:t>
      </w:r>
      <w:proofErr w:type="spellStart"/>
      <w:r w:rsidRPr="000E2818">
        <w:rPr>
          <w:rFonts w:asciiTheme="minorHAnsi" w:hAnsiTheme="minorHAnsi" w:cstheme="minorHAnsi"/>
          <w:color w:val="000000"/>
        </w:rPr>
        <w:t>Fuelwood</w:t>
      </w:r>
      <w:proofErr w:type="spellEnd"/>
      <w:r w:rsidRPr="000E2818">
        <w:rPr>
          <w:rFonts w:asciiTheme="minorHAnsi" w:hAnsiTheme="minorHAnsi" w:cstheme="minorHAnsi"/>
          <w:color w:val="000000"/>
        </w:rPr>
        <w:t xml:space="preserve">- from short rotation coppice”. </w:t>
      </w:r>
    </w:p>
    <w:p w:rsidR="00780E90" w:rsidRPr="000E2818" w:rsidRDefault="00780E90" w:rsidP="0047427B">
      <w:pPr>
        <w:pStyle w:val="ListParagraph"/>
        <w:numPr>
          <w:ilvl w:val="0"/>
          <w:numId w:val="32"/>
        </w:numPr>
        <w:spacing w:line="276" w:lineRule="auto"/>
        <w:jc w:val="both"/>
        <w:rPr>
          <w:rFonts w:asciiTheme="minorHAnsi" w:hAnsiTheme="minorHAnsi" w:cstheme="minorHAnsi"/>
        </w:rPr>
      </w:pPr>
      <w:r w:rsidRPr="000E2818">
        <w:rPr>
          <w:rFonts w:asciiTheme="minorHAnsi" w:hAnsiTheme="minorHAnsi" w:cstheme="minorHAnsi"/>
          <w:color w:val="000000"/>
        </w:rPr>
        <w:t>“Biomass from waste”: is brought in from Table IV, “Post-consumer recovered wood” for each consumption sector, to which we add feedstock data on charcoal, pellets and briquettes from Table III, if available.</w:t>
      </w:r>
    </w:p>
    <w:p w:rsidR="00780E90" w:rsidRPr="000E2818" w:rsidRDefault="00780E90" w:rsidP="0047427B">
      <w:pPr>
        <w:pStyle w:val="ListParagraph"/>
        <w:numPr>
          <w:ilvl w:val="0"/>
          <w:numId w:val="32"/>
        </w:numPr>
        <w:spacing w:line="276" w:lineRule="auto"/>
        <w:jc w:val="both"/>
        <w:rPr>
          <w:rFonts w:asciiTheme="minorHAnsi" w:hAnsiTheme="minorHAnsi" w:cstheme="minorHAnsi"/>
        </w:rPr>
      </w:pPr>
      <w:r w:rsidRPr="000E2818">
        <w:rPr>
          <w:rFonts w:asciiTheme="minorHAnsi" w:hAnsiTheme="minorHAnsi" w:cstheme="minorHAnsi"/>
          <w:color w:val="000000"/>
        </w:rPr>
        <w:t>“Others”: is brought in from Table IV category “Wood from unknown sources” across all consumption sectors.</w:t>
      </w:r>
    </w:p>
    <w:p w:rsidR="00780E90" w:rsidRPr="0047427B" w:rsidRDefault="00780E90" w:rsidP="0047427B">
      <w:pPr>
        <w:pStyle w:val="ListParagraph"/>
        <w:numPr>
          <w:ilvl w:val="0"/>
          <w:numId w:val="32"/>
        </w:numPr>
        <w:spacing w:line="276" w:lineRule="auto"/>
        <w:jc w:val="both"/>
        <w:rPr>
          <w:rFonts w:asciiTheme="minorHAnsi" w:hAnsiTheme="minorHAnsi" w:cstheme="minorHAnsi"/>
        </w:rPr>
      </w:pPr>
      <w:r w:rsidRPr="000E2818">
        <w:rPr>
          <w:rFonts w:asciiTheme="minorHAnsi" w:hAnsiTheme="minorHAnsi" w:cstheme="minorHAnsi"/>
        </w:rPr>
        <w:t>“Energy crops (grasses, etc.) and short rotations trees for biofuels”:</w:t>
      </w:r>
      <w:r w:rsidR="00064808">
        <w:rPr>
          <w:rFonts w:asciiTheme="minorHAnsi" w:hAnsiTheme="minorHAnsi" w:cstheme="minorHAnsi"/>
        </w:rPr>
        <w:t xml:space="preserve"> includes data from Table IV</w:t>
      </w:r>
      <w:r w:rsidRPr="0047427B">
        <w:rPr>
          <w:rFonts w:asciiTheme="minorHAnsi" w:hAnsiTheme="minorHAnsi" w:cstheme="minorHAnsi"/>
        </w:rPr>
        <w:t xml:space="preserve"> on cellulose based ethanol and wood based biodiesel.</w:t>
      </w:r>
    </w:p>
    <w:p w:rsidR="007E742D" w:rsidRDefault="007E742D" w:rsidP="0047427B">
      <w:pPr>
        <w:jc w:val="both"/>
        <w:rPr>
          <w:rFonts w:ascii="Calibri" w:hAnsi="Calibri" w:cs="Calibri"/>
        </w:rPr>
      </w:pPr>
    </w:p>
    <w:p w:rsidR="00C24C67" w:rsidRDefault="00C24C67" w:rsidP="0047427B">
      <w:pPr>
        <w:jc w:val="both"/>
        <w:rPr>
          <w:rFonts w:ascii="Calibri" w:hAnsi="Calibri" w:cs="Calibri"/>
        </w:rPr>
      </w:pPr>
      <w:r>
        <w:rPr>
          <w:rFonts w:ascii="Calibri" w:hAnsi="Calibri" w:cs="Calibri"/>
        </w:rPr>
        <w:t>A number of assumptions have been made to permit the data to be calculated.</w:t>
      </w:r>
    </w:p>
    <w:p w:rsidR="00C24C67" w:rsidRDefault="00C24C67" w:rsidP="0047427B">
      <w:pPr>
        <w:pStyle w:val="ListParagraph"/>
        <w:numPr>
          <w:ilvl w:val="0"/>
          <w:numId w:val="33"/>
        </w:numPr>
        <w:jc w:val="both"/>
        <w:rPr>
          <w:rFonts w:ascii="Calibri" w:hAnsi="Calibri" w:cs="Calibri"/>
        </w:rPr>
      </w:pPr>
      <w:r w:rsidRPr="0047427B">
        <w:rPr>
          <w:rFonts w:ascii="Calibri" w:hAnsi="Calibri" w:cs="Calibri"/>
        </w:rPr>
        <w:t xml:space="preserve">Short-rotation coppice (table I) is assumed to be 100% for energy. It is counted on </w:t>
      </w:r>
      <w:r w:rsidR="00780E90" w:rsidRPr="0047427B">
        <w:rPr>
          <w:rFonts w:ascii="Calibri" w:hAnsi="Calibri" w:cs="Calibri"/>
        </w:rPr>
        <w:t>the line for energy crops and deducted from the TIV data.</w:t>
      </w:r>
    </w:p>
    <w:p w:rsidR="003C3397" w:rsidRDefault="0015434F" w:rsidP="0047427B">
      <w:pPr>
        <w:pStyle w:val="ListParagraph"/>
        <w:numPr>
          <w:ilvl w:val="0"/>
          <w:numId w:val="33"/>
        </w:numPr>
        <w:jc w:val="both"/>
        <w:rPr>
          <w:rFonts w:ascii="Calibri" w:hAnsi="Calibri" w:cs="Calibri"/>
        </w:rPr>
      </w:pPr>
      <w:r>
        <w:rPr>
          <w:rFonts w:ascii="Calibri" w:hAnsi="Calibri" w:cs="Calibri"/>
        </w:rPr>
        <w:t xml:space="preserve">Columns T-X present assumptions about  the share of imports in the total consumption, the EU share of those imports and the split between </w:t>
      </w:r>
      <w:r w:rsidR="0008597B">
        <w:rPr>
          <w:rFonts w:ascii="Calibri" w:hAnsi="Calibri" w:cs="Calibri"/>
        </w:rPr>
        <w:t xml:space="preserve">direct and </w:t>
      </w:r>
      <w:r w:rsidR="0008597B">
        <w:rPr>
          <w:rFonts w:ascii="Calibri" w:hAnsi="Calibri" w:cs="Calibri"/>
        </w:rPr>
        <w:lastRenderedPageBreak/>
        <w:t>indirect sources of wood for processed wood fuels such as pellets.  These assumptions can be directly replaced by empirical study results or estimates and are only meant to assist correspondents.</w:t>
      </w:r>
    </w:p>
    <w:p w:rsidR="00A013BC" w:rsidRDefault="003C3397" w:rsidP="0047427B">
      <w:pPr>
        <w:pStyle w:val="ListParagraph"/>
        <w:numPr>
          <w:ilvl w:val="1"/>
          <w:numId w:val="33"/>
        </w:numPr>
        <w:jc w:val="both"/>
        <w:rPr>
          <w:rFonts w:ascii="Calibri" w:hAnsi="Calibri" w:cs="Calibri"/>
        </w:rPr>
      </w:pPr>
      <w:r>
        <w:rPr>
          <w:rFonts w:ascii="Calibri" w:hAnsi="Calibri" w:cs="Calibri"/>
        </w:rPr>
        <w:t>The import share for wood energy is based on the total imports of wood for all purposes.</w:t>
      </w:r>
    </w:p>
    <w:p w:rsidR="003C3397" w:rsidRPr="0047427B" w:rsidRDefault="003C3397" w:rsidP="0047427B">
      <w:pPr>
        <w:pStyle w:val="ListParagraph"/>
        <w:numPr>
          <w:ilvl w:val="1"/>
          <w:numId w:val="33"/>
        </w:numPr>
        <w:jc w:val="both"/>
        <w:rPr>
          <w:rFonts w:ascii="Calibri" w:hAnsi="Calibri" w:cs="Calibri"/>
        </w:rPr>
      </w:pPr>
      <w:r>
        <w:rPr>
          <w:rFonts w:ascii="Calibri" w:hAnsi="Calibri" w:cs="Calibri"/>
        </w:rPr>
        <w:t>The source of wood (direct vs indirect) for pellets is assumed to be 50/50</w:t>
      </w:r>
    </w:p>
    <w:p w:rsidR="00EC00E9" w:rsidRDefault="00EC00E9" w:rsidP="0047427B"/>
    <w:p w:rsidR="001722C0" w:rsidRPr="005F4C06" w:rsidRDefault="001722C0" w:rsidP="0047427B">
      <w:pPr>
        <w:pStyle w:val="Heading1"/>
        <w:spacing w:before="0" w:after="0"/>
      </w:pPr>
      <w:bookmarkStart w:id="81" w:name="_Toc326748717"/>
      <w:bookmarkStart w:id="82" w:name="_Toc407187229"/>
      <w:r w:rsidRPr="005F4C06">
        <w:t>Prefilling</w:t>
      </w:r>
      <w:bookmarkEnd w:id="81"/>
      <w:bookmarkEnd w:id="82"/>
    </w:p>
    <w:p w:rsidR="001722C0" w:rsidRPr="0047427B" w:rsidRDefault="001722C0" w:rsidP="00C00C37">
      <w:pPr>
        <w:jc w:val="both"/>
        <w:rPr>
          <w:rFonts w:asciiTheme="minorHAnsi" w:hAnsiTheme="minorHAnsi" w:cstheme="minorHAnsi"/>
        </w:rPr>
      </w:pPr>
    </w:p>
    <w:p w:rsidR="00A013BC" w:rsidRPr="0047427B" w:rsidRDefault="0022159B" w:rsidP="00C00C37">
      <w:pPr>
        <w:jc w:val="both"/>
        <w:rPr>
          <w:rFonts w:asciiTheme="minorHAnsi" w:hAnsiTheme="minorHAnsi" w:cstheme="minorHAnsi"/>
        </w:rPr>
      </w:pPr>
      <w:r w:rsidRPr="0047427B">
        <w:rPr>
          <w:rFonts w:asciiTheme="minorHAnsi" w:hAnsiTheme="minorHAnsi" w:cstheme="minorHAnsi"/>
        </w:rPr>
        <w:t>The UNECE/FAO secretariat pre-fill</w:t>
      </w:r>
      <w:r w:rsidR="000E2818">
        <w:rPr>
          <w:rFonts w:asciiTheme="minorHAnsi" w:hAnsiTheme="minorHAnsi" w:cstheme="minorHAnsi"/>
        </w:rPr>
        <w:t>s</w:t>
      </w:r>
      <w:r w:rsidRPr="0047427B">
        <w:rPr>
          <w:rFonts w:asciiTheme="minorHAnsi" w:hAnsiTheme="minorHAnsi" w:cstheme="minorHAnsi"/>
        </w:rPr>
        <w:t xml:space="preserve"> tables as far as possible to </w:t>
      </w:r>
      <w:r w:rsidR="000E2818">
        <w:rPr>
          <w:rFonts w:asciiTheme="minorHAnsi" w:hAnsiTheme="minorHAnsi" w:cstheme="minorHAnsi"/>
        </w:rPr>
        <w:t>avoid duplication of</w:t>
      </w:r>
      <w:r w:rsidRPr="0047427B">
        <w:rPr>
          <w:rFonts w:asciiTheme="minorHAnsi" w:hAnsiTheme="minorHAnsi" w:cstheme="minorHAnsi"/>
        </w:rPr>
        <w:t xml:space="preserve"> correspondents</w:t>
      </w:r>
      <w:r w:rsidR="000E2818">
        <w:rPr>
          <w:rFonts w:asciiTheme="minorHAnsi" w:hAnsiTheme="minorHAnsi" w:cstheme="minorHAnsi"/>
        </w:rPr>
        <w:t>’ efforts</w:t>
      </w:r>
      <w:r w:rsidRPr="0047427B">
        <w:rPr>
          <w:rFonts w:asciiTheme="minorHAnsi" w:hAnsiTheme="minorHAnsi" w:cstheme="minorHAnsi"/>
        </w:rPr>
        <w:t xml:space="preserve">. </w:t>
      </w:r>
      <w:r w:rsidR="001722C0" w:rsidRPr="0047427B">
        <w:rPr>
          <w:rFonts w:asciiTheme="minorHAnsi" w:hAnsiTheme="minorHAnsi" w:cstheme="minorHAnsi"/>
        </w:rPr>
        <w:t xml:space="preserve">The secretariat </w:t>
      </w:r>
      <w:r w:rsidRPr="0047427B">
        <w:rPr>
          <w:rFonts w:asciiTheme="minorHAnsi" w:hAnsiTheme="minorHAnsi" w:cstheme="minorHAnsi"/>
        </w:rPr>
        <w:t xml:space="preserve">is </w:t>
      </w:r>
      <w:r w:rsidR="001722C0" w:rsidRPr="0047427B">
        <w:rPr>
          <w:rFonts w:asciiTheme="minorHAnsi" w:hAnsiTheme="minorHAnsi" w:cstheme="minorHAnsi"/>
        </w:rPr>
        <w:t>provi</w:t>
      </w:r>
      <w:r w:rsidRPr="0047427B">
        <w:rPr>
          <w:rFonts w:asciiTheme="minorHAnsi" w:hAnsiTheme="minorHAnsi" w:cstheme="minorHAnsi"/>
        </w:rPr>
        <w:t>ding</w:t>
      </w:r>
      <w:r w:rsidR="001722C0" w:rsidRPr="0047427B">
        <w:rPr>
          <w:rFonts w:asciiTheme="minorHAnsi" w:hAnsiTheme="minorHAnsi" w:cstheme="minorHAnsi"/>
        </w:rPr>
        <w:t xml:space="preserve"> pre-filled data for shaded fields in the enquiry (</w:t>
      </w:r>
      <w:r w:rsidR="000E2818">
        <w:rPr>
          <w:rFonts w:asciiTheme="minorHAnsi" w:hAnsiTheme="minorHAnsi" w:cstheme="minorHAnsi"/>
        </w:rPr>
        <w:t xml:space="preserve">based on </w:t>
      </w:r>
      <w:r w:rsidR="001722C0" w:rsidRPr="0047427B">
        <w:rPr>
          <w:rFonts w:asciiTheme="minorHAnsi" w:hAnsiTheme="minorHAnsi" w:cstheme="minorHAnsi"/>
        </w:rPr>
        <w:t xml:space="preserve">JFSQ data). </w:t>
      </w:r>
      <w:r w:rsidR="009845BD" w:rsidRPr="0047427B">
        <w:rPr>
          <w:rFonts w:asciiTheme="minorHAnsi" w:hAnsiTheme="minorHAnsi" w:cstheme="minorHAnsi"/>
        </w:rPr>
        <w:t>However, correspondents may modify these figures should they meanwhile have obtained access to more recent or reliable data.</w:t>
      </w:r>
    </w:p>
    <w:p w:rsidR="007B1804" w:rsidRDefault="007B1804" w:rsidP="00C00C37">
      <w:pPr>
        <w:jc w:val="both"/>
        <w:rPr>
          <w:rFonts w:asciiTheme="minorHAnsi" w:hAnsiTheme="minorHAnsi" w:cstheme="minorHAnsi"/>
          <w:b/>
          <w:bCs/>
          <w:kern w:val="32"/>
          <w:sz w:val="28"/>
          <w:szCs w:val="32"/>
        </w:rPr>
      </w:pPr>
    </w:p>
    <w:p w:rsidR="000E2818" w:rsidRDefault="000E2818" w:rsidP="00C00C37">
      <w:pPr>
        <w:jc w:val="both"/>
        <w:rPr>
          <w:rFonts w:asciiTheme="minorHAnsi" w:hAnsiTheme="minorHAnsi" w:cstheme="minorHAnsi"/>
          <w:b/>
          <w:bCs/>
          <w:kern w:val="32"/>
          <w:sz w:val="28"/>
          <w:szCs w:val="32"/>
        </w:rPr>
      </w:pPr>
    </w:p>
    <w:p w:rsidR="000E2818" w:rsidRDefault="000E2818" w:rsidP="00C00C37">
      <w:pPr>
        <w:jc w:val="both"/>
        <w:rPr>
          <w:rFonts w:asciiTheme="minorHAnsi" w:hAnsiTheme="minorHAnsi" w:cstheme="minorHAnsi"/>
          <w:b/>
          <w:bCs/>
          <w:kern w:val="32"/>
          <w:sz w:val="28"/>
          <w:szCs w:val="32"/>
        </w:rPr>
      </w:pPr>
    </w:p>
    <w:p w:rsidR="000E2818" w:rsidRPr="0047427B" w:rsidRDefault="000E2818" w:rsidP="00C00C37">
      <w:pPr>
        <w:jc w:val="both"/>
        <w:rPr>
          <w:rFonts w:asciiTheme="minorHAnsi" w:hAnsiTheme="minorHAnsi" w:cstheme="minorHAnsi"/>
          <w:b/>
          <w:bCs/>
          <w:kern w:val="32"/>
          <w:sz w:val="28"/>
          <w:szCs w:val="32"/>
        </w:rPr>
      </w:pPr>
    </w:p>
    <w:p w:rsidR="003B41BD" w:rsidRDefault="003B41BD" w:rsidP="0047427B">
      <w:pPr>
        <w:pStyle w:val="Heading1"/>
        <w:spacing w:before="0" w:after="0"/>
      </w:pPr>
      <w:bookmarkStart w:id="83" w:name="_Toc326748718"/>
      <w:bookmarkStart w:id="84" w:name="_Toc407187230"/>
      <w:r w:rsidRPr="005F4C06">
        <w:t>Data collection procedure</w:t>
      </w:r>
      <w:bookmarkEnd w:id="83"/>
      <w:bookmarkEnd w:id="84"/>
      <w:r w:rsidR="00592934">
        <w:t xml:space="preserve"> </w:t>
      </w:r>
    </w:p>
    <w:p w:rsidR="00531917" w:rsidRPr="00531917" w:rsidRDefault="00531917" w:rsidP="0047427B"/>
    <w:p w:rsidR="003C5563" w:rsidRDefault="00F06184" w:rsidP="0047427B">
      <w:pPr>
        <w:pStyle w:val="Heading2"/>
        <w:numPr>
          <w:ilvl w:val="1"/>
          <w:numId w:val="29"/>
        </w:numPr>
        <w:spacing w:before="0" w:after="0"/>
      </w:pPr>
      <w:r>
        <w:t xml:space="preserve"> </w:t>
      </w:r>
      <w:bookmarkStart w:id="85" w:name="_Toc326748719"/>
      <w:bookmarkStart w:id="86" w:name="_Toc407187231"/>
      <w:r>
        <w:t>National Correspondent</w:t>
      </w:r>
      <w:bookmarkEnd w:id="85"/>
      <w:bookmarkEnd w:id="86"/>
    </w:p>
    <w:p w:rsidR="00531917" w:rsidRDefault="00531917" w:rsidP="00C00C37">
      <w:pPr>
        <w:autoSpaceDE w:val="0"/>
        <w:autoSpaceDN w:val="0"/>
        <w:adjustRightInd w:val="0"/>
        <w:jc w:val="both"/>
        <w:rPr>
          <w:rFonts w:ascii="Calibri" w:hAnsi="Calibri" w:cs="Calibri"/>
        </w:rPr>
      </w:pPr>
    </w:p>
    <w:p w:rsidR="00EB2510" w:rsidRPr="00D4451B" w:rsidRDefault="00DD4A46" w:rsidP="00C00C37">
      <w:pPr>
        <w:autoSpaceDE w:val="0"/>
        <w:autoSpaceDN w:val="0"/>
        <w:adjustRightInd w:val="0"/>
        <w:jc w:val="both"/>
        <w:rPr>
          <w:rFonts w:asciiTheme="minorHAnsi" w:hAnsiTheme="minorHAnsi" w:cstheme="minorHAnsi"/>
          <w:color w:val="000000"/>
        </w:rPr>
      </w:pPr>
      <w:r w:rsidRPr="00D4451B">
        <w:rPr>
          <w:rFonts w:ascii="Calibri" w:hAnsi="Calibri" w:cs="Calibri"/>
        </w:rPr>
        <w:t>Appointing a National Correspondent</w:t>
      </w:r>
      <w:r w:rsidR="00E27C87" w:rsidRPr="00D4451B">
        <w:rPr>
          <w:rFonts w:ascii="Calibri" w:hAnsi="Calibri" w:cs="Calibri"/>
        </w:rPr>
        <w:t xml:space="preserve"> (NC)</w:t>
      </w:r>
      <w:r w:rsidRPr="00D4451B">
        <w:rPr>
          <w:rFonts w:ascii="Calibri" w:hAnsi="Calibri" w:cs="Calibri"/>
        </w:rPr>
        <w:t xml:space="preserve"> is essential </w:t>
      </w:r>
      <w:r w:rsidR="003B41BD" w:rsidRPr="00D4451B">
        <w:rPr>
          <w:rFonts w:ascii="Calibri" w:hAnsi="Calibri" w:cs="Calibri"/>
        </w:rPr>
        <w:t xml:space="preserve">to maintain a clear line of communication between the Secretariat in Geneva and the Member states. </w:t>
      </w:r>
      <w:r w:rsidR="00F06184" w:rsidRPr="00F06184">
        <w:rPr>
          <w:rFonts w:asciiTheme="minorHAnsi" w:hAnsiTheme="minorHAnsi" w:cstheme="minorHAnsi"/>
          <w:color w:val="000000"/>
        </w:rPr>
        <w:t xml:space="preserve">It is not necessary or expected that the </w:t>
      </w:r>
      <w:r w:rsidR="00F06184">
        <w:rPr>
          <w:rFonts w:asciiTheme="minorHAnsi" w:hAnsiTheme="minorHAnsi" w:cstheme="minorHAnsi"/>
          <w:color w:val="000000"/>
        </w:rPr>
        <w:t>NC</w:t>
      </w:r>
      <w:r w:rsidR="00F06184" w:rsidRPr="00F06184">
        <w:rPr>
          <w:rFonts w:asciiTheme="minorHAnsi" w:hAnsiTheme="minorHAnsi" w:cstheme="minorHAnsi"/>
          <w:color w:val="000000"/>
        </w:rPr>
        <w:t xml:space="preserve"> personally provides all the data but that the correspondent brings all the data together.</w:t>
      </w:r>
      <w:r w:rsidR="00F06184">
        <w:rPr>
          <w:rFonts w:asciiTheme="minorHAnsi" w:hAnsiTheme="minorHAnsi" w:cstheme="minorHAnsi"/>
          <w:color w:val="000000"/>
        </w:rPr>
        <w:t xml:space="preserve"> </w:t>
      </w:r>
      <w:r w:rsidR="003B41BD" w:rsidRPr="001349F7">
        <w:rPr>
          <w:rFonts w:ascii="Calibri" w:hAnsi="Calibri" w:cs="Calibri"/>
        </w:rPr>
        <w:t xml:space="preserve">The </w:t>
      </w:r>
      <w:r w:rsidR="00E27C87">
        <w:rPr>
          <w:rFonts w:ascii="Calibri" w:hAnsi="Calibri" w:cs="Calibri"/>
        </w:rPr>
        <w:t>NC</w:t>
      </w:r>
      <w:r w:rsidR="003B41BD" w:rsidRPr="001349F7">
        <w:rPr>
          <w:rFonts w:ascii="Calibri" w:hAnsi="Calibri" w:cs="Calibri"/>
        </w:rPr>
        <w:t xml:space="preserve"> is </w:t>
      </w:r>
      <w:r w:rsidR="00F06184">
        <w:rPr>
          <w:rFonts w:ascii="Calibri" w:hAnsi="Calibri" w:cs="Calibri"/>
        </w:rPr>
        <w:t xml:space="preserve">therefore </w:t>
      </w:r>
      <w:r w:rsidR="003B41BD" w:rsidRPr="001349F7">
        <w:rPr>
          <w:rFonts w:ascii="Calibri" w:hAnsi="Calibri" w:cs="Calibri"/>
        </w:rPr>
        <w:t>encouraged to reach out to national specialists for specific data (e.g. solid/liquid processed wood fuels, energy or waste statistics, pellets associations, etc.) in order to collect the latest information on each commodity and use.</w:t>
      </w:r>
    </w:p>
    <w:p w:rsidR="00F06184" w:rsidRDefault="00F06184" w:rsidP="00C00C37">
      <w:pPr>
        <w:jc w:val="both"/>
        <w:rPr>
          <w:rFonts w:asciiTheme="minorHAnsi" w:hAnsiTheme="minorHAnsi" w:cstheme="minorHAnsi"/>
        </w:rPr>
      </w:pPr>
    </w:p>
    <w:p w:rsidR="00E27C87" w:rsidRPr="00D4451B" w:rsidRDefault="00E27C87" w:rsidP="00C00C37">
      <w:pPr>
        <w:jc w:val="both"/>
        <w:rPr>
          <w:rFonts w:asciiTheme="minorHAnsi" w:hAnsiTheme="minorHAnsi" w:cstheme="minorHAnsi"/>
        </w:rPr>
      </w:pPr>
      <w:r w:rsidRPr="00D4451B">
        <w:rPr>
          <w:rFonts w:asciiTheme="minorHAnsi" w:hAnsiTheme="minorHAnsi" w:cstheme="minorHAnsi"/>
        </w:rPr>
        <w:t xml:space="preserve">The main functions of the JWEE National </w:t>
      </w:r>
      <w:r w:rsidR="003B279D" w:rsidRPr="00D4451B">
        <w:rPr>
          <w:rFonts w:asciiTheme="minorHAnsi" w:hAnsiTheme="minorHAnsi" w:cstheme="minorHAnsi"/>
        </w:rPr>
        <w:t>Correspondent</w:t>
      </w:r>
      <w:r w:rsidRPr="00D4451B">
        <w:rPr>
          <w:rFonts w:asciiTheme="minorHAnsi" w:hAnsiTheme="minorHAnsi" w:cstheme="minorHAnsi"/>
        </w:rPr>
        <w:t xml:space="preserve"> are:</w:t>
      </w:r>
    </w:p>
    <w:p w:rsidR="00E27C87" w:rsidRPr="00D4451B" w:rsidRDefault="00E27C87" w:rsidP="00C00C37">
      <w:pPr>
        <w:pStyle w:val="ListParagraph"/>
        <w:numPr>
          <w:ilvl w:val="0"/>
          <w:numId w:val="28"/>
        </w:numPr>
        <w:autoSpaceDE w:val="0"/>
        <w:autoSpaceDN w:val="0"/>
        <w:adjustRightInd w:val="0"/>
        <w:jc w:val="both"/>
        <w:rPr>
          <w:rFonts w:asciiTheme="minorHAnsi" w:hAnsiTheme="minorHAnsi" w:cstheme="minorHAnsi"/>
          <w:color w:val="000000"/>
        </w:rPr>
      </w:pPr>
      <w:r w:rsidRPr="00D4451B">
        <w:rPr>
          <w:rFonts w:asciiTheme="minorHAnsi" w:hAnsiTheme="minorHAnsi" w:cstheme="minorHAnsi"/>
          <w:color w:val="000000"/>
        </w:rPr>
        <w:t xml:space="preserve">To oversee the collection and verification of data provided for the JWEE.  </w:t>
      </w:r>
    </w:p>
    <w:p w:rsidR="00E27C87" w:rsidRPr="00D4451B" w:rsidRDefault="00E27C87" w:rsidP="00C00C37">
      <w:pPr>
        <w:pStyle w:val="ListParagraph"/>
        <w:numPr>
          <w:ilvl w:val="1"/>
          <w:numId w:val="28"/>
        </w:numPr>
        <w:autoSpaceDE w:val="0"/>
        <w:autoSpaceDN w:val="0"/>
        <w:adjustRightInd w:val="0"/>
        <w:jc w:val="both"/>
        <w:rPr>
          <w:rFonts w:asciiTheme="minorHAnsi" w:hAnsiTheme="minorHAnsi" w:cstheme="minorHAnsi"/>
          <w:color w:val="000000"/>
        </w:rPr>
      </w:pPr>
      <w:proofErr w:type="gramStart"/>
      <w:r w:rsidRPr="00D4451B">
        <w:rPr>
          <w:rFonts w:asciiTheme="minorHAnsi" w:hAnsiTheme="minorHAnsi" w:cstheme="minorHAnsi"/>
          <w:color w:val="000000"/>
        </w:rPr>
        <w:t>coordinate</w:t>
      </w:r>
      <w:proofErr w:type="gramEnd"/>
      <w:r w:rsidRPr="00D4451B">
        <w:rPr>
          <w:rFonts w:asciiTheme="minorHAnsi" w:hAnsiTheme="minorHAnsi" w:cstheme="minorHAnsi"/>
          <w:color w:val="000000"/>
        </w:rPr>
        <w:t xml:space="preserve"> with different governmental and non-governmental groups (National Statistical Institute, Forestry Ministry, Energy Ministry, industry associations, and other interested groups).  </w:t>
      </w:r>
    </w:p>
    <w:p w:rsidR="00E27C87" w:rsidRPr="00D4451B" w:rsidRDefault="003B279D" w:rsidP="00C00C37">
      <w:pPr>
        <w:pStyle w:val="ListParagraph"/>
        <w:numPr>
          <w:ilvl w:val="1"/>
          <w:numId w:val="28"/>
        </w:numPr>
        <w:autoSpaceDE w:val="0"/>
        <w:autoSpaceDN w:val="0"/>
        <w:adjustRightInd w:val="0"/>
        <w:jc w:val="both"/>
        <w:rPr>
          <w:rFonts w:asciiTheme="minorHAnsi" w:hAnsiTheme="minorHAnsi" w:cstheme="minorHAnsi"/>
          <w:color w:val="000000"/>
        </w:rPr>
      </w:pPr>
      <w:proofErr w:type="gramStart"/>
      <w:r w:rsidRPr="00D4451B">
        <w:rPr>
          <w:rFonts w:asciiTheme="minorHAnsi" w:hAnsiTheme="minorHAnsi" w:cstheme="minorHAnsi"/>
          <w:color w:val="000000"/>
        </w:rPr>
        <w:t>understand</w:t>
      </w:r>
      <w:proofErr w:type="gramEnd"/>
      <w:r w:rsidR="00E27C87" w:rsidRPr="00D4451B">
        <w:rPr>
          <w:rFonts w:asciiTheme="minorHAnsi" w:hAnsiTheme="minorHAnsi" w:cstheme="minorHAnsi"/>
          <w:color w:val="000000"/>
        </w:rPr>
        <w:t xml:space="preserve"> the data and </w:t>
      </w:r>
      <w:r w:rsidR="00F06184">
        <w:rPr>
          <w:rFonts w:asciiTheme="minorHAnsi" w:hAnsiTheme="minorHAnsi" w:cstheme="minorHAnsi"/>
          <w:color w:val="000000"/>
        </w:rPr>
        <w:t>ensure the data is</w:t>
      </w:r>
      <w:r w:rsidR="00E27C87" w:rsidRPr="00D4451B">
        <w:rPr>
          <w:rFonts w:asciiTheme="minorHAnsi" w:hAnsiTheme="minorHAnsi" w:cstheme="minorHAnsi"/>
          <w:color w:val="000000"/>
        </w:rPr>
        <w:t xml:space="preserve"> coherent and in balance with known figures (e.g. electricity consumption or wood removals).  </w:t>
      </w:r>
    </w:p>
    <w:p w:rsidR="00E27C87" w:rsidRPr="00D4451B" w:rsidRDefault="00E27C87" w:rsidP="00C00C37">
      <w:pPr>
        <w:pStyle w:val="ListParagraph"/>
        <w:numPr>
          <w:ilvl w:val="0"/>
          <w:numId w:val="28"/>
        </w:numPr>
        <w:autoSpaceDE w:val="0"/>
        <w:autoSpaceDN w:val="0"/>
        <w:adjustRightInd w:val="0"/>
        <w:jc w:val="both"/>
        <w:rPr>
          <w:rFonts w:asciiTheme="minorHAnsi" w:hAnsiTheme="minorHAnsi" w:cstheme="minorHAnsi"/>
          <w:color w:val="000000"/>
        </w:rPr>
      </w:pPr>
      <w:r w:rsidRPr="00D4451B">
        <w:rPr>
          <w:rFonts w:asciiTheme="minorHAnsi" w:hAnsiTheme="minorHAnsi" w:cstheme="minorHAnsi"/>
          <w:color w:val="000000"/>
        </w:rPr>
        <w:t xml:space="preserve">To function as the key contact between the international secretariat and the various bodies bringing data together, replying to questions, providing feedback on questionnaire and process, and meeting deadlines. The correspondent is also expected to raise issues or difficulties, both directly with the secretariat and at international meetings to review the JWEE process (e.g. ECE/FAO Working Party). </w:t>
      </w:r>
    </w:p>
    <w:p w:rsidR="00E27C87" w:rsidRPr="00D4451B" w:rsidRDefault="007727D3" w:rsidP="00C00C37">
      <w:pPr>
        <w:pStyle w:val="ListParagraph"/>
        <w:numPr>
          <w:ilvl w:val="0"/>
          <w:numId w:val="28"/>
        </w:numPr>
        <w:autoSpaceDE w:val="0"/>
        <w:autoSpaceDN w:val="0"/>
        <w:adjustRightInd w:val="0"/>
        <w:jc w:val="both"/>
        <w:rPr>
          <w:rFonts w:asciiTheme="minorHAnsi" w:hAnsiTheme="minorHAnsi" w:cstheme="minorHAnsi"/>
          <w:color w:val="000000"/>
        </w:rPr>
      </w:pPr>
      <w:r w:rsidRPr="007727D3">
        <w:rPr>
          <w:rFonts w:asciiTheme="minorHAnsi" w:hAnsiTheme="minorHAnsi" w:cstheme="minorHAnsi"/>
          <w:color w:val="000000"/>
        </w:rPr>
        <w:t>To</w:t>
      </w:r>
      <w:r w:rsidR="00E27C87" w:rsidRPr="00D4451B">
        <w:rPr>
          <w:rFonts w:asciiTheme="minorHAnsi" w:hAnsiTheme="minorHAnsi" w:cstheme="minorHAnsi"/>
          <w:color w:val="000000"/>
        </w:rPr>
        <w:t xml:space="preserve"> use estimations </w:t>
      </w:r>
      <w:r>
        <w:rPr>
          <w:rFonts w:asciiTheme="minorHAnsi" w:hAnsiTheme="minorHAnsi" w:cstheme="minorHAnsi"/>
          <w:color w:val="000000"/>
        </w:rPr>
        <w:t>where official data is</w:t>
      </w:r>
      <w:r w:rsidRPr="00561237">
        <w:rPr>
          <w:rFonts w:asciiTheme="minorHAnsi" w:hAnsiTheme="minorHAnsi" w:cstheme="minorHAnsi"/>
          <w:color w:val="000000"/>
        </w:rPr>
        <w:t xml:space="preserve"> unavailable or unreliable </w:t>
      </w:r>
      <w:r w:rsidR="00E27C87" w:rsidRPr="00D4451B">
        <w:rPr>
          <w:rFonts w:asciiTheme="minorHAnsi" w:hAnsiTheme="minorHAnsi" w:cstheme="minorHAnsi"/>
          <w:color w:val="000000"/>
        </w:rPr>
        <w:t xml:space="preserve">and share these with the international secretariat.  Deviations from data standards should be explained (either directly in the questionnaire or in a side note), particularly where data do not cover the entire geographic area or trade sector.  </w:t>
      </w:r>
    </w:p>
    <w:p w:rsidR="00411136" w:rsidRDefault="00411136" w:rsidP="00C00C37">
      <w:pPr>
        <w:rPr>
          <w:rFonts w:ascii="Calibri" w:hAnsi="Calibri" w:cs="Calibri"/>
        </w:rPr>
      </w:pPr>
    </w:p>
    <w:p w:rsidR="00450CA5" w:rsidRDefault="00450CA5" w:rsidP="0047427B">
      <w:pPr>
        <w:pStyle w:val="Heading2"/>
        <w:spacing w:before="0" w:after="0"/>
      </w:pPr>
      <w:bookmarkStart w:id="87" w:name="_Toc336000534"/>
      <w:bookmarkStart w:id="88" w:name="_Toc407187232"/>
      <w:bookmarkStart w:id="89" w:name="_Toc326748720"/>
      <w:bookmarkEnd w:id="87"/>
      <w:r>
        <w:lastRenderedPageBreak/>
        <w:t>Suggestions on collecting data</w:t>
      </w:r>
      <w:bookmarkEnd w:id="88"/>
    </w:p>
    <w:p w:rsidR="00450CA5" w:rsidRPr="0047427B" w:rsidRDefault="00450CA5" w:rsidP="0047427B">
      <w:pPr>
        <w:autoSpaceDE w:val="0"/>
        <w:autoSpaceDN w:val="0"/>
        <w:adjustRightInd w:val="0"/>
        <w:jc w:val="both"/>
        <w:rPr>
          <w:rFonts w:ascii="Calibri" w:hAnsi="Calibri" w:cs="Calibri"/>
        </w:rPr>
      </w:pPr>
    </w:p>
    <w:p w:rsidR="00450CA5" w:rsidRDefault="00450CA5" w:rsidP="0047427B">
      <w:pPr>
        <w:autoSpaceDE w:val="0"/>
        <w:autoSpaceDN w:val="0"/>
        <w:adjustRightInd w:val="0"/>
        <w:jc w:val="both"/>
        <w:rPr>
          <w:rFonts w:ascii="Calibri" w:hAnsi="Calibri" w:cs="Calibri"/>
        </w:rPr>
      </w:pPr>
      <w:r>
        <w:rPr>
          <w:rFonts w:ascii="Calibri" w:hAnsi="Calibri" w:cs="Calibri"/>
        </w:rPr>
        <w:t>A common issue is the difficulty on finding data that are not generally available.</w:t>
      </w:r>
      <w:r w:rsidR="007448F6">
        <w:rPr>
          <w:rFonts w:ascii="Calibri" w:hAnsi="Calibri" w:cs="Calibri"/>
        </w:rPr>
        <w:t xml:space="preserve">  Correspondents at the 2012 Paris workshop</w:t>
      </w:r>
      <w:r w:rsidR="007448F6">
        <w:rPr>
          <w:rStyle w:val="FootnoteReference"/>
          <w:rFonts w:ascii="Calibri" w:hAnsi="Calibri" w:cs="Calibri"/>
        </w:rPr>
        <w:footnoteReference w:id="6"/>
      </w:r>
      <w:r w:rsidR="007448F6">
        <w:rPr>
          <w:rFonts w:ascii="Calibri" w:hAnsi="Calibri" w:cs="Calibri"/>
        </w:rPr>
        <w:t xml:space="preserve"> discussed a number of different approaches facilitating the collection of data. These include the use of household survey data to estimate </w:t>
      </w:r>
      <w:proofErr w:type="spellStart"/>
      <w:r w:rsidR="007448F6">
        <w:rPr>
          <w:rFonts w:ascii="Calibri" w:hAnsi="Calibri" w:cs="Calibri"/>
        </w:rPr>
        <w:t>fuelwood</w:t>
      </w:r>
      <w:proofErr w:type="spellEnd"/>
      <w:r w:rsidR="007448F6">
        <w:rPr>
          <w:rFonts w:ascii="Calibri" w:hAnsi="Calibri" w:cs="Calibri"/>
        </w:rPr>
        <w:t xml:space="preserve"> use, contacting pellet producers or associations and working with energy </w:t>
      </w:r>
      <w:r w:rsidR="00E86AC4">
        <w:rPr>
          <w:rFonts w:ascii="Calibri" w:hAnsi="Calibri" w:cs="Calibri"/>
        </w:rPr>
        <w:t xml:space="preserve">information </w:t>
      </w:r>
      <w:r w:rsidR="007448F6">
        <w:rPr>
          <w:rFonts w:ascii="Calibri" w:hAnsi="Calibri" w:cs="Calibri"/>
        </w:rPr>
        <w:t xml:space="preserve">networks.  Special studies could also be carried out with support from other actors. </w:t>
      </w:r>
      <w:r w:rsidR="00E86AC4">
        <w:rPr>
          <w:rFonts w:ascii="Calibri" w:hAnsi="Calibri" w:cs="Calibri"/>
        </w:rPr>
        <w:t>Frequently persistence and repeated contacts result in improved information.</w:t>
      </w:r>
      <w:r w:rsidR="007448F6">
        <w:rPr>
          <w:rFonts w:ascii="Calibri" w:hAnsi="Calibri" w:cs="Calibri"/>
        </w:rPr>
        <w:t xml:space="preserve"> </w:t>
      </w:r>
    </w:p>
    <w:p w:rsidR="00450CA5" w:rsidRPr="0047427B" w:rsidRDefault="00450CA5" w:rsidP="0047427B">
      <w:pPr>
        <w:autoSpaceDE w:val="0"/>
        <w:autoSpaceDN w:val="0"/>
        <w:adjustRightInd w:val="0"/>
        <w:jc w:val="both"/>
        <w:rPr>
          <w:rFonts w:ascii="Calibri" w:hAnsi="Calibri" w:cs="Calibri"/>
        </w:rPr>
      </w:pPr>
    </w:p>
    <w:p w:rsidR="00450CA5" w:rsidRPr="0047427B" w:rsidRDefault="00450CA5" w:rsidP="0047427B">
      <w:pPr>
        <w:autoSpaceDE w:val="0"/>
        <w:autoSpaceDN w:val="0"/>
        <w:adjustRightInd w:val="0"/>
        <w:jc w:val="both"/>
        <w:rPr>
          <w:rFonts w:ascii="Calibri" w:hAnsi="Calibri" w:cs="Calibri"/>
        </w:rPr>
      </w:pPr>
      <w:r>
        <w:rPr>
          <w:rFonts w:ascii="Calibri" w:hAnsi="Calibri" w:cs="Calibri"/>
        </w:rPr>
        <w:t>The 2012 wood energy workshop in Paris invited</w:t>
      </w:r>
      <w:r w:rsidRPr="0047427B">
        <w:rPr>
          <w:rFonts w:ascii="Calibri" w:hAnsi="Calibri" w:cs="Calibri"/>
        </w:rPr>
        <w:t>:</w:t>
      </w:r>
    </w:p>
    <w:p w:rsidR="00450CA5" w:rsidRPr="0047427B" w:rsidRDefault="00450CA5" w:rsidP="0047427B">
      <w:pPr>
        <w:autoSpaceDE w:val="0"/>
        <w:autoSpaceDN w:val="0"/>
        <w:adjustRightInd w:val="0"/>
        <w:jc w:val="both"/>
        <w:rPr>
          <w:rFonts w:ascii="Calibri" w:hAnsi="Calibri" w:cs="Calibri"/>
        </w:rPr>
      </w:pPr>
    </w:p>
    <w:p w:rsidR="00450CA5" w:rsidRPr="0047427B" w:rsidRDefault="00E86AC4" w:rsidP="0047427B">
      <w:pPr>
        <w:pStyle w:val="ListParagraph"/>
        <w:numPr>
          <w:ilvl w:val="0"/>
          <w:numId w:val="33"/>
        </w:numPr>
        <w:autoSpaceDE w:val="0"/>
        <w:autoSpaceDN w:val="0"/>
        <w:adjustRightInd w:val="0"/>
        <w:jc w:val="both"/>
        <w:rPr>
          <w:rFonts w:ascii="Calibri" w:hAnsi="Calibri" w:cs="Calibri"/>
        </w:rPr>
      </w:pPr>
      <w:r>
        <w:rPr>
          <w:rFonts w:ascii="Calibri" w:hAnsi="Calibri" w:cs="Calibri"/>
        </w:rPr>
        <w:t>Member states to e</w:t>
      </w:r>
      <w:r w:rsidR="00450CA5" w:rsidRPr="0047427B">
        <w:rPr>
          <w:rFonts w:ascii="Calibri" w:hAnsi="Calibri" w:cs="Calibri"/>
        </w:rPr>
        <w:t>stablish a national network or working group of wood energy experts. To this end, they should:</w:t>
      </w:r>
    </w:p>
    <w:p w:rsidR="00450CA5" w:rsidRPr="0047427B" w:rsidRDefault="00450CA5" w:rsidP="0047427B">
      <w:pPr>
        <w:pStyle w:val="ListParagraph"/>
        <w:numPr>
          <w:ilvl w:val="1"/>
          <w:numId w:val="33"/>
        </w:numPr>
        <w:autoSpaceDE w:val="0"/>
        <w:autoSpaceDN w:val="0"/>
        <w:adjustRightInd w:val="0"/>
        <w:jc w:val="both"/>
        <w:rPr>
          <w:rFonts w:ascii="Calibri" w:hAnsi="Calibri" w:cs="Calibri"/>
        </w:rPr>
      </w:pPr>
      <w:r w:rsidRPr="0047427B">
        <w:rPr>
          <w:rFonts w:ascii="Calibri" w:hAnsi="Calibri" w:cs="Calibri"/>
        </w:rPr>
        <w:t>Identify the right person to be appointed as national correspondent;</w:t>
      </w:r>
    </w:p>
    <w:p w:rsidR="00450CA5" w:rsidRPr="0047427B" w:rsidRDefault="00450CA5" w:rsidP="0047427B">
      <w:pPr>
        <w:pStyle w:val="ListParagraph"/>
        <w:numPr>
          <w:ilvl w:val="1"/>
          <w:numId w:val="33"/>
        </w:numPr>
        <w:autoSpaceDE w:val="0"/>
        <w:autoSpaceDN w:val="0"/>
        <w:adjustRightInd w:val="0"/>
        <w:jc w:val="both"/>
        <w:rPr>
          <w:rFonts w:ascii="Calibri" w:hAnsi="Calibri" w:cs="Calibri"/>
        </w:rPr>
      </w:pPr>
      <w:r w:rsidRPr="0047427B">
        <w:rPr>
          <w:rFonts w:ascii="Calibri" w:hAnsi="Calibri" w:cs="Calibri"/>
        </w:rPr>
        <w:t>Use informal methods for initiating contact with stakeholders;</w:t>
      </w:r>
    </w:p>
    <w:p w:rsidR="00450CA5" w:rsidRPr="0047427B" w:rsidRDefault="00450CA5" w:rsidP="0047427B">
      <w:pPr>
        <w:pStyle w:val="ListParagraph"/>
        <w:numPr>
          <w:ilvl w:val="1"/>
          <w:numId w:val="33"/>
        </w:numPr>
        <w:autoSpaceDE w:val="0"/>
        <w:autoSpaceDN w:val="0"/>
        <w:adjustRightInd w:val="0"/>
        <w:jc w:val="both"/>
        <w:rPr>
          <w:rFonts w:ascii="Calibri" w:hAnsi="Calibri" w:cs="Calibri"/>
        </w:rPr>
      </w:pPr>
      <w:r w:rsidRPr="0047427B">
        <w:rPr>
          <w:rFonts w:ascii="Calibri" w:hAnsi="Calibri" w:cs="Calibri"/>
        </w:rPr>
        <w:t>Conduct a “mapping exercise” to identify relevant institutions and actors;</w:t>
      </w:r>
      <w:r>
        <w:rPr>
          <w:rFonts w:ascii="Calibri" w:hAnsi="Calibri" w:cs="Calibri"/>
        </w:rPr>
        <w:t xml:space="preserve"> this includes but is not limited to national statistical institutions, energy agencies, forestry agencies, wood and biomass energy associations, trade federations, </w:t>
      </w:r>
      <w:proofErr w:type="gramStart"/>
      <w:r>
        <w:rPr>
          <w:rFonts w:ascii="Calibri" w:hAnsi="Calibri" w:cs="Calibri"/>
        </w:rPr>
        <w:t>the</w:t>
      </w:r>
      <w:proofErr w:type="gramEnd"/>
      <w:r>
        <w:rPr>
          <w:rFonts w:ascii="Calibri" w:hAnsi="Calibri" w:cs="Calibri"/>
        </w:rPr>
        <w:t xml:space="preserve"> academic community and energy users.</w:t>
      </w:r>
    </w:p>
    <w:p w:rsidR="00450CA5" w:rsidRPr="0047427B" w:rsidRDefault="00450CA5" w:rsidP="0047427B">
      <w:pPr>
        <w:pStyle w:val="ListParagraph"/>
        <w:numPr>
          <w:ilvl w:val="0"/>
          <w:numId w:val="33"/>
        </w:numPr>
        <w:autoSpaceDE w:val="0"/>
        <w:autoSpaceDN w:val="0"/>
        <w:adjustRightInd w:val="0"/>
        <w:jc w:val="both"/>
        <w:rPr>
          <w:rFonts w:ascii="Calibri" w:hAnsi="Calibri" w:cs="Calibri"/>
        </w:rPr>
      </w:pPr>
      <w:r>
        <w:rPr>
          <w:rFonts w:ascii="Calibri" w:hAnsi="Calibri" w:cs="Calibri"/>
        </w:rPr>
        <w:t xml:space="preserve">First-time respondents to provide </w:t>
      </w:r>
      <w:r w:rsidRPr="0047427B">
        <w:rPr>
          <w:rFonts w:ascii="Calibri" w:hAnsi="Calibri" w:cs="Calibri"/>
        </w:rPr>
        <w:t>minimal data to JWEE</w:t>
      </w:r>
      <w:r>
        <w:rPr>
          <w:rFonts w:ascii="Calibri" w:hAnsi="Calibri" w:cs="Calibri"/>
        </w:rPr>
        <w:t xml:space="preserve"> rather than seeking to complete all parts</w:t>
      </w:r>
      <w:r w:rsidRPr="0047427B">
        <w:rPr>
          <w:rFonts w:ascii="Calibri" w:hAnsi="Calibri" w:cs="Calibri"/>
        </w:rPr>
        <w:t>;</w:t>
      </w:r>
    </w:p>
    <w:p w:rsidR="00450CA5" w:rsidRPr="0047427B" w:rsidRDefault="00450CA5" w:rsidP="0047427B">
      <w:pPr>
        <w:pStyle w:val="ListParagraph"/>
        <w:numPr>
          <w:ilvl w:val="0"/>
          <w:numId w:val="33"/>
        </w:numPr>
        <w:autoSpaceDE w:val="0"/>
        <w:autoSpaceDN w:val="0"/>
        <w:adjustRightInd w:val="0"/>
        <w:jc w:val="both"/>
        <w:rPr>
          <w:rFonts w:ascii="Calibri" w:hAnsi="Calibri" w:cs="Calibri"/>
        </w:rPr>
      </w:pPr>
      <w:r w:rsidRPr="0047427B">
        <w:rPr>
          <w:rFonts w:ascii="Calibri" w:hAnsi="Calibri" w:cs="Calibri"/>
        </w:rPr>
        <w:t>EU member</w:t>
      </w:r>
      <w:r w:rsidR="00E86AC4">
        <w:rPr>
          <w:rFonts w:ascii="Calibri" w:hAnsi="Calibri" w:cs="Calibri"/>
        </w:rPr>
        <w:t xml:space="preserve"> states</w:t>
      </w:r>
      <w:r w:rsidRPr="0047427B">
        <w:rPr>
          <w:rFonts w:ascii="Calibri" w:hAnsi="Calibri" w:cs="Calibri"/>
        </w:rPr>
        <w:t xml:space="preserve"> </w:t>
      </w:r>
      <w:r w:rsidR="00E86AC4">
        <w:rPr>
          <w:rFonts w:ascii="Calibri" w:hAnsi="Calibri" w:cs="Calibri"/>
        </w:rPr>
        <w:t>to</w:t>
      </w:r>
      <w:r w:rsidRPr="0047427B">
        <w:rPr>
          <w:rFonts w:ascii="Calibri" w:hAnsi="Calibri" w:cs="Calibri"/>
        </w:rPr>
        <w:t xml:space="preserve"> get in touch with the authorities providing data for NREAP progress reports.</w:t>
      </w:r>
    </w:p>
    <w:p w:rsidR="00450CA5" w:rsidRPr="0047427B" w:rsidRDefault="00411136" w:rsidP="0047427B">
      <w:pPr>
        <w:autoSpaceDE w:val="0"/>
        <w:autoSpaceDN w:val="0"/>
        <w:adjustRightInd w:val="0"/>
        <w:jc w:val="both"/>
        <w:rPr>
          <w:rFonts w:ascii="Calibri" w:hAnsi="Calibri" w:cs="Calibri"/>
        </w:rPr>
      </w:pPr>
      <w:r w:rsidRPr="0047427B">
        <w:rPr>
          <w:rFonts w:ascii="Calibri" w:hAnsi="Calibri" w:cs="Calibri"/>
        </w:rPr>
        <w:t xml:space="preserve"> </w:t>
      </w:r>
    </w:p>
    <w:p w:rsidR="00E27C87" w:rsidRDefault="00411136" w:rsidP="0047427B">
      <w:pPr>
        <w:pStyle w:val="Heading2"/>
        <w:spacing w:before="0" w:after="0"/>
      </w:pPr>
      <w:bookmarkStart w:id="90" w:name="_Toc407187233"/>
      <w:r>
        <w:t>Communication</w:t>
      </w:r>
      <w:bookmarkEnd w:id="89"/>
      <w:bookmarkEnd w:id="90"/>
    </w:p>
    <w:p w:rsidR="00531917" w:rsidRPr="00531917" w:rsidRDefault="00531917" w:rsidP="0047427B"/>
    <w:p w:rsidR="007448F6" w:rsidRDefault="00411136" w:rsidP="007448F6">
      <w:pPr>
        <w:jc w:val="both"/>
        <w:rPr>
          <w:rFonts w:ascii="Calibri" w:hAnsi="Calibri" w:cs="Calibri"/>
        </w:rPr>
      </w:pPr>
      <w:r>
        <w:rPr>
          <w:rFonts w:ascii="Calibri" w:hAnsi="Calibri" w:cs="Calibri"/>
        </w:rPr>
        <w:t>As mentioned above, t</w:t>
      </w:r>
      <w:r w:rsidRPr="00411136">
        <w:rPr>
          <w:rFonts w:ascii="Calibri" w:hAnsi="Calibri" w:cs="Calibri"/>
        </w:rPr>
        <w:t xml:space="preserve">he NC is invited to consult with any </w:t>
      </w:r>
      <w:r>
        <w:rPr>
          <w:rFonts w:ascii="Calibri" w:hAnsi="Calibri" w:cs="Calibri"/>
        </w:rPr>
        <w:t>expert</w:t>
      </w:r>
      <w:r w:rsidRPr="00411136">
        <w:rPr>
          <w:rFonts w:ascii="Calibri" w:hAnsi="Calibri" w:cs="Calibri"/>
        </w:rPr>
        <w:t xml:space="preserve"> at </w:t>
      </w:r>
      <w:r w:rsidR="007448F6">
        <w:rPr>
          <w:rFonts w:ascii="Calibri" w:hAnsi="Calibri" w:cs="Calibri"/>
        </w:rPr>
        <w:t xml:space="preserve">the </w:t>
      </w:r>
      <w:r w:rsidRPr="00411136">
        <w:rPr>
          <w:rFonts w:ascii="Calibri" w:hAnsi="Calibri" w:cs="Calibri"/>
        </w:rPr>
        <w:t>national level to find required information.</w:t>
      </w:r>
      <w:r>
        <w:rPr>
          <w:rFonts w:ascii="Calibri" w:hAnsi="Calibri" w:cs="Calibri"/>
        </w:rPr>
        <w:t xml:space="preserve"> </w:t>
      </w:r>
      <w:r w:rsidR="007448F6">
        <w:rPr>
          <w:rFonts w:ascii="Calibri" w:hAnsi="Calibri" w:cs="Calibri"/>
        </w:rPr>
        <w:t xml:space="preserve">Should it be difficult to reach out to national contacts, we would be pleased to provide our support to </w:t>
      </w:r>
      <w:r w:rsidR="00E86AC4">
        <w:rPr>
          <w:rFonts w:ascii="Calibri" w:hAnsi="Calibri" w:cs="Calibri"/>
        </w:rPr>
        <w:t xml:space="preserve">identify and </w:t>
      </w:r>
      <w:r w:rsidR="007448F6">
        <w:rPr>
          <w:rFonts w:ascii="Calibri" w:hAnsi="Calibri" w:cs="Calibri"/>
        </w:rPr>
        <w:t>facilitate the necessary contacts.</w:t>
      </w:r>
    </w:p>
    <w:p w:rsidR="007448F6" w:rsidRDefault="007448F6" w:rsidP="00C00C37">
      <w:pPr>
        <w:jc w:val="both"/>
        <w:rPr>
          <w:rFonts w:ascii="Calibri" w:hAnsi="Calibri" w:cs="Calibri"/>
        </w:rPr>
      </w:pPr>
    </w:p>
    <w:p w:rsidR="007B1804" w:rsidRDefault="00411136" w:rsidP="0047427B">
      <w:pPr>
        <w:jc w:val="both"/>
        <w:rPr>
          <w:rFonts w:ascii="Calibri" w:hAnsi="Calibri" w:cs="Calibri"/>
        </w:rPr>
      </w:pPr>
      <w:r w:rsidRPr="00411136">
        <w:rPr>
          <w:rFonts w:ascii="Calibri" w:hAnsi="Calibri" w:cs="Calibri"/>
        </w:rPr>
        <w:t xml:space="preserve">The secretariat may directly inform national </w:t>
      </w:r>
      <w:r>
        <w:rPr>
          <w:rFonts w:ascii="Calibri" w:hAnsi="Calibri" w:cs="Calibri"/>
        </w:rPr>
        <w:t xml:space="preserve">experts or </w:t>
      </w:r>
      <w:r w:rsidRPr="00411136">
        <w:rPr>
          <w:rFonts w:ascii="Calibri" w:hAnsi="Calibri" w:cs="Calibri"/>
        </w:rPr>
        <w:t xml:space="preserve">specialists about the enquiry based on the networks and contacts made in all relevant sectors. The secretariat will inform any specialist who has been contacted directly that </w:t>
      </w:r>
      <w:r w:rsidR="003C3397">
        <w:rPr>
          <w:rFonts w:ascii="Calibri" w:hAnsi="Calibri" w:cs="Calibri"/>
        </w:rPr>
        <w:t>information</w:t>
      </w:r>
      <w:r w:rsidR="003C3397" w:rsidRPr="00411136">
        <w:rPr>
          <w:rFonts w:ascii="Calibri" w:hAnsi="Calibri" w:cs="Calibri"/>
        </w:rPr>
        <w:t xml:space="preserve"> </w:t>
      </w:r>
      <w:r w:rsidRPr="00411136">
        <w:rPr>
          <w:rFonts w:ascii="Calibri" w:hAnsi="Calibri" w:cs="Calibri"/>
        </w:rPr>
        <w:t xml:space="preserve">should </w:t>
      </w:r>
      <w:r w:rsidR="003C3397">
        <w:rPr>
          <w:rFonts w:ascii="Calibri" w:hAnsi="Calibri" w:cs="Calibri"/>
        </w:rPr>
        <w:t xml:space="preserve">be </w:t>
      </w:r>
      <w:r w:rsidRPr="00411136">
        <w:rPr>
          <w:rFonts w:ascii="Calibri" w:hAnsi="Calibri" w:cs="Calibri"/>
        </w:rPr>
        <w:t>provide</w:t>
      </w:r>
      <w:r w:rsidR="003C3397">
        <w:rPr>
          <w:rFonts w:ascii="Calibri" w:hAnsi="Calibri" w:cs="Calibri"/>
        </w:rPr>
        <w:t>d</w:t>
      </w:r>
      <w:r w:rsidRPr="00411136">
        <w:rPr>
          <w:rFonts w:ascii="Calibri" w:hAnsi="Calibri" w:cs="Calibri"/>
        </w:rPr>
        <w:t xml:space="preserve"> via the NC. Where possible</w:t>
      </w:r>
      <w:r w:rsidR="007448F6">
        <w:rPr>
          <w:rFonts w:ascii="Calibri" w:hAnsi="Calibri" w:cs="Calibri"/>
        </w:rPr>
        <w:t>,</w:t>
      </w:r>
      <w:r w:rsidRPr="00411136">
        <w:rPr>
          <w:rFonts w:ascii="Calibri" w:hAnsi="Calibri" w:cs="Calibri"/>
        </w:rPr>
        <w:t xml:space="preserve"> the secretariat will inform NCs about each directly contacted expert. This may not always be possible due to confidentiality reasons of some networks (e.g. national correspondents of the International Energy Agency). The secretariat will ask the NC for approval for any d</w:t>
      </w:r>
      <w:r w:rsidR="001836F6">
        <w:rPr>
          <w:rFonts w:ascii="Calibri" w:hAnsi="Calibri" w:cs="Calibri"/>
        </w:rPr>
        <w:t>ata not being sent through them</w:t>
      </w:r>
      <w:r w:rsidRPr="00411136">
        <w:rPr>
          <w:rFonts w:ascii="Calibri" w:hAnsi="Calibri" w:cs="Calibri"/>
        </w:rPr>
        <w:t>.</w:t>
      </w:r>
      <w:r w:rsidR="007B1804" w:rsidRPr="001349F7">
        <w:rPr>
          <w:rFonts w:ascii="Calibri" w:hAnsi="Calibri" w:cs="Calibri"/>
        </w:rPr>
        <w:t xml:space="preserve"> </w:t>
      </w:r>
      <w:bookmarkStart w:id="91" w:name="_Toc325896188"/>
      <w:bookmarkStart w:id="92" w:name="_Toc325899221"/>
      <w:bookmarkStart w:id="93" w:name="_Toc325899656"/>
      <w:bookmarkStart w:id="94" w:name="_Toc325903048"/>
      <w:bookmarkStart w:id="95" w:name="_Toc325909646"/>
      <w:bookmarkStart w:id="96" w:name="_Toc325909779"/>
      <w:bookmarkStart w:id="97" w:name="_Toc325909862"/>
      <w:bookmarkStart w:id="98" w:name="_Toc325909939"/>
      <w:bookmarkStart w:id="99" w:name="_Toc325973797"/>
      <w:bookmarkStart w:id="100" w:name="_Toc325973827"/>
      <w:bookmarkStart w:id="101" w:name="_Toc326048957"/>
      <w:bookmarkEnd w:id="91"/>
      <w:bookmarkEnd w:id="92"/>
      <w:bookmarkEnd w:id="93"/>
      <w:bookmarkEnd w:id="94"/>
      <w:bookmarkEnd w:id="95"/>
      <w:bookmarkEnd w:id="96"/>
      <w:bookmarkEnd w:id="97"/>
      <w:bookmarkEnd w:id="98"/>
      <w:bookmarkEnd w:id="99"/>
      <w:bookmarkEnd w:id="100"/>
      <w:bookmarkEnd w:id="101"/>
    </w:p>
    <w:p w:rsidR="00450CA5" w:rsidRDefault="00450CA5" w:rsidP="0047427B">
      <w:pPr>
        <w:jc w:val="both"/>
        <w:rPr>
          <w:rFonts w:ascii="Calibri" w:hAnsi="Calibri" w:cs="Calibri"/>
        </w:rPr>
      </w:pPr>
    </w:p>
    <w:p w:rsidR="00531917" w:rsidRDefault="00531917" w:rsidP="0047427B">
      <w:pPr>
        <w:jc w:val="both"/>
        <w:rPr>
          <w:rFonts w:ascii="Calibri" w:hAnsi="Calibri" w:cs="Calibri"/>
        </w:rPr>
      </w:pPr>
    </w:p>
    <w:bookmarkStart w:id="102" w:name="_Toc326851113"/>
    <w:bookmarkStart w:id="103" w:name="_Toc326851446"/>
    <w:p w:rsidR="003C042F" w:rsidRDefault="002031B3" w:rsidP="00D962CC">
      <w:r>
        <w:rPr>
          <w:b/>
          <w:bCs/>
          <w:noProof/>
          <w:lang w:val="en-GB" w:eastAsia="en-GB"/>
        </w:rPr>
        <w:lastRenderedPageBreak/>
        <mc:AlternateContent>
          <mc:Choice Requires="wps">
            <w:drawing>
              <wp:anchor distT="0" distB="0" distL="114300" distR="114300" simplePos="0" relativeHeight="251666944" behindDoc="0" locked="0" layoutInCell="1" allowOverlap="1" wp14:anchorId="6A3469E0" wp14:editId="77CEAE68">
                <wp:simplePos x="0" y="0"/>
                <wp:positionH relativeFrom="column">
                  <wp:posOffset>299720</wp:posOffset>
                </wp:positionH>
                <wp:positionV relativeFrom="paragraph">
                  <wp:posOffset>4264882</wp:posOffset>
                </wp:positionV>
                <wp:extent cx="5177155" cy="635"/>
                <wp:effectExtent l="0" t="0" r="4445" b="6985"/>
                <wp:wrapNone/>
                <wp:docPr id="53" name="Text Box 53"/>
                <wp:cNvGraphicFramePr/>
                <a:graphic xmlns:a="http://schemas.openxmlformats.org/drawingml/2006/main">
                  <a:graphicData uri="http://schemas.microsoft.com/office/word/2010/wordprocessingShape">
                    <wps:wsp>
                      <wps:cNvSpPr txBox="1"/>
                      <wps:spPr>
                        <a:xfrm>
                          <a:off x="0" y="0"/>
                          <a:ext cx="5177155" cy="635"/>
                        </a:xfrm>
                        <a:prstGeom prst="rect">
                          <a:avLst/>
                        </a:prstGeom>
                        <a:solidFill>
                          <a:prstClr val="white"/>
                        </a:solidFill>
                        <a:ln>
                          <a:noFill/>
                        </a:ln>
                        <a:effectLst/>
                      </wps:spPr>
                      <wps:txbx>
                        <w:txbxContent>
                          <w:p w:rsidR="00F12CE8" w:rsidRPr="00F10C0A" w:rsidRDefault="00F12CE8" w:rsidP="00D4451B">
                            <w:pPr>
                              <w:pStyle w:val="Caption"/>
                              <w:jc w:val="both"/>
                              <w:rPr>
                                <w:rFonts w:ascii="Times New Roman" w:hAnsi="Times New Roman"/>
                                <w:noProof/>
                                <w:sz w:val="24"/>
                                <w:szCs w:val="24"/>
                              </w:rPr>
                            </w:pPr>
                            <w:bookmarkStart w:id="104" w:name="_Toc326679968"/>
                            <w:bookmarkStart w:id="105" w:name="_Toc326851295"/>
                            <w:bookmarkStart w:id="106" w:name="_Toc326851299"/>
                            <w:bookmarkStart w:id="107" w:name="_Toc326851349"/>
                            <w:bookmarkStart w:id="108" w:name="_Toc326851385"/>
                            <w:bookmarkStart w:id="109" w:name="_Toc326851389"/>
                            <w:bookmarkStart w:id="110" w:name="_Toc326851470"/>
                            <w:bookmarkStart w:id="111" w:name="_Toc407187235"/>
                            <w:r w:rsidRPr="00EE0E3F">
                              <w:t xml:space="preserve">Figure </w:t>
                            </w:r>
                            <w:r w:rsidR="002B2777">
                              <w:fldChar w:fldCharType="begin"/>
                            </w:r>
                            <w:r w:rsidR="002B2777">
                              <w:instrText xml:space="preserve"> SEQ Figure \* ARABIC </w:instrText>
                            </w:r>
                            <w:r w:rsidR="002B2777">
                              <w:fldChar w:fldCharType="separate"/>
                            </w:r>
                            <w:r w:rsidRPr="00EE0E3F">
                              <w:rPr>
                                <w:noProof/>
                              </w:rPr>
                              <w:t>2</w:t>
                            </w:r>
                            <w:r w:rsidR="002B2777">
                              <w:rPr>
                                <w:noProof/>
                              </w:rPr>
                              <w:fldChar w:fldCharType="end"/>
                            </w:r>
                            <w:r w:rsidRPr="00EE0E3F">
                              <w:t>: Data collection procedure</w:t>
                            </w:r>
                            <w:bookmarkEnd w:id="104"/>
                            <w:bookmarkEnd w:id="105"/>
                            <w:bookmarkEnd w:id="106"/>
                            <w:bookmarkEnd w:id="107"/>
                            <w:bookmarkEnd w:id="108"/>
                            <w:bookmarkEnd w:id="109"/>
                            <w:bookmarkEnd w:id="110"/>
                            <w:bookmarkEnd w:id="111"/>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23.6pt;margin-top:335.8pt;width:407.65pt;height:.05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" stroked="f">
                <v:textbox style="mso-fit-shape-to-text:t" inset="0,0,0,0">
                  <w:txbxContent>
                    <w:p w:rsidR="00F12CE8" w:rsidRPr="00F10C0A" w:rsidRDefault="00F12CE8" w:rsidP="00D4451B">
                      <w:pPr>
                        <w:pStyle w:val="Caption"/>
                        <w:jc w:val="both"/>
                        <w:rPr>
                          <w:rFonts w:ascii="Times New Roman" w:hAnsi="Times New Roman"/>
                          <w:noProof/>
                          <w:sz w:val="24"/>
                          <w:szCs w:val="24"/>
                        </w:rPr>
                      </w:pPr>
                      <w:bookmarkStart w:id="112" w:name="_Toc326679968"/>
                      <w:bookmarkStart w:id="113" w:name="_Toc326851295"/>
                      <w:bookmarkStart w:id="114" w:name="_Toc326851299"/>
                      <w:bookmarkStart w:id="115" w:name="_Toc326851349"/>
                      <w:bookmarkStart w:id="116" w:name="_Toc326851385"/>
                      <w:bookmarkStart w:id="117" w:name="_Toc326851389"/>
                      <w:bookmarkStart w:id="118" w:name="_Toc326851470"/>
                      <w:bookmarkStart w:id="119" w:name="_Toc407187235"/>
                      <w:r w:rsidRPr="00EE0E3F">
                        <w:t xml:space="preserve">Figure </w:t>
                      </w:r>
                      <w:fldSimple w:instr=" SEQ Figure \* ARABIC ">
                        <w:r w:rsidRPr="00EE0E3F">
                          <w:rPr>
                            <w:noProof/>
                          </w:rPr>
                          <w:t>2</w:t>
                        </w:r>
                      </w:fldSimple>
                      <w:r w:rsidRPr="00EE0E3F">
                        <w:t>: Data collection procedure</w:t>
                      </w:r>
                      <w:bookmarkEnd w:id="112"/>
                      <w:bookmarkEnd w:id="113"/>
                      <w:bookmarkEnd w:id="114"/>
                      <w:bookmarkEnd w:id="115"/>
                      <w:bookmarkEnd w:id="116"/>
                      <w:bookmarkEnd w:id="117"/>
                      <w:bookmarkEnd w:id="118"/>
                      <w:bookmarkEnd w:id="119"/>
                    </w:p>
                  </w:txbxContent>
                </v:textbox>
              </v:shape>
            </w:pict>
          </mc:Fallback>
        </mc:AlternateContent>
      </w:r>
      <w:r w:rsidRPr="00D4451B">
        <w:rPr>
          <w:noProof/>
          <w:lang w:val="en-GB" w:eastAsia="en-GB"/>
        </w:rPr>
        <w:drawing>
          <wp:inline distT="0" distB="0" distL="0" distR="0" wp14:anchorId="4F05CB89" wp14:editId="2C5E1512">
            <wp:extent cx="4785678" cy="399155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784193" cy="3990316"/>
                    </a:xfrm>
                    <a:prstGeom prst="rect">
                      <a:avLst/>
                    </a:prstGeom>
                    <a:noFill/>
                  </pic:spPr>
                </pic:pic>
              </a:graphicData>
            </a:graphic>
          </wp:inline>
        </w:drawing>
      </w:r>
      <w:bookmarkEnd w:id="102"/>
      <w:bookmarkEnd w:id="103"/>
    </w:p>
    <w:p w:rsidR="003C042F" w:rsidRPr="003C042F" w:rsidRDefault="003C042F" w:rsidP="0047427B">
      <w:pPr>
        <w:pStyle w:val="Heading1"/>
        <w:numPr>
          <w:ilvl w:val="0"/>
          <w:numId w:val="0"/>
        </w:numPr>
        <w:ind w:left="360"/>
      </w:pPr>
    </w:p>
    <w:sectPr w:rsidR="003C042F" w:rsidRPr="003C042F" w:rsidSect="00D82047">
      <w:footerReference w:type="default" r:id="rId25"/>
      <w:pgSz w:w="11907" w:h="16840" w:code="9"/>
      <w:pgMar w:top="1440" w:right="1417" w:bottom="1276"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777" w:rsidRDefault="002B2777">
      <w:r>
        <w:separator/>
      </w:r>
    </w:p>
  </w:endnote>
  <w:endnote w:type="continuationSeparator" w:id="0">
    <w:p w:rsidR="002B2777" w:rsidRDefault="002B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CE8" w:rsidRDefault="00F12CE8" w:rsidP="00FE08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2CE8" w:rsidRDefault="00F12CE8" w:rsidP="00FE08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029129"/>
      <w:docPartObj>
        <w:docPartGallery w:val="Page Numbers (Bottom of Page)"/>
        <w:docPartUnique/>
      </w:docPartObj>
    </w:sdtPr>
    <w:sdtEndPr>
      <w:rPr>
        <w:rFonts w:ascii="Calibri" w:hAnsi="Calibri"/>
        <w:noProof/>
      </w:rPr>
    </w:sdtEndPr>
    <w:sdtContent>
      <w:p w:rsidR="00F12CE8" w:rsidRPr="003C042F" w:rsidRDefault="00F12CE8">
        <w:pPr>
          <w:pStyle w:val="Footer"/>
          <w:jc w:val="center"/>
          <w:rPr>
            <w:rFonts w:ascii="Calibri" w:hAnsi="Calibri"/>
          </w:rPr>
        </w:pPr>
        <w:r w:rsidRPr="003C042F">
          <w:rPr>
            <w:rFonts w:ascii="Calibri" w:hAnsi="Calibri"/>
          </w:rPr>
          <w:fldChar w:fldCharType="begin"/>
        </w:r>
        <w:r w:rsidRPr="003C042F">
          <w:rPr>
            <w:rFonts w:ascii="Calibri" w:hAnsi="Calibri"/>
          </w:rPr>
          <w:instrText xml:space="preserve"> PAGE   \* MERGEFORMAT </w:instrText>
        </w:r>
        <w:r w:rsidRPr="003C042F">
          <w:rPr>
            <w:rFonts w:ascii="Calibri" w:hAnsi="Calibri"/>
          </w:rPr>
          <w:fldChar w:fldCharType="separate"/>
        </w:r>
        <w:r w:rsidR="00A067B2">
          <w:rPr>
            <w:rFonts w:ascii="Calibri" w:hAnsi="Calibri"/>
            <w:noProof/>
          </w:rPr>
          <w:t>19</w:t>
        </w:r>
        <w:r w:rsidRPr="003C042F">
          <w:rPr>
            <w:rFonts w:ascii="Calibri" w:hAnsi="Calibri"/>
            <w:noProof/>
          </w:rPr>
          <w:fldChar w:fldCharType="end"/>
        </w:r>
      </w:p>
    </w:sdtContent>
  </w:sdt>
  <w:p w:rsidR="00F12CE8" w:rsidRPr="00DA4B53" w:rsidRDefault="00F12CE8" w:rsidP="00FE08F3">
    <w:pPr>
      <w:pStyle w:val="Footer"/>
      <w:ind w:right="360"/>
      <w:rPr>
        <w:rFonts w:ascii="Calibri" w:hAnsi="Calibri" w:cs="Calibri"/>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777" w:rsidRDefault="002B2777">
      <w:r>
        <w:separator/>
      </w:r>
    </w:p>
  </w:footnote>
  <w:footnote w:type="continuationSeparator" w:id="0">
    <w:p w:rsidR="002B2777" w:rsidRDefault="002B2777">
      <w:r>
        <w:continuationSeparator/>
      </w:r>
    </w:p>
  </w:footnote>
  <w:footnote w:id="1">
    <w:p w:rsidR="00F12CE8" w:rsidRPr="0047427B" w:rsidRDefault="00F12CE8">
      <w:pPr>
        <w:pStyle w:val="FootnoteText"/>
        <w:rPr>
          <w:rFonts w:asciiTheme="minorHAnsi" w:hAnsiTheme="minorHAnsi" w:cstheme="minorHAnsi"/>
        </w:rPr>
      </w:pPr>
      <w:r w:rsidRPr="0047427B">
        <w:rPr>
          <w:rStyle w:val="FootnoteReference"/>
          <w:rFonts w:asciiTheme="minorHAnsi" w:hAnsiTheme="minorHAnsi" w:cstheme="minorHAnsi"/>
        </w:rPr>
        <w:footnoteRef/>
      </w:r>
      <w:r w:rsidRPr="0047427B">
        <w:rPr>
          <w:rFonts w:asciiTheme="minorHAnsi" w:hAnsiTheme="minorHAnsi" w:cstheme="minorHAnsi"/>
        </w:rPr>
        <w:t xml:space="preserve"> See http://www.unece.org/forests/jwee-workshop-2012.html</w:t>
      </w:r>
    </w:p>
  </w:footnote>
  <w:footnote w:id="2">
    <w:p w:rsidR="00F12CE8" w:rsidRPr="0047427B" w:rsidRDefault="00F12CE8">
      <w:pPr>
        <w:pStyle w:val="FootnoteText"/>
        <w:rPr>
          <w:rFonts w:asciiTheme="minorHAnsi" w:hAnsiTheme="minorHAnsi" w:cstheme="minorHAnsi"/>
        </w:rPr>
      </w:pPr>
      <w:r w:rsidRPr="0047427B">
        <w:rPr>
          <w:rStyle w:val="FootnoteReference"/>
          <w:rFonts w:asciiTheme="minorHAnsi" w:hAnsiTheme="minorHAnsi" w:cstheme="minorHAnsi"/>
        </w:rPr>
        <w:footnoteRef/>
      </w:r>
      <w:r w:rsidRPr="0047427B">
        <w:rPr>
          <w:rFonts w:asciiTheme="minorHAnsi" w:hAnsiTheme="minorHAnsi" w:cstheme="minorHAnsi"/>
        </w:rPr>
        <w:t xml:space="preserve"> </w:t>
      </w:r>
      <w:r w:rsidRPr="00F33885">
        <w:rPr>
          <w:rFonts w:asciiTheme="minorHAnsi" w:hAnsiTheme="minorHAnsi" w:cstheme="minorHAnsi"/>
        </w:rPr>
        <w:t xml:space="preserve">The UNECE/FAO publication “Forest Products Conversion Factors for the UNECE Region” (UNECE/FAO 2010) - </w:t>
      </w:r>
      <w:hyperlink r:id="rId1" w:history="1">
        <w:r w:rsidRPr="00F33885">
          <w:rPr>
            <w:rStyle w:val="Hyperlink"/>
            <w:rFonts w:asciiTheme="minorHAnsi" w:hAnsiTheme="minorHAnsi" w:cstheme="minorHAnsi"/>
          </w:rPr>
          <w:t>http://www.unece.org/fileadmin/DAM/timber/publications/DP-49.pdf</w:t>
        </w:r>
      </w:hyperlink>
      <w:r w:rsidRPr="00F33885">
        <w:rPr>
          <w:rFonts w:asciiTheme="minorHAnsi" w:hAnsiTheme="minorHAnsi" w:cstheme="minorHAnsi"/>
        </w:rPr>
        <w:t xml:space="preserve"> may be useful to determine country specific conversion factors.</w:t>
      </w:r>
    </w:p>
  </w:footnote>
  <w:footnote w:id="3">
    <w:p w:rsidR="00F12CE8" w:rsidRDefault="00F12CE8" w:rsidP="002F6982">
      <w:pPr>
        <w:pStyle w:val="FootnoteText"/>
      </w:pPr>
      <w:r>
        <w:rPr>
          <w:rStyle w:val="FootnoteReference"/>
        </w:rPr>
        <w:footnoteRef/>
      </w:r>
      <w:r>
        <w:t xml:space="preserve"> </w:t>
      </w:r>
      <w:r w:rsidRPr="003C042F">
        <w:rPr>
          <w:rFonts w:asciiTheme="minorHAnsi" w:hAnsiTheme="minorHAnsi" w:cstheme="minorHAnsi"/>
        </w:rPr>
        <w:t>“Forest Products Conversion Factors for the UNECE Region” (UNECE</w:t>
      </w:r>
      <w:r>
        <w:rPr>
          <w:rFonts w:asciiTheme="minorHAnsi" w:hAnsiTheme="minorHAnsi" w:cstheme="minorHAnsi"/>
        </w:rPr>
        <w:t>/FAO</w:t>
      </w:r>
      <w:r w:rsidRPr="003C042F">
        <w:rPr>
          <w:rFonts w:asciiTheme="minorHAnsi" w:hAnsiTheme="minorHAnsi" w:cstheme="minorHAnsi"/>
        </w:rPr>
        <w:t xml:space="preserve"> 2010) </w:t>
      </w:r>
      <w:hyperlink r:id="rId2" w:history="1">
        <w:r>
          <w:rPr>
            <w:rStyle w:val="Hyperlink"/>
          </w:rPr>
          <w:t>http://www.unece.org/fileadmin/DAM/timber/publications/DP-49.pdf</w:t>
        </w:r>
      </w:hyperlink>
    </w:p>
  </w:footnote>
  <w:footnote w:id="4">
    <w:p w:rsidR="00F12CE8" w:rsidRPr="0084436F" w:rsidRDefault="00F12CE8" w:rsidP="00713879">
      <w:pPr>
        <w:spacing w:before="120" w:after="120"/>
        <w:jc w:val="both"/>
        <w:rPr>
          <w:rFonts w:ascii="Calibri" w:hAnsi="Calibri" w:cs="Calibri"/>
        </w:rPr>
      </w:pPr>
      <w:r>
        <w:rPr>
          <w:rStyle w:val="FootnoteReference"/>
        </w:rPr>
        <w:footnoteRef/>
      </w:r>
      <w:r>
        <w:t xml:space="preserve"> </w:t>
      </w:r>
      <w:proofErr w:type="gramStart"/>
      <w:r w:rsidRPr="0047427B">
        <w:rPr>
          <w:rFonts w:ascii="Calibri" w:hAnsi="Calibri" w:cs="Calibri"/>
          <w:sz w:val="22"/>
        </w:rPr>
        <w:t>primarily</w:t>
      </w:r>
      <w:proofErr w:type="gramEnd"/>
      <w:r w:rsidRPr="0047427B">
        <w:rPr>
          <w:rFonts w:ascii="Calibri" w:hAnsi="Calibri" w:cs="Calibri"/>
          <w:sz w:val="22"/>
        </w:rPr>
        <w:t xml:space="preserve"> RENQUES tables “WOODVEG” (Wood/Wood Wastes/Other Solid Wastes), “CHARCOAL” (Charcoal (</w:t>
      </w:r>
      <w:proofErr w:type="spellStart"/>
      <w:r w:rsidRPr="0047427B">
        <w:rPr>
          <w:rFonts w:ascii="Calibri" w:hAnsi="Calibri" w:cs="Calibri"/>
          <w:sz w:val="22"/>
        </w:rPr>
        <w:t>kt</w:t>
      </w:r>
      <w:proofErr w:type="spellEnd"/>
      <w:r w:rsidRPr="0047427B">
        <w:rPr>
          <w:rFonts w:ascii="Calibri" w:hAnsi="Calibri" w:cs="Calibri"/>
          <w:sz w:val="22"/>
        </w:rPr>
        <w:t>)), “MUNWASTER” (Municipal Waste (renewable)), “BIOGASOL” (</w:t>
      </w:r>
      <w:proofErr w:type="spellStart"/>
      <w:r w:rsidRPr="0047427B">
        <w:rPr>
          <w:rFonts w:ascii="Calibri" w:hAnsi="Calibri" w:cs="Calibri"/>
          <w:sz w:val="22"/>
        </w:rPr>
        <w:t>Biogasoline</w:t>
      </w:r>
      <w:proofErr w:type="spellEnd"/>
      <w:r w:rsidRPr="0047427B">
        <w:rPr>
          <w:rFonts w:ascii="Calibri" w:hAnsi="Calibri" w:cs="Calibri"/>
          <w:sz w:val="22"/>
        </w:rPr>
        <w:t xml:space="preserve"> (</w:t>
      </w:r>
      <w:proofErr w:type="spellStart"/>
      <w:r w:rsidRPr="0047427B">
        <w:rPr>
          <w:rFonts w:ascii="Calibri" w:hAnsi="Calibri" w:cs="Calibri"/>
          <w:sz w:val="22"/>
        </w:rPr>
        <w:t>tonnes</w:t>
      </w:r>
      <w:proofErr w:type="spellEnd"/>
      <w:r w:rsidRPr="0047427B">
        <w:rPr>
          <w:rFonts w:ascii="Calibri" w:hAnsi="Calibri" w:cs="Calibri"/>
          <w:sz w:val="22"/>
        </w:rPr>
        <w:t xml:space="preserve">)), “BIODIESEL” (Biodiesel (tonnes)) and “OBIOLIQ” (Other Liquid Biofuels (tonnes)). </w:t>
      </w:r>
    </w:p>
    <w:p w:rsidR="00F12CE8" w:rsidRPr="0047427B" w:rsidRDefault="00F12CE8" w:rsidP="00713879">
      <w:pPr>
        <w:pStyle w:val="FootnoteText"/>
        <w:rPr>
          <w:rFonts w:asciiTheme="minorHAnsi" w:hAnsiTheme="minorHAnsi" w:cstheme="minorHAnsi"/>
        </w:rPr>
      </w:pPr>
    </w:p>
  </w:footnote>
  <w:footnote w:id="5">
    <w:p w:rsidR="00F12CE8" w:rsidRPr="004108E9" w:rsidRDefault="00F12CE8" w:rsidP="00010E59">
      <w:pPr>
        <w:pStyle w:val="FootnoteText"/>
      </w:pPr>
      <w:r>
        <w:rPr>
          <w:rStyle w:val="FootnoteReference"/>
        </w:rPr>
        <w:footnoteRef/>
      </w:r>
      <w:hyperlink r:id="rId3" w:history="1">
        <w:r w:rsidRPr="002D6EE8">
          <w:rPr>
            <w:rStyle w:val="Hyperlink"/>
            <w:rFonts w:asciiTheme="minorHAnsi" w:hAnsiTheme="minorHAnsi" w:cstheme="minorHAnsi"/>
          </w:rPr>
          <w:t>http://ec.europa.eu/energy/renewables/transparency_platform/doc/article_22_progress_reports/template_progress_reports__article_22.zip</w:t>
        </w:r>
      </w:hyperlink>
      <w:r>
        <w:t xml:space="preserve"> </w:t>
      </w:r>
    </w:p>
  </w:footnote>
  <w:footnote w:id="6">
    <w:p w:rsidR="00F12CE8" w:rsidRPr="0047427B" w:rsidRDefault="00F12CE8">
      <w:pPr>
        <w:pStyle w:val="FootnoteText"/>
        <w:rPr>
          <w:lang w:val="en-GB"/>
        </w:rPr>
      </w:pPr>
      <w:r>
        <w:rPr>
          <w:rStyle w:val="FootnoteReference"/>
        </w:rPr>
        <w:footnoteRef/>
      </w:r>
      <w:r>
        <w:t xml:space="preserve"> </w:t>
      </w:r>
      <w:r w:rsidRPr="0047427B">
        <w:rPr>
          <w:lang w:val="en-GB"/>
        </w:rPr>
        <w:t xml:space="preserve">See </w:t>
      </w:r>
      <w:r>
        <w:rPr>
          <w:lang w:val="en-GB"/>
        </w:rPr>
        <w:t>“</w:t>
      </w:r>
      <w:r w:rsidRPr="0047427B">
        <w:rPr>
          <w:lang w:val="en-GB"/>
        </w:rPr>
        <w:t>presentations</w:t>
      </w:r>
      <w:r>
        <w:rPr>
          <w:lang w:val="en-GB"/>
        </w:rPr>
        <w:t>”</w:t>
      </w:r>
      <w:r w:rsidRPr="0047427B">
        <w:rPr>
          <w:lang w:val="en-GB"/>
        </w:rPr>
        <w:t xml:space="preserve"> at http://www.unece.org/forests/jwee-workshop-2012.html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0F40612"/>
    <w:lvl w:ilvl="0">
      <w:numFmt w:val="bullet"/>
      <w:lvlText w:val="*"/>
      <w:lvlJc w:val="left"/>
    </w:lvl>
  </w:abstractNum>
  <w:abstractNum w:abstractNumId="1">
    <w:nsid w:val="03197FCA"/>
    <w:multiLevelType w:val="hybridMultilevel"/>
    <w:tmpl w:val="131C955E"/>
    <w:lvl w:ilvl="0" w:tplc="CAF0F8CA">
      <w:start w:val="1"/>
      <w:numFmt w:val="decimal"/>
      <w:lvlText w:val="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E16D2"/>
    <w:multiLevelType w:val="hybridMultilevel"/>
    <w:tmpl w:val="52E69F9A"/>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
    <w:nsid w:val="052641E8"/>
    <w:multiLevelType w:val="multilevel"/>
    <w:tmpl w:val="31607D1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D825398"/>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DAC24B0"/>
    <w:multiLevelType w:val="hybridMultilevel"/>
    <w:tmpl w:val="1BD4F6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FD22CC"/>
    <w:multiLevelType w:val="hybridMultilevel"/>
    <w:tmpl w:val="6AC8F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FE7BEC"/>
    <w:multiLevelType w:val="hybridMultilevel"/>
    <w:tmpl w:val="E4DA1B24"/>
    <w:lvl w:ilvl="0" w:tplc="6310C522">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nsid w:val="388A3AA4"/>
    <w:multiLevelType w:val="multilevel"/>
    <w:tmpl w:val="1F4CFA2C"/>
    <w:lvl w:ilvl="0">
      <w:start w:val="1"/>
      <w:numFmt w:val="decimal"/>
      <w:lvlText w:val="%1."/>
      <w:lvlJc w:val="left"/>
      <w:pPr>
        <w:ind w:left="360" w:hanging="360"/>
      </w:pPr>
      <w:rPr>
        <w:rFonts w:hint="default"/>
        <w:b/>
        <w:bCs/>
        <w:kern w:val="32"/>
        <w:sz w:val="28"/>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1A4059A"/>
    <w:multiLevelType w:val="hybridMultilevel"/>
    <w:tmpl w:val="6734A992"/>
    <w:lvl w:ilvl="0" w:tplc="5ECC53E4">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2D70358"/>
    <w:multiLevelType w:val="multilevel"/>
    <w:tmpl w:val="526A13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7ED1A45"/>
    <w:multiLevelType w:val="hybridMultilevel"/>
    <w:tmpl w:val="BEC8A9C0"/>
    <w:lvl w:ilvl="0" w:tplc="B798F034">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868727F"/>
    <w:multiLevelType w:val="multilevel"/>
    <w:tmpl w:val="2F4AAD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8A7642A"/>
    <w:multiLevelType w:val="hybridMultilevel"/>
    <w:tmpl w:val="C4AC9FB6"/>
    <w:lvl w:ilvl="0" w:tplc="E734720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EE976A5"/>
    <w:multiLevelType w:val="multilevel"/>
    <w:tmpl w:val="5284013E"/>
    <w:styleLink w:val="StyleNumberedArial16ptBold"/>
    <w:lvl w:ilvl="0">
      <w:start w:val="1"/>
      <w:numFmt w:val="decimal"/>
      <w:lvlText w:val="%1."/>
      <w:lvlJc w:val="left"/>
      <w:pPr>
        <w:tabs>
          <w:tab w:val="num" w:pos="720"/>
        </w:tabs>
        <w:ind w:left="720" w:hanging="360"/>
      </w:pPr>
      <w:rPr>
        <w:rFonts w:ascii="Arial" w:hAnsi="Arial"/>
        <w:b/>
        <w:bCs/>
        <w:kern w:val="32"/>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7B5033A"/>
    <w:multiLevelType w:val="hybridMultilevel"/>
    <w:tmpl w:val="0B0665CA"/>
    <w:lvl w:ilvl="0" w:tplc="1772ADE0">
      <w:start w:val="1"/>
      <w:numFmt w:val="upperRoman"/>
      <w:lvlText w:val="TABLE %1:"/>
      <w:lvlJc w:val="left"/>
      <w:pPr>
        <w:tabs>
          <w:tab w:val="num" w:pos="540"/>
        </w:tabs>
        <w:ind w:left="540" w:hanging="180"/>
      </w:pPr>
      <w:rPr>
        <w:rFonts w:hint="default"/>
      </w:rPr>
    </w:lvl>
    <w:lvl w:ilvl="1" w:tplc="0409000F">
      <w:start w:val="1"/>
      <w:numFmt w:val="decimal"/>
      <w:lvlText w:val="%2."/>
      <w:lvlJc w:val="left"/>
      <w:pPr>
        <w:tabs>
          <w:tab w:val="num" w:pos="1440"/>
        </w:tabs>
        <w:ind w:left="1440" w:hanging="360"/>
      </w:pPr>
      <w:rPr>
        <w:rFonts w:hint="default"/>
      </w:rPr>
    </w:lvl>
    <w:lvl w:ilvl="2" w:tplc="66449AD4">
      <w:start w:val="1"/>
      <w:numFmt w:val="lowerLetter"/>
      <w:lvlText w:val="(%3)"/>
      <w:lvlJc w:val="left"/>
      <w:pPr>
        <w:tabs>
          <w:tab w:val="num" w:pos="1050"/>
        </w:tabs>
        <w:ind w:left="1050" w:hanging="105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8336BEE"/>
    <w:multiLevelType w:val="hybridMultilevel"/>
    <w:tmpl w:val="928EF49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4171C20"/>
    <w:multiLevelType w:val="hybridMultilevel"/>
    <w:tmpl w:val="8132FB8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4E73616"/>
    <w:multiLevelType w:val="hybridMultilevel"/>
    <w:tmpl w:val="450420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AAB66B7"/>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C583B40"/>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E7A08CE"/>
    <w:multiLevelType w:val="multilevel"/>
    <w:tmpl w:val="218A2B4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49261BD"/>
    <w:multiLevelType w:val="hybridMultilevel"/>
    <w:tmpl w:val="D0AE6090"/>
    <w:lvl w:ilvl="0" w:tplc="CD6E74DE">
      <w:start w:val="1"/>
      <w:numFmt w:val="decimal"/>
      <w:lvlText w:val="1.%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nsid w:val="7A6D7522"/>
    <w:multiLevelType w:val="multilevel"/>
    <w:tmpl w:val="16449386"/>
    <w:lvl w:ilvl="0">
      <w:start w:val="1"/>
      <w:numFmt w:val="decimal"/>
      <w:pStyle w:val="Heading1"/>
      <w:lvlText w:val="%1."/>
      <w:lvlJc w:val="left"/>
      <w:pPr>
        <w:ind w:left="360" w:hanging="360"/>
      </w:pPr>
      <w:rPr>
        <w:rFonts w:hint="default"/>
      </w:rPr>
    </w:lvl>
    <w:lvl w:ilvl="1">
      <w:start w:val="1"/>
      <w:numFmt w:val="decimal"/>
      <w:lvlRestart w:val="0"/>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BF07433"/>
    <w:multiLevelType w:val="multilevel"/>
    <w:tmpl w:val="D4462028"/>
    <w:lvl w:ilvl="0">
      <w:start w:val="1"/>
      <w:numFmt w:val="decimal"/>
      <w:lvlText w:val="%1."/>
      <w:lvlJc w:val="left"/>
      <w:pPr>
        <w:ind w:left="360" w:hanging="360"/>
      </w:pPr>
      <w:rPr>
        <w:rFonts w:hint="default"/>
        <w:b/>
        <w:bCs/>
        <w:kern w:val="32"/>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7CD30596"/>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E206C93"/>
    <w:multiLevelType w:val="hybridMultilevel"/>
    <w:tmpl w:val="3C4222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ECB79BB"/>
    <w:multiLevelType w:val="hybridMultilevel"/>
    <w:tmpl w:val="C8B0A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4"/>
  </w:num>
  <w:num w:numId="4">
    <w:abstractNumId w:val="24"/>
  </w:num>
  <w:num w:numId="5">
    <w:abstractNumId w:val="10"/>
  </w:num>
  <w:num w:numId="6">
    <w:abstractNumId w:val="13"/>
  </w:num>
  <w:num w:numId="7">
    <w:abstractNumId w:val="11"/>
  </w:num>
  <w:num w:numId="8">
    <w:abstractNumId w:val="7"/>
  </w:num>
  <w:num w:numId="9">
    <w:abstractNumId w:val="12"/>
  </w:num>
  <w:num w:numId="10">
    <w:abstractNumId w:val="20"/>
  </w:num>
  <w:num w:numId="11">
    <w:abstractNumId w:val="4"/>
  </w:num>
  <w:num w:numId="12">
    <w:abstractNumId w:val="8"/>
  </w:num>
  <w:num w:numId="13">
    <w:abstractNumId w:val="3"/>
  </w:num>
  <w:num w:numId="14">
    <w:abstractNumId w:val="23"/>
  </w:num>
  <w:num w:numId="15">
    <w:abstractNumId w:val="19"/>
  </w:num>
  <w:num w:numId="16">
    <w:abstractNumId w:val="25"/>
  </w:num>
  <w:num w:numId="17">
    <w:abstractNumId w:val="21"/>
  </w:num>
  <w:num w:numId="18">
    <w:abstractNumId w:val="22"/>
  </w:num>
  <w:num w:numId="19">
    <w:abstractNumId w:val="11"/>
    <w:lvlOverride w:ilvl="0">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7"/>
  </w:num>
  <w:num w:numId="24">
    <w:abstractNumId w:val="16"/>
  </w:num>
  <w:num w:numId="25">
    <w:abstractNumId w:val="2"/>
  </w:num>
  <w:num w:numId="26">
    <w:abstractNumId w:val="0"/>
    <w:lvlOverride w:ilvl="0">
      <w:lvl w:ilvl="0">
        <w:numFmt w:val="bullet"/>
        <w:lvlText w:val=""/>
        <w:legacy w:legacy="1" w:legacySpace="0" w:legacyIndent="0"/>
        <w:lvlJc w:val="left"/>
        <w:rPr>
          <w:rFonts w:ascii="Symbol" w:hAnsi="Symbol" w:hint="default"/>
          <w:sz w:val="22"/>
        </w:rPr>
      </w:lvl>
    </w:lvlOverride>
  </w:num>
  <w:num w:numId="27">
    <w:abstractNumId w:val="0"/>
    <w:lvlOverride w:ilvl="0">
      <w:lvl w:ilvl="0">
        <w:numFmt w:val="bullet"/>
        <w:lvlText w:val="o"/>
        <w:legacy w:legacy="1" w:legacySpace="0" w:legacyIndent="0"/>
        <w:lvlJc w:val="left"/>
        <w:rPr>
          <w:rFonts w:ascii="Courier" w:hAnsi="Courier" w:hint="default"/>
        </w:rPr>
      </w:lvl>
    </w:lvlOverride>
  </w:num>
  <w:num w:numId="28">
    <w:abstractNumId w:val="6"/>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3"/>
    <w:lvlOverride w:ilvl="0">
      <w:startOverride w:val="1"/>
    </w:lvlOverride>
  </w:num>
  <w:num w:numId="32">
    <w:abstractNumId w:val="18"/>
  </w:num>
  <w:num w:numId="33">
    <w:abstractNumId w:val="27"/>
  </w:num>
  <w:num w:numId="34">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1D7"/>
    <w:rsid w:val="0000530E"/>
    <w:rsid w:val="00005AD3"/>
    <w:rsid w:val="00007AF8"/>
    <w:rsid w:val="00007DD7"/>
    <w:rsid w:val="00010281"/>
    <w:rsid w:val="00010E59"/>
    <w:rsid w:val="00013CF2"/>
    <w:rsid w:val="00014A1C"/>
    <w:rsid w:val="00021BFF"/>
    <w:rsid w:val="00022C8B"/>
    <w:rsid w:val="00023C58"/>
    <w:rsid w:val="00030F84"/>
    <w:rsid w:val="0003392D"/>
    <w:rsid w:val="000349B9"/>
    <w:rsid w:val="00035426"/>
    <w:rsid w:val="00037055"/>
    <w:rsid w:val="00037192"/>
    <w:rsid w:val="000413A0"/>
    <w:rsid w:val="00046337"/>
    <w:rsid w:val="000560DE"/>
    <w:rsid w:val="00056215"/>
    <w:rsid w:val="00056667"/>
    <w:rsid w:val="00062447"/>
    <w:rsid w:val="00063BF3"/>
    <w:rsid w:val="00064808"/>
    <w:rsid w:val="00064855"/>
    <w:rsid w:val="0006612C"/>
    <w:rsid w:val="000674DA"/>
    <w:rsid w:val="00071D93"/>
    <w:rsid w:val="000771BB"/>
    <w:rsid w:val="00084FC0"/>
    <w:rsid w:val="0008597B"/>
    <w:rsid w:val="0009034E"/>
    <w:rsid w:val="00093CC6"/>
    <w:rsid w:val="00095019"/>
    <w:rsid w:val="00097366"/>
    <w:rsid w:val="000A2590"/>
    <w:rsid w:val="000A3102"/>
    <w:rsid w:val="000A55BB"/>
    <w:rsid w:val="000A6C19"/>
    <w:rsid w:val="000A7E22"/>
    <w:rsid w:val="000C2D48"/>
    <w:rsid w:val="000C54E0"/>
    <w:rsid w:val="000C5DB4"/>
    <w:rsid w:val="000C66B8"/>
    <w:rsid w:val="000E2818"/>
    <w:rsid w:val="000E4768"/>
    <w:rsid w:val="000E5B33"/>
    <w:rsid w:val="000F0DC2"/>
    <w:rsid w:val="000F5447"/>
    <w:rsid w:val="000F7D2A"/>
    <w:rsid w:val="00104ADB"/>
    <w:rsid w:val="00105D6F"/>
    <w:rsid w:val="00106025"/>
    <w:rsid w:val="0010667A"/>
    <w:rsid w:val="00106A6C"/>
    <w:rsid w:val="00110A49"/>
    <w:rsid w:val="0011231E"/>
    <w:rsid w:val="001136A3"/>
    <w:rsid w:val="001140C7"/>
    <w:rsid w:val="00115082"/>
    <w:rsid w:val="00116DB3"/>
    <w:rsid w:val="001235DE"/>
    <w:rsid w:val="00131D85"/>
    <w:rsid w:val="001347A7"/>
    <w:rsid w:val="001349F7"/>
    <w:rsid w:val="001400C0"/>
    <w:rsid w:val="00144A5D"/>
    <w:rsid w:val="0015434F"/>
    <w:rsid w:val="00160C25"/>
    <w:rsid w:val="00164C10"/>
    <w:rsid w:val="001722C0"/>
    <w:rsid w:val="00175616"/>
    <w:rsid w:val="001836F6"/>
    <w:rsid w:val="00186160"/>
    <w:rsid w:val="0019107E"/>
    <w:rsid w:val="001A0018"/>
    <w:rsid w:val="001A11BD"/>
    <w:rsid w:val="001A1C4C"/>
    <w:rsid w:val="001B3BFA"/>
    <w:rsid w:val="001B6F89"/>
    <w:rsid w:val="001C05EC"/>
    <w:rsid w:val="001C1752"/>
    <w:rsid w:val="001C272C"/>
    <w:rsid w:val="001C70AC"/>
    <w:rsid w:val="001D05A6"/>
    <w:rsid w:val="001D3EA9"/>
    <w:rsid w:val="001D48B1"/>
    <w:rsid w:val="001D4FC3"/>
    <w:rsid w:val="001E01A2"/>
    <w:rsid w:val="001E2CAC"/>
    <w:rsid w:val="001E469A"/>
    <w:rsid w:val="001E741D"/>
    <w:rsid w:val="001F1A6B"/>
    <w:rsid w:val="001F42F5"/>
    <w:rsid w:val="001F7968"/>
    <w:rsid w:val="002031B3"/>
    <w:rsid w:val="00205857"/>
    <w:rsid w:val="0020594E"/>
    <w:rsid w:val="002060FC"/>
    <w:rsid w:val="00206740"/>
    <w:rsid w:val="00207148"/>
    <w:rsid w:val="00213DCC"/>
    <w:rsid w:val="002156F9"/>
    <w:rsid w:val="002212C0"/>
    <w:rsid w:val="0022159B"/>
    <w:rsid w:val="00222321"/>
    <w:rsid w:val="00231FBB"/>
    <w:rsid w:val="00233378"/>
    <w:rsid w:val="00234E74"/>
    <w:rsid w:val="00236B17"/>
    <w:rsid w:val="00237E14"/>
    <w:rsid w:val="002402EF"/>
    <w:rsid w:val="00244816"/>
    <w:rsid w:val="00244E1F"/>
    <w:rsid w:val="00245436"/>
    <w:rsid w:val="00253848"/>
    <w:rsid w:val="00255846"/>
    <w:rsid w:val="00255F01"/>
    <w:rsid w:val="00261677"/>
    <w:rsid w:val="00261F43"/>
    <w:rsid w:val="00262BDF"/>
    <w:rsid w:val="00263398"/>
    <w:rsid w:val="00263F69"/>
    <w:rsid w:val="00264A33"/>
    <w:rsid w:val="00265E1A"/>
    <w:rsid w:val="00266D12"/>
    <w:rsid w:val="002719A0"/>
    <w:rsid w:val="0027390F"/>
    <w:rsid w:val="00274839"/>
    <w:rsid w:val="0027513E"/>
    <w:rsid w:val="002752AC"/>
    <w:rsid w:val="00275456"/>
    <w:rsid w:val="00275B70"/>
    <w:rsid w:val="00281D88"/>
    <w:rsid w:val="00286CE1"/>
    <w:rsid w:val="00290A86"/>
    <w:rsid w:val="00296BCC"/>
    <w:rsid w:val="002A13F3"/>
    <w:rsid w:val="002A28AB"/>
    <w:rsid w:val="002B0492"/>
    <w:rsid w:val="002B0C19"/>
    <w:rsid w:val="002B2777"/>
    <w:rsid w:val="002B4F4F"/>
    <w:rsid w:val="002C70CC"/>
    <w:rsid w:val="002D5EE4"/>
    <w:rsid w:val="002D6C01"/>
    <w:rsid w:val="002D6EE8"/>
    <w:rsid w:val="002E0FB7"/>
    <w:rsid w:val="002E6BB7"/>
    <w:rsid w:val="002F32F3"/>
    <w:rsid w:val="002F5F86"/>
    <w:rsid w:val="002F6982"/>
    <w:rsid w:val="002F7244"/>
    <w:rsid w:val="003006A5"/>
    <w:rsid w:val="003016BE"/>
    <w:rsid w:val="00302E93"/>
    <w:rsid w:val="0030310E"/>
    <w:rsid w:val="00306849"/>
    <w:rsid w:val="00313122"/>
    <w:rsid w:val="00323452"/>
    <w:rsid w:val="00323CDD"/>
    <w:rsid w:val="00324C44"/>
    <w:rsid w:val="00325718"/>
    <w:rsid w:val="00333B0B"/>
    <w:rsid w:val="00333D7F"/>
    <w:rsid w:val="0034274A"/>
    <w:rsid w:val="00342976"/>
    <w:rsid w:val="00343847"/>
    <w:rsid w:val="003473E4"/>
    <w:rsid w:val="00350AE5"/>
    <w:rsid w:val="00351330"/>
    <w:rsid w:val="00355DE5"/>
    <w:rsid w:val="00364D55"/>
    <w:rsid w:val="00371573"/>
    <w:rsid w:val="0038048C"/>
    <w:rsid w:val="0038253A"/>
    <w:rsid w:val="00386D11"/>
    <w:rsid w:val="00387502"/>
    <w:rsid w:val="0039087C"/>
    <w:rsid w:val="00392F49"/>
    <w:rsid w:val="00393FBC"/>
    <w:rsid w:val="003975EC"/>
    <w:rsid w:val="003A47BA"/>
    <w:rsid w:val="003B279D"/>
    <w:rsid w:val="003B3442"/>
    <w:rsid w:val="003B41BD"/>
    <w:rsid w:val="003C027A"/>
    <w:rsid w:val="003C042F"/>
    <w:rsid w:val="003C2115"/>
    <w:rsid w:val="003C2B31"/>
    <w:rsid w:val="003C3397"/>
    <w:rsid w:val="003C352B"/>
    <w:rsid w:val="003C4478"/>
    <w:rsid w:val="003C51EC"/>
    <w:rsid w:val="003C541B"/>
    <w:rsid w:val="003C5563"/>
    <w:rsid w:val="003D0E13"/>
    <w:rsid w:val="003D1CFD"/>
    <w:rsid w:val="003D45E7"/>
    <w:rsid w:val="003D521C"/>
    <w:rsid w:val="003D7BF3"/>
    <w:rsid w:val="003D7DC5"/>
    <w:rsid w:val="003E0C39"/>
    <w:rsid w:val="003F0BD4"/>
    <w:rsid w:val="003F149C"/>
    <w:rsid w:val="003F4AD8"/>
    <w:rsid w:val="003F5143"/>
    <w:rsid w:val="004108E9"/>
    <w:rsid w:val="00411136"/>
    <w:rsid w:val="0041302A"/>
    <w:rsid w:val="00413410"/>
    <w:rsid w:val="00427D31"/>
    <w:rsid w:val="00435697"/>
    <w:rsid w:val="0044485C"/>
    <w:rsid w:val="00450CA5"/>
    <w:rsid w:val="00450FD1"/>
    <w:rsid w:val="0045154B"/>
    <w:rsid w:val="00452E34"/>
    <w:rsid w:val="004537F9"/>
    <w:rsid w:val="004567DC"/>
    <w:rsid w:val="00460B0D"/>
    <w:rsid w:val="00462823"/>
    <w:rsid w:val="004738BB"/>
    <w:rsid w:val="0047427B"/>
    <w:rsid w:val="00476783"/>
    <w:rsid w:val="0047716D"/>
    <w:rsid w:val="00484383"/>
    <w:rsid w:val="00487863"/>
    <w:rsid w:val="00494C74"/>
    <w:rsid w:val="00496805"/>
    <w:rsid w:val="00496925"/>
    <w:rsid w:val="0049710E"/>
    <w:rsid w:val="004A68F9"/>
    <w:rsid w:val="004B1F16"/>
    <w:rsid w:val="004B2EC9"/>
    <w:rsid w:val="004B54A3"/>
    <w:rsid w:val="004B696C"/>
    <w:rsid w:val="004B7FC8"/>
    <w:rsid w:val="004C216A"/>
    <w:rsid w:val="004C6001"/>
    <w:rsid w:val="004D446C"/>
    <w:rsid w:val="004D7C41"/>
    <w:rsid w:val="004D7CC0"/>
    <w:rsid w:val="004E0C5C"/>
    <w:rsid w:val="004E193F"/>
    <w:rsid w:val="004F7C9C"/>
    <w:rsid w:val="00507BAB"/>
    <w:rsid w:val="00514794"/>
    <w:rsid w:val="00515520"/>
    <w:rsid w:val="005168D0"/>
    <w:rsid w:val="0052024B"/>
    <w:rsid w:val="00521393"/>
    <w:rsid w:val="005219EF"/>
    <w:rsid w:val="005230F0"/>
    <w:rsid w:val="00530F5F"/>
    <w:rsid w:val="00531917"/>
    <w:rsid w:val="005325E8"/>
    <w:rsid w:val="00533233"/>
    <w:rsid w:val="0053655F"/>
    <w:rsid w:val="00542A38"/>
    <w:rsid w:val="005515EB"/>
    <w:rsid w:val="005608FD"/>
    <w:rsid w:val="00564E4F"/>
    <w:rsid w:val="0056723F"/>
    <w:rsid w:val="005728D3"/>
    <w:rsid w:val="00572914"/>
    <w:rsid w:val="00581C5D"/>
    <w:rsid w:val="005833A0"/>
    <w:rsid w:val="00586DA3"/>
    <w:rsid w:val="00587403"/>
    <w:rsid w:val="00592934"/>
    <w:rsid w:val="00594B3E"/>
    <w:rsid w:val="00596A2C"/>
    <w:rsid w:val="00596CE7"/>
    <w:rsid w:val="005A153A"/>
    <w:rsid w:val="005A3200"/>
    <w:rsid w:val="005B096A"/>
    <w:rsid w:val="005B2561"/>
    <w:rsid w:val="005B4EB6"/>
    <w:rsid w:val="005B568D"/>
    <w:rsid w:val="005C21BF"/>
    <w:rsid w:val="005C25B7"/>
    <w:rsid w:val="005C2BD3"/>
    <w:rsid w:val="005D09CC"/>
    <w:rsid w:val="005D2DAA"/>
    <w:rsid w:val="005D4648"/>
    <w:rsid w:val="005D766F"/>
    <w:rsid w:val="005D7EC3"/>
    <w:rsid w:val="005E69EB"/>
    <w:rsid w:val="005E747A"/>
    <w:rsid w:val="005F1F46"/>
    <w:rsid w:val="005F276A"/>
    <w:rsid w:val="005F3699"/>
    <w:rsid w:val="005F4C06"/>
    <w:rsid w:val="005F5737"/>
    <w:rsid w:val="005F7A06"/>
    <w:rsid w:val="00612E7E"/>
    <w:rsid w:val="00614DDB"/>
    <w:rsid w:val="00621881"/>
    <w:rsid w:val="00623905"/>
    <w:rsid w:val="00623C92"/>
    <w:rsid w:val="0062404A"/>
    <w:rsid w:val="00631531"/>
    <w:rsid w:val="0064586F"/>
    <w:rsid w:val="0065146E"/>
    <w:rsid w:val="006522B2"/>
    <w:rsid w:val="00657DC5"/>
    <w:rsid w:val="00671A78"/>
    <w:rsid w:val="0067337D"/>
    <w:rsid w:val="006743B5"/>
    <w:rsid w:val="00680190"/>
    <w:rsid w:val="0068081E"/>
    <w:rsid w:val="006812F7"/>
    <w:rsid w:val="00682CF6"/>
    <w:rsid w:val="00684D0D"/>
    <w:rsid w:val="006913FC"/>
    <w:rsid w:val="0069777E"/>
    <w:rsid w:val="006A2B5A"/>
    <w:rsid w:val="006A42AB"/>
    <w:rsid w:val="006A7E81"/>
    <w:rsid w:val="006B439E"/>
    <w:rsid w:val="006B762B"/>
    <w:rsid w:val="006C5D8E"/>
    <w:rsid w:val="006D0B72"/>
    <w:rsid w:val="006D2492"/>
    <w:rsid w:val="006E24AA"/>
    <w:rsid w:val="006E3E0C"/>
    <w:rsid w:val="006F02E7"/>
    <w:rsid w:val="006F37C1"/>
    <w:rsid w:val="006F7F85"/>
    <w:rsid w:val="007018A9"/>
    <w:rsid w:val="007058A5"/>
    <w:rsid w:val="00706D4A"/>
    <w:rsid w:val="007115E5"/>
    <w:rsid w:val="00713879"/>
    <w:rsid w:val="00714E7C"/>
    <w:rsid w:val="00715169"/>
    <w:rsid w:val="0072097B"/>
    <w:rsid w:val="007233E1"/>
    <w:rsid w:val="00724EE2"/>
    <w:rsid w:val="00726249"/>
    <w:rsid w:val="007339B7"/>
    <w:rsid w:val="00735460"/>
    <w:rsid w:val="00737C0D"/>
    <w:rsid w:val="0074169F"/>
    <w:rsid w:val="007429C4"/>
    <w:rsid w:val="00742F59"/>
    <w:rsid w:val="007433E7"/>
    <w:rsid w:val="007448F6"/>
    <w:rsid w:val="007479CB"/>
    <w:rsid w:val="0075181F"/>
    <w:rsid w:val="00760300"/>
    <w:rsid w:val="00762742"/>
    <w:rsid w:val="007727D3"/>
    <w:rsid w:val="00772DCD"/>
    <w:rsid w:val="007765E8"/>
    <w:rsid w:val="00780E90"/>
    <w:rsid w:val="007813FA"/>
    <w:rsid w:val="00783A68"/>
    <w:rsid w:val="00787A0B"/>
    <w:rsid w:val="007946B7"/>
    <w:rsid w:val="007957F3"/>
    <w:rsid w:val="007A0818"/>
    <w:rsid w:val="007A0F56"/>
    <w:rsid w:val="007A231C"/>
    <w:rsid w:val="007A511D"/>
    <w:rsid w:val="007A6712"/>
    <w:rsid w:val="007A7994"/>
    <w:rsid w:val="007B09B6"/>
    <w:rsid w:val="007B143E"/>
    <w:rsid w:val="007B1804"/>
    <w:rsid w:val="007B254B"/>
    <w:rsid w:val="007B399F"/>
    <w:rsid w:val="007B5A01"/>
    <w:rsid w:val="007B5A4F"/>
    <w:rsid w:val="007B6BF5"/>
    <w:rsid w:val="007C5342"/>
    <w:rsid w:val="007C56AC"/>
    <w:rsid w:val="007C5857"/>
    <w:rsid w:val="007C6349"/>
    <w:rsid w:val="007D0DA3"/>
    <w:rsid w:val="007D1813"/>
    <w:rsid w:val="007E4A10"/>
    <w:rsid w:val="007E742D"/>
    <w:rsid w:val="007F46E3"/>
    <w:rsid w:val="007F6633"/>
    <w:rsid w:val="007F763D"/>
    <w:rsid w:val="00803EB1"/>
    <w:rsid w:val="00812313"/>
    <w:rsid w:val="00816E79"/>
    <w:rsid w:val="008178B7"/>
    <w:rsid w:val="00821F2E"/>
    <w:rsid w:val="00825BBB"/>
    <w:rsid w:val="00827BF3"/>
    <w:rsid w:val="00830B45"/>
    <w:rsid w:val="0083732E"/>
    <w:rsid w:val="008379EC"/>
    <w:rsid w:val="0084084C"/>
    <w:rsid w:val="00841B3D"/>
    <w:rsid w:val="0084436F"/>
    <w:rsid w:val="00846EBE"/>
    <w:rsid w:val="00847F2A"/>
    <w:rsid w:val="00862C21"/>
    <w:rsid w:val="0087640A"/>
    <w:rsid w:val="00886FB6"/>
    <w:rsid w:val="00891389"/>
    <w:rsid w:val="00891D0F"/>
    <w:rsid w:val="00895E13"/>
    <w:rsid w:val="00897283"/>
    <w:rsid w:val="008A2E15"/>
    <w:rsid w:val="008A64AC"/>
    <w:rsid w:val="008B07A8"/>
    <w:rsid w:val="008C1DA5"/>
    <w:rsid w:val="008C66F9"/>
    <w:rsid w:val="008D1F53"/>
    <w:rsid w:val="008D475C"/>
    <w:rsid w:val="008D56C4"/>
    <w:rsid w:val="008E0F67"/>
    <w:rsid w:val="008E0F8C"/>
    <w:rsid w:val="008E14B4"/>
    <w:rsid w:val="008E7143"/>
    <w:rsid w:val="008F692C"/>
    <w:rsid w:val="00900B29"/>
    <w:rsid w:val="00901183"/>
    <w:rsid w:val="00923731"/>
    <w:rsid w:val="009326B6"/>
    <w:rsid w:val="00944815"/>
    <w:rsid w:val="009472F3"/>
    <w:rsid w:val="009516B1"/>
    <w:rsid w:val="00953389"/>
    <w:rsid w:val="0096112B"/>
    <w:rsid w:val="00970652"/>
    <w:rsid w:val="009726BC"/>
    <w:rsid w:val="009730D6"/>
    <w:rsid w:val="009745EA"/>
    <w:rsid w:val="00974AB5"/>
    <w:rsid w:val="00975153"/>
    <w:rsid w:val="009764CA"/>
    <w:rsid w:val="00980FFA"/>
    <w:rsid w:val="009845BD"/>
    <w:rsid w:val="0099067C"/>
    <w:rsid w:val="00991CBB"/>
    <w:rsid w:val="00996AE4"/>
    <w:rsid w:val="00997558"/>
    <w:rsid w:val="00997BAA"/>
    <w:rsid w:val="009A042D"/>
    <w:rsid w:val="009A35C0"/>
    <w:rsid w:val="009A488B"/>
    <w:rsid w:val="009A7CD0"/>
    <w:rsid w:val="009B010E"/>
    <w:rsid w:val="009B607F"/>
    <w:rsid w:val="009C3459"/>
    <w:rsid w:val="009C44A3"/>
    <w:rsid w:val="009C4772"/>
    <w:rsid w:val="009C4B1E"/>
    <w:rsid w:val="009C54E7"/>
    <w:rsid w:val="009C6FA4"/>
    <w:rsid w:val="009D1785"/>
    <w:rsid w:val="009D272C"/>
    <w:rsid w:val="009D4A42"/>
    <w:rsid w:val="009D53EC"/>
    <w:rsid w:val="009D77D0"/>
    <w:rsid w:val="009E0924"/>
    <w:rsid w:val="009E182C"/>
    <w:rsid w:val="009E183F"/>
    <w:rsid w:val="009E5CA8"/>
    <w:rsid w:val="009E78A6"/>
    <w:rsid w:val="009E7DF1"/>
    <w:rsid w:val="009E7EBA"/>
    <w:rsid w:val="009F57B5"/>
    <w:rsid w:val="00A013BC"/>
    <w:rsid w:val="00A067B2"/>
    <w:rsid w:val="00A07565"/>
    <w:rsid w:val="00A20311"/>
    <w:rsid w:val="00A22BCC"/>
    <w:rsid w:val="00A275C0"/>
    <w:rsid w:val="00A319C7"/>
    <w:rsid w:val="00A324AD"/>
    <w:rsid w:val="00A345CD"/>
    <w:rsid w:val="00A362C6"/>
    <w:rsid w:val="00A3674D"/>
    <w:rsid w:val="00A41128"/>
    <w:rsid w:val="00A427FD"/>
    <w:rsid w:val="00A6417D"/>
    <w:rsid w:val="00A701EE"/>
    <w:rsid w:val="00A7348F"/>
    <w:rsid w:val="00A73EFC"/>
    <w:rsid w:val="00A74B33"/>
    <w:rsid w:val="00A76BEE"/>
    <w:rsid w:val="00A77478"/>
    <w:rsid w:val="00A854F7"/>
    <w:rsid w:val="00A86F76"/>
    <w:rsid w:val="00A91244"/>
    <w:rsid w:val="00A92220"/>
    <w:rsid w:val="00A922FD"/>
    <w:rsid w:val="00A924CB"/>
    <w:rsid w:val="00A92F9B"/>
    <w:rsid w:val="00A95299"/>
    <w:rsid w:val="00A97B5F"/>
    <w:rsid w:val="00AA514A"/>
    <w:rsid w:val="00AA5222"/>
    <w:rsid w:val="00AC0DA1"/>
    <w:rsid w:val="00AC2ACB"/>
    <w:rsid w:val="00AC504A"/>
    <w:rsid w:val="00AD1269"/>
    <w:rsid w:val="00AD46F0"/>
    <w:rsid w:val="00AE489D"/>
    <w:rsid w:val="00AE673E"/>
    <w:rsid w:val="00AF2269"/>
    <w:rsid w:val="00AF4280"/>
    <w:rsid w:val="00AF4646"/>
    <w:rsid w:val="00AF482F"/>
    <w:rsid w:val="00AF4F1F"/>
    <w:rsid w:val="00AF5D9A"/>
    <w:rsid w:val="00AF6818"/>
    <w:rsid w:val="00B01987"/>
    <w:rsid w:val="00B02AEC"/>
    <w:rsid w:val="00B030EF"/>
    <w:rsid w:val="00B06AFA"/>
    <w:rsid w:val="00B163F5"/>
    <w:rsid w:val="00B16994"/>
    <w:rsid w:val="00B17F6C"/>
    <w:rsid w:val="00B25401"/>
    <w:rsid w:val="00B2633A"/>
    <w:rsid w:val="00B34717"/>
    <w:rsid w:val="00B40437"/>
    <w:rsid w:val="00B41273"/>
    <w:rsid w:val="00B45D46"/>
    <w:rsid w:val="00B47037"/>
    <w:rsid w:val="00B518C7"/>
    <w:rsid w:val="00B52317"/>
    <w:rsid w:val="00B544DF"/>
    <w:rsid w:val="00B66688"/>
    <w:rsid w:val="00B66966"/>
    <w:rsid w:val="00B67561"/>
    <w:rsid w:val="00B80605"/>
    <w:rsid w:val="00B870BC"/>
    <w:rsid w:val="00B912DB"/>
    <w:rsid w:val="00B91B8E"/>
    <w:rsid w:val="00B93104"/>
    <w:rsid w:val="00B961FE"/>
    <w:rsid w:val="00BA21C6"/>
    <w:rsid w:val="00BA39C9"/>
    <w:rsid w:val="00BA4D6C"/>
    <w:rsid w:val="00BA6094"/>
    <w:rsid w:val="00BB0024"/>
    <w:rsid w:val="00BB10B0"/>
    <w:rsid w:val="00BB1E0E"/>
    <w:rsid w:val="00BB6EA6"/>
    <w:rsid w:val="00BC05D3"/>
    <w:rsid w:val="00BC518B"/>
    <w:rsid w:val="00BD2362"/>
    <w:rsid w:val="00BD611F"/>
    <w:rsid w:val="00BE2AD0"/>
    <w:rsid w:val="00BE33FA"/>
    <w:rsid w:val="00BE7F6C"/>
    <w:rsid w:val="00BF2005"/>
    <w:rsid w:val="00BF2BF5"/>
    <w:rsid w:val="00BF3F85"/>
    <w:rsid w:val="00C00C37"/>
    <w:rsid w:val="00C03FC7"/>
    <w:rsid w:val="00C13AAF"/>
    <w:rsid w:val="00C13D05"/>
    <w:rsid w:val="00C224B2"/>
    <w:rsid w:val="00C2256E"/>
    <w:rsid w:val="00C24C67"/>
    <w:rsid w:val="00C33560"/>
    <w:rsid w:val="00C35A3C"/>
    <w:rsid w:val="00C36588"/>
    <w:rsid w:val="00C36A74"/>
    <w:rsid w:val="00C459E0"/>
    <w:rsid w:val="00C50036"/>
    <w:rsid w:val="00C52471"/>
    <w:rsid w:val="00C570B9"/>
    <w:rsid w:val="00C61204"/>
    <w:rsid w:val="00C62BA7"/>
    <w:rsid w:val="00C65911"/>
    <w:rsid w:val="00C7186B"/>
    <w:rsid w:val="00C72D85"/>
    <w:rsid w:val="00C849F0"/>
    <w:rsid w:val="00C86FDD"/>
    <w:rsid w:val="00C911BA"/>
    <w:rsid w:val="00C911EB"/>
    <w:rsid w:val="00C94F9A"/>
    <w:rsid w:val="00CA0DD8"/>
    <w:rsid w:val="00CA39A1"/>
    <w:rsid w:val="00CA7C54"/>
    <w:rsid w:val="00CB03B2"/>
    <w:rsid w:val="00CB0651"/>
    <w:rsid w:val="00CB1188"/>
    <w:rsid w:val="00CB1743"/>
    <w:rsid w:val="00CB2AAD"/>
    <w:rsid w:val="00CB308A"/>
    <w:rsid w:val="00CB5B7B"/>
    <w:rsid w:val="00CC366D"/>
    <w:rsid w:val="00CD25AD"/>
    <w:rsid w:val="00CD5B27"/>
    <w:rsid w:val="00CE1BC7"/>
    <w:rsid w:val="00CE4877"/>
    <w:rsid w:val="00CE514E"/>
    <w:rsid w:val="00CF10DF"/>
    <w:rsid w:val="00CF4D0F"/>
    <w:rsid w:val="00CF69EE"/>
    <w:rsid w:val="00CF6C0A"/>
    <w:rsid w:val="00CF7E1E"/>
    <w:rsid w:val="00D00A18"/>
    <w:rsid w:val="00D00AD4"/>
    <w:rsid w:val="00D02389"/>
    <w:rsid w:val="00D02EEA"/>
    <w:rsid w:val="00D031E3"/>
    <w:rsid w:val="00D060C1"/>
    <w:rsid w:val="00D10EEC"/>
    <w:rsid w:val="00D119A4"/>
    <w:rsid w:val="00D20BBD"/>
    <w:rsid w:val="00D21B38"/>
    <w:rsid w:val="00D22B76"/>
    <w:rsid w:val="00D2314F"/>
    <w:rsid w:val="00D26F45"/>
    <w:rsid w:val="00D306CC"/>
    <w:rsid w:val="00D37A57"/>
    <w:rsid w:val="00D40233"/>
    <w:rsid w:val="00D41676"/>
    <w:rsid w:val="00D441CA"/>
    <w:rsid w:val="00D4451B"/>
    <w:rsid w:val="00D44C20"/>
    <w:rsid w:val="00D473FB"/>
    <w:rsid w:val="00D47BDD"/>
    <w:rsid w:val="00D55945"/>
    <w:rsid w:val="00D60F5F"/>
    <w:rsid w:val="00D62FA9"/>
    <w:rsid w:val="00D631AD"/>
    <w:rsid w:val="00D645E4"/>
    <w:rsid w:val="00D701D7"/>
    <w:rsid w:val="00D752DC"/>
    <w:rsid w:val="00D75D21"/>
    <w:rsid w:val="00D82047"/>
    <w:rsid w:val="00D851FA"/>
    <w:rsid w:val="00D93939"/>
    <w:rsid w:val="00D94517"/>
    <w:rsid w:val="00D962CC"/>
    <w:rsid w:val="00D967E0"/>
    <w:rsid w:val="00D96E7A"/>
    <w:rsid w:val="00DA4104"/>
    <w:rsid w:val="00DA4B53"/>
    <w:rsid w:val="00DA5FF9"/>
    <w:rsid w:val="00DC0905"/>
    <w:rsid w:val="00DC1118"/>
    <w:rsid w:val="00DC2456"/>
    <w:rsid w:val="00DD197B"/>
    <w:rsid w:val="00DD431C"/>
    <w:rsid w:val="00DD4A46"/>
    <w:rsid w:val="00DD564A"/>
    <w:rsid w:val="00DD6B10"/>
    <w:rsid w:val="00DE7D4C"/>
    <w:rsid w:val="00DF428B"/>
    <w:rsid w:val="00E03D58"/>
    <w:rsid w:val="00E03EA4"/>
    <w:rsid w:val="00E16211"/>
    <w:rsid w:val="00E20492"/>
    <w:rsid w:val="00E22C4D"/>
    <w:rsid w:val="00E25374"/>
    <w:rsid w:val="00E27836"/>
    <w:rsid w:val="00E27C87"/>
    <w:rsid w:val="00E31D7C"/>
    <w:rsid w:val="00E33388"/>
    <w:rsid w:val="00E35199"/>
    <w:rsid w:val="00E35C2D"/>
    <w:rsid w:val="00E4318F"/>
    <w:rsid w:val="00E43847"/>
    <w:rsid w:val="00E43C4E"/>
    <w:rsid w:val="00E456B0"/>
    <w:rsid w:val="00E46874"/>
    <w:rsid w:val="00E4690F"/>
    <w:rsid w:val="00E5150F"/>
    <w:rsid w:val="00E65E5F"/>
    <w:rsid w:val="00E7786E"/>
    <w:rsid w:val="00E817B4"/>
    <w:rsid w:val="00E86AC4"/>
    <w:rsid w:val="00E9576E"/>
    <w:rsid w:val="00EA43B9"/>
    <w:rsid w:val="00EA5D9B"/>
    <w:rsid w:val="00EB2510"/>
    <w:rsid w:val="00EB7972"/>
    <w:rsid w:val="00EC00E9"/>
    <w:rsid w:val="00ED127D"/>
    <w:rsid w:val="00ED207E"/>
    <w:rsid w:val="00ED2212"/>
    <w:rsid w:val="00EE0270"/>
    <w:rsid w:val="00EE052B"/>
    <w:rsid w:val="00EE0E3F"/>
    <w:rsid w:val="00EE2576"/>
    <w:rsid w:val="00EE388C"/>
    <w:rsid w:val="00EE59AA"/>
    <w:rsid w:val="00EF009A"/>
    <w:rsid w:val="00EF0417"/>
    <w:rsid w:val="00EF24D1"/>
    <w:rsid w:val="00EF2C51"/>
    <w:rsid w:val="00EF2FC5"/>
    <w:rsid w:val="00F034AA"/>
    <w:rsid w:val="00F06184"/>
    <w:rsid w:val="00F0748B"/>
    <w:rsid w:val="00F12CE8"/>
    <w:rsid w:val="00F33885"/>
    <w:rsid w:val="00F344AA"/>
    <w:rsid w:val="00F41561"/>
    <w:rsid w:val="00F425BD"/>
    <w:rsid w:val="00F434BE"/>
    <w:rsid w:val="00F4384F"/>
    <w:rsid w:val="00F5461F"/>
    <w:rsid w:val="00F55FA9"/>
    <w:rsid w:val="00F615B3"/>
    <w:rsid w:val="00F61A1C"/>
    <w:rsid w:val="00F62BC8"/>
    <w:rsid w:val="00F63D62"/>
    <w:rsid w:val="00F649B3"/>
    <w:rsid w:val="00F977F4"/>
    <w:rsid w:val="00F97B1E"/>
    <w:rsid w:val="00FA16CE"/>
    <w:rsid w:val="00FC0104"/>
    <w:rsid w:val="00FC0904"/>
    <w:rsid w:val="00FC0A42"/>
    <w:rsid w:val="00FC53BA"/>
    <w:rsid w:val="00FC7039"/>
    <w:rsid w:val="00FC743E"/>
    <w:rsid w:val="00FD46BB"/>
    <w:rsid w:val="00FD50BF"/>
    <w:rsid w:val="00FD6586"/>
    <w:rsid w:val="00FE03D4"/>
    <w:rsid w:val="00FE08F3"/>
    <w:rsid w:val="00FE1B83"/>
    <w:rsid w:val="00FE3899"/>
    <w:rsid w:val="00FF23AF"/>
    <w:rsid w:val="00FF6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autoRedefine/>
    <w:qFormat/>
    <w:rsid w:val="004B696C"/>
    <w:pPr>
      <w:keepNext/>
      <w:numPr>
        <w:numId w:val="14"/>
      </w:numPr>
      <w:spacing w:before="560" w:after="480"/>
      <w:outlineLvl w:val="0"/>
    </w:pPr>
    <w:rPr>
      <w:rFonts w:ascii="Calibri" w:hAnsi="Calibri" w:cs="Calibri"/>
      <w:b/>
      <w:bCs/>
      <w:kern w:val="32"/>
      <w:sz w:val="28"/>
      <w:szCs w:val="32"/>
    </w:rPr>
  </w:style>
  <w:style w:type="paragraph" w:styleId="Heading2">
    <w:name w:val="heading 2"/>
    <w:basedOn w:val="Heading1"/>
    <w:next w:val="Normal"/>
    <w:link w:val="Heading2Char"/>
    <w:qFormat/>
    <w:rsid w:val="004B696C"/>
    <w:pPr>
      <w:keepLines/>
      <w:numPr>
        <w:ilvl w:val="1"/>
      </w:numPr>
      <w:spacing w:before="200"/>
      <w:outlineLvl w:val="1"/>
    </w:pPr>
    <w:rPr>
      <w:rFonts w:asciiTheme="minorHAnsi" w:eastAsiaTheme="majorEastAsia" w:hAnsiTheme="minorHAnsi" w:cstheme="majorBidi"/>
      <w:bCs w:val="0"/>
      <w:sz w:val="24"/>
      <w:szCs w:val="26"/>
    </w:rPr>
  </w:style>
  <w:style w:type="paragraph" w:styleId="Heading3">
    <w:name w:val="heading 3"/>
    <w:basedOn w:val="Normal"/>
    <w:next w:val="Normal"/>
    <w:link w:val="Heading3Char"/>
    <w:unhideWhenUsed/>
    <w:qFormat/>
    <w:rsid w:val="00D82047"/>
    <w:pPr>
      <w:keepNext/>
      <w:numPr>
        <w:ilvl w:val="2"/>
        <w:numId w:val="14"/>
      </w:numPr>
      <w:spacing w:before="320" w:after="240"/>
      <w:outlineLvl w:val="2"/>
    </w:pPr>
    <w:rPr>
      <w:rFonts w:ascii="Calibri" w:hAnsi="Calibr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7D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FE08F3"/>
    <w:rPr>
      <w:sz w:val="20"/>
      <w:szCs w:val="20"/>
    </w:rPr>
  </w:style>
  <w:style w:type="character" w:styleId="FootnoteReference">
    <w:name w:val="footnote reference"/>
    <w:semiHidden/>
    <w:rsid w:val="00FE08F3"/>
    <w:rPr>
      <w:vertAlign w:val="superscript"/>
    </w:rPr>
  </w:style>
  <w:style w:type="character" w:styleId="Hyperlink">
    <w:name w:val="Hyperlink"/>
    <w:uiPriority w:val="99"/>
    <w:rsid w:val="00FE08F3"/>
    <w:rPr>
      <w:color w:val="0000FF"/>
      <w:u w:val="single"/>
    </w:rPr>
  </w:style>
  <w:style w:type="paragraph" w:styleId="Footer">
    <w:name w:val="footer"/>
    <w:basedOn w:val="Normal"/>
    <w:link w:val="FooterChar"/>
    <w:uiPriority w:val="99"/>
    <w:rsid w:val="00FE08F3"/>
    <w:pPr>
      <w:tabs>
        <w:tab w:val="center" w:pos="4320"/>
        <w:tab w:val="right" w:pos="8640"/>
      </w:tabs>
    </w:pPr>
  </w:style>
  <w:style w:type="character" w:styleId="PageNumber">
    <w:name w:val="page number"/>
    <w:basedOn w:val="DefaultParagraphFont"/>
    <w:rsid w:val="00FE08F3"/>
  </w:style>
  <w:style w:type="paragraph" w:styleId="TOC1">
    <w:name w:val="toc 1"/>
    <w:basedOn w:val="Normal"/>
    <w:next w:val="Normal"/>
    <w:autoRedefine/>
    <w:uiPriority w:val="39"/>
    <w:rsid w:val="007A6712"/>
  </w:style>
  <w:style w:type="character" w:customStyle="1" w:styleId="Heading1Char">
    <w:name w:val="Heading 1 Char"/>
    <w:link w:val="Heading1"/>
    <w:rsid w:val="004B696C"/>
    <w:rPr>
      <w:rFonts w:ascii="Calibri" w:hAnsi="Calibri" w:cs="Calibri"/>
      <w:b/>
      <w:bCs/>
      <w:kern w:val="32"/>
      <w:sz w:val="28"/>
      <w:szCs w:val="32"/>
    </w:rPr>
  </w:style>
  <w:style w:type="numbering" w:customStyle="1" w:styleId="StyleNumberedArial16ptBold">
    <w:name w:val="Style Numbered Arial 16 pt Bold"/>
    <w:basedOn w:val="NoList"/>
    <w:rsid w:val="00EF2C51"/>
    <w:pPr>
      <w:numPr>
        <w:numId w:val="3"/>
      </w:numPr>
    </w:pPr>
  </w:style>
  <w:style w:type="paragraph" w:styleId="BalloonText">
    <w:name w:val="Balloon Text"/>
    <w:basedOn w:val="Normal"/>
    <w:semiHidden/>
    <w:rsid w:val="005A153A"/>
    <w:rPr>
      <w:rFonts w:ascii="Tahoma" w:hAnsi="Tahoma" w:cs="Tahoma"/>
      <w:sz w:val="16"/>
      <w:szCs w:val="16"/>
    </w:rPr>
  </w:style>
  <w:style w:type="character" w:styleId="CommentReference">
    <w:name w:val="annotation reference"/>
    <w:semiHidden/>
    <w:rsid w:val="00C35A3C"/>
    <w:rPr>
      <w:sz w:val="16"/>
      <w:szCs w:val="16"/>
    </w:rPr>
  </w:style>
  <w:style w:type="paragraph" w:styleId="CommentText">
    <w:name w:val="annotation text"/>
    <w:basedOn w:val="Normal"/>
    <w:semiHidden/>
    <w:rsid w:val="00C35A3C"/>
    <w:rPr>
      <w:sz w:val="20"/>
      <w:szCs w:val="20"/>
    </w:rPr>
  </w:style>
  <w:style w:type="paragraph" w:styleId="CommentSubject">
    <w:name w:val="annotation subject"/>
    <w:basedOn w:val="CommentText"/>
    <w:next w:val="CommentText"/>
    <w:semiHidden/>
    <w:rsid w:val="00C35A3C"/>
    <w:rPr>
      <w:b/>
      <w:bCs/>
    </w:rPr>
  </w:style>
  <w:style w:type="character" w:styleId="FollowedHyperlink">
    <w:name w:val="FollowedHyperlink"/>
    <w:rsid w:val="00783A68"/>
    <w:rPr>
      <w:color w:val="800080"/>
      <w:u w:val="single"/>
    </w:rPr>
  </w:style>
  <w:style w:type="character" w:customStyle="1" w:styleId="Heading3Char">
    <w:name w:val="Heading 3 Char"/>
    <w:link w:val="Heading3"/>
    <w:rsid w:val="00D82047"/>
    <w:rPr>
      <w:rFonts w:ascii="Calibri" w:hAnsi="Calibri"/>
      <w:b/>
      <w:bCs/>
      <w:sz w:val="24"/>
      <w:szCs w:val="26"/>
    </w:rPr>
  </w:style>
  <w:style w:type="paragraph" w:styleId="ListParagraph">
    <w:name w:val="List Paragraph"/>
    <w:basedOn w:val="Normal"/>
    <w:uiPriority w:val="34"/>
    <w:qFormat/>
    <w:rsid w:val="005A3200"/>
    <w:pPr>
      <w:ind w:left="708"/>
    </w:pPr>
  </w:style>
  <w:style w:type="paragraph" w:styleId="TOCHeading">
    <w:name w:val="TOC Heading"/>
    <w:basedOn w:val="Heading1"/>
    <w:next w:val="Normal"/>
    <w:uiPriority w:val="39"/>
    <w:semiHidden/>
    <w:unhideWhenUsed/>
    <w:qFormat/>
    <w:rsid w:val="001349F7"/>
    <w:pPr>
      <w:keepLines/>
      <w:numPr>
        <w:numId w:val="0"/>
      </w:numPr>
      <w:spacing w:before="480" w:after="0" w:line="276" w:lineRule="auto"/>
      <w:outlineLvl w:val="9"/>
    </w:pPr>
    <w:rPr>
      <w:rFonts w:ascii="Cambria" w:eastAsia="MS Gothic" w:hAnsi="Cambria" w:cs="Times New Roman"/>
      <w:color w:val="365F91"/>
      <w:kern w:val="0"/>
      <w:szCs w:val="28"/>
      <w:lang w:eastAsia="ja-JP"/>
    </w:rPr>
  </w:style>
  <w:style w:type="paragraph" w:styleId="TOC2">
    <w:name w:val="toc 2"/>
    <w:basedOn w:val="Normal"/>
    <w:next w:val="Normal"/>
    <w:autoRedefine/>
    <w:uiPriority w:val="39"/>
    <w:rsid w:val="001349F7"/>
    <w:pPr>
      <w:ind w:left="240"/>
    </w:pPr>
  </w:style>
  <w:style w:type="paragraph" w:styleId="TOC3">
    <w:name w:val="toc 3"/>
    <w:basedOn w:val="Normal"/>
    <w:next w:val="Normal"/>
    <w:autoRedefine/>
    <w:uiPriority w:val="39"/>
    <w:rsid w:val="001349F7"/>
    <w:pPr>
      <w:ind w:left="480"/>
    </w:pPr>
  </w:style>
  <w:style w:type="paragraph" w:styleId="Header">
    <w:name w:val="header"/>
    <w:basedOn w:val="Normal"/>
    <w:link w:val="HeaderChar"/>
    <w:rsid w:val="003A47BA"/>
    <w:pPr>
      <w:tabs>
        <w:tab w:val="center" w:pos="4819"/>
        <w:tab w:val="right" w:pos="9638"/>
      </w:tabs>
    </w:pPr>
  </w:style>
  <w:style w:type="character" w:customStyle="1" w:styleId="HeaderChar">
    <w:name w:val="Header Char"/>
    <w:link w:val="Header"/>
    <w:rsid w:val="003A47BA"/>
    <w:rPr>
      <w:sz w:val="24"/>
      <w:szCs w:val="24"/>
      <w:lang w:val="en-US" w:eastAsia="en-US"/>
    </w:rPr>
  </w:style>
  <w:style w:type="character" w:styleId="Strong">
    <w:name w:val="Strong"/>
    <w:qFormat/>
    <w:rsid w:val="00ED207E"/>
    <w:rPr>
      <w:b/>
      <w:bCs/>
    </w:rPr>
  </w:style>
  <w:style w:type="character" w:customStyle="1" w:styleId="FooterChar">
    <w:name w:val="Footer Char"/>
    <w:basedOn w:val="DefaultParagraphFont"/>
    <w:link w:val="Footer"/>
    <w:uiPriority w:val="99"/>
    <w:rsid w:val="00C36A74"/>
    <w:rPr>
      <w:sz w:val="24"/>
      <w:szCs w:val="24"/>
    </w:rPr>
  </w:style>
  <w:style w:type="paragraph" w:styleId="Caption">
    <w:name w:val="caption"/>
    <w:basedOn w:val="Normal"/>
    <w:next w:val="Normal"/>
    <w:unhideWhenUsed/>
    <w:qFormat/>
    <w:rsid w:val="00D631AD"/>
    <w:pPr>
      <w:spacing w:after="200"/>
    </w:pPr>
    <w:rPr>
      <w:rFonts w:asciiTheme="minorHAnsi" w:hAnsiTheme="minorHAnsi"/>
      <w:b/>
      <w:bCs/>
      <w:sz w:val="22"/>
      <w:szCs w:val="18"/>
    </w:rPr>
  </w:style>
  <w:style w:type="paragraph" w:styleId="TableofFigures">
    <w:name w:val="table of figures"/>
    <w:basedOn w:val="Normal"/>
    <w:next w:val="Normal"/>
    <w:uiPriority w:val="99"/>
    <w:rsid w:val="00B870BC"/>
  </w:style>
  <w:style w:type="paragraph" w:styleId="Revision">
    <w:name w:val="Revision"/>
    <w:hidden/>
    <w:uiPriority w:val="99"/>
    <w:semiHidden/>
    <w:rsid w:val="004D446C"/>
    <w:rPr>
      <w:sz w:val="24"/>
      <w:szCs w:val="24"/>
    </w:rPr>
  </w:style>
  <w:style w:type="character" w:customStyle="1" w:styleId="Heading2Char">
    <w:name w:val="Heading 2 Char"/>
    <w:basedOn w:val="DefaultParagraphFont"/>
    <w:link w:val="Heading2"/>
    <w:rsid w:val="004B696C"/>
    <w:rPr>
      <w:rFonts w:asciiTheme="minorHAnsi" w:eastAsiaTheme="majorEastAsia" w:hAnsiTheme="minorHAnsi" w:cstheme="majorBidi"/>
      <w:b/>
      <w:kern w:val="32"/>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autoRedefine/>
    <w:qFormat/>
    <w:rsid w:val="004B696C"/>
    <w:pPr>
      <w:keepNext/>
      <w:numPr>
        <w:numId w:val="14"/>
      </w:numPr>
      <w:spacing w:before="560" w:after="480"/>
      <w:outlineLvl w:val="0"/>
    </w:pPr>
    <w:rPr>
      <w:rFonts w:ascii="Calibri" w:hAnsi="Calibri" w:cs="Calibri"/>
      <w:b/>
      <w:bCs/>
      <w:kern w:val="32"/>
      <w:sz w:val="28"/>
      <w:szCs w:val="32"/>
    </w:rPr>
  </w:style>
  <w:style w:type="paragraph" w:styleId="Heading2">
    <w:name w:val="heading 2"/>
    <w:basedOn w:val="Heading1"/>
    <w:next w:val="Normal"/>
    <w:link w:val="Heading2Char"/>
    <w:qFormat/>
    <w:rsid w:val="004B696C"/>
    <w:pPr>
      <w:keepLines/>
      <w:numPr>
        <w:ilvl w:val="1"/>
      </w:numPr>
      <w:spacing w:before="200"/>
      <w:outlineLvl w:val="1"/>
    </w:pPr>
    <w:rPr>
      <w:rFonts w:asciiTheme="minorHAnsi" w:eastAsiaTheme="majorEastAsia" w:hAnsiTheme="minorHAnsi" w:cstheme="majorBidi"/>
      <w:bCs w:val="0"/>
      <w:sz w:val="24"/>
      <w:szCs w:val="26"/>
    </w:rPr>
  </w:style>
  <w:style w:type="paragraph" w:styleId="Heading3">
    <w:name w:val="heading 3"/>
    <w:basedOn w:val="Normal"/>
    <w:next w:val="Normal"/>
    <w:link w:val="Heading3Char"/>
    <w:unhideWhenUsed/>
    <w:qFormat/>
    <w:rsid w:val="00D82047"/>
    <w:pPr>
      <w:keepNext/>
      <w:numPr>
        <w:ilvl w:val="2"/>
        <w:numId w:val="14"/>
      </w:numPr>
      <w:spacing w:before="320" w:after="240"/>
      <w:outlineLvl w:val="2"/>
    </w:pPr>
    <w:rPr>
      <w:rFonts w:ascii="Calibri" w:hAnsi="Calibr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7D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FE08F3"/>
    <w:rPr>
      <w:sz w:val="20"/>
      <w:szCs w:val="20"/>
    </w:rPr>
  </w:style>
  <w:style w:type="character" w:styleId="FootnoteReference">
    <w:name w:val="footnote reference"/>
    <w:semiHidden/>
    <w:rsid w:val="00FE08F3"/>
    <w:rPr>
      <w:vertAlign w:val="superscript"/>
    </w:rPr>
  </w:style>
  <w:style w:type="character" w:styleId="Hyperlink">
    <w:name w:val="Hyperlink"/>
    <w:uiPriority w:val="99"/>
    <w:rsid w:val="00FE08F3"/>
    <w:rPr>
      <w:color w:val="0000FF"/>
      <w:u w:val="single"/>
    </w:rPr>
  </w:style>
  <w:style w:type="paragraph" w:styleId="Footer">
    <w:name w:val="footer"/>
    <w:basedOn w:val="Normal"/>
    <w:link w:val="FooterChar"/>
    <w:uiPriority w:val="99"/>
    <w:rsid w:val="00FE08F3"/>
    <w:pPr>
      <w:tabs>
        <w:tab w:val="center" w:pos="4320"/>
        <w:tab w:val="right" w:pos="8640"/>
      </w:tabs>
    </w:pPr>
  </w:style>
  <w:style w:type="character" w:styleId="PageNumber">
    <w:name w:val="page number"/>
    <w:basedOn w:val="DefaultParagraphFont"/>
    <w:rsid w:val="00FE08F3"/>
  </w:style>
  <w:style w:type="paragraph" w:styleId="TOC1">
    <w:name w:val="toc 1"/>
    <w:basedOn w:val="Normal"/>
    <w:next w:val="Normal"/>
    <w:autoRedefine/>
    <w:uiPriority w:val="39"/>
    <w:rsid w:val="007A6712"/>
  </w:style>
  <w:style w:type="character" w:customStyle="1" w:styleId="Heading1Char">
    <w:name w:val="Heading 1 Char"/>
    <w:link w:val="Heading1"/>
    <w:rsid w:val="004B696C"/>
    <w:rPr>
      <w:rFonts w:ascii="Calibri" w:hAnsi="Calibri" w:cs="Calibri"/>
      <w:b/>
      <w:bCs/>
      <w:kern w:val="32"/>
      <w:sz w:val="28"/>
      <w:szCs w:val="32"/>
    </w:rPr>
  </w:style>
  <w:style w:type="numbering" w:customStyle="1" w:styleId="StyleNumberedArial16ptBold">
    <w:name w:val="Style Numbered Arial 16 pt Bold"/>
    <w:basedOn w:val="NoList"/>
    <w:rsid w:val="00EF2C51"/>
    <w:pPr>
      <w:numPr>
        <w:numId w:val="3"/>
      </w:numPr>
    </w:pPr>
  </w:style>
  <w:style w:type="paragraph" w:styleId="BalloonText">
    <w:name w:val="Balloon Text"/>
    <w:basedOn w:val="Normal"/>
    <w:semiHidden/>
    <w:rsid w:val="005A153A"/>
    <w:rPr>
      <w:rFonts w:ascii="Tahoma" w:hAnsi="Tahoma" w:cs="Tahoma"/>
      <w:sz w:val="16"/>
      <w:szCs w:val="16"/>
    </w:rPr>
  </w:style>
  <w:style w:type="character" w:styleId="CommentReference">
    <w:name w:val="annotation reference"/>
    <w:semiHidden/>
    <w:rsid w:val="00C35A3C"/>
    <w:rPr>
      <w:sz w:val="16"/>
      <w:szCs w:val="16"/>
    </w:rPr>
  </w:style>
  <w:style w:type="paragraph" w:styleId="CommentText">
    <w:name w:val="annotation text"/>
    <w:basedOn w:val="Normal"/>
    <w:semiHidden/>
    <w:rsid w:val="00C35A3C"/>
    <w:rPr>
      <w:sz w:val="20"/>
      <w:szCs w:val="20"/>
    </w:rPr>
  </w:style>
  <w:style w:type="paragraph" w:styleId="CommentSubject">
    <w:name w:val="annotation subject"/>
    <w:basedOn w:val="CommentText"/>
    <w:next w:val="CommentText"/>
    <w:semiHidden/>
    <w:rsid w:val="00C35A3C"/>
    <w:rPr>
      <w:b/>
      <w:bCs/>
    </w:rPr>
  </w:style>
  <w:style w:type="character" w:styleId="FollowedHyperlink">
    <w:name w:val="FollowedHyperlink"/>
    <w:rsid w:val="00783A68"/>
    <w:rPr>
      <w:color w:val="800080"/>
      <w:u w:val="single"/>
    </w:rPr>
  </w:style>
  <w:style w:type="character" w:customStyle="1" w:styleId="Heading3Char">
    <w:name w:val="Heading 3 Char"/>
    <w:link w:val="Heading3"/>
    <w:rsid w:val="00D82047"/>
    <w:rPr>
      <w:rFonts w:ascii="Calibri" w:hAnsi="Calibri"/>
      <w:b/>
      <w:bCs/>
      <w:sz w:val="24"/>
      <w:szCs w:val="26"/>
    </w:rPr>
  </w:style>
  <w:style w:type="paragraph" w:styleId="ListParagraph">
    <w:name w:val="List Paragraph"/>
    <w:basedOn w:val="Normal"/>
    <w:uiPriority w:val="34"/>
    <w:qFormat/>
    <w:rsid w:val="005A3200"/>
    <w:pPr>
      <w:ind w:left="708"/>
    </w:pPr>
  </w:style>
  <w:style w:type="paragraph" w:styleId="TOCHeading">
    <w:name w:val="TOC Heading"/>
    <w:basedOn w:val="Heading1"/>
    <w:next w:val="Normal"/>
    <w:uiPriority w:val="39"/>
    <w:semiHidden/>
    <w:unhideWhenUsed/>
    <w:qFormat/>
    <w:rsid w:val="001349F7"/>
    <w:pPr>
      <w:keepLines/>
      <w:numPr>
        <w:numId w:val="0"/>
      </w:numPr>
      <w:spacing w:before="480" w:after="0" w:line="276" w:lineRule="auto"/>
      <w:outlineLvl w:val="9"/>
    </w:pPr>
    <w:rPr>
      <w:rFonts w:ascii="Cambria" w:eastAsia="MS Gothic" w:hAnsi="Cambria" w:cs="Times New Roman"/>
      <w:color w:val="365F91"/>
      <w:kern w:val="0"/>
      <w:szCs w:val="28"/>
      <w:lang w:eastAsia="ja-JP"/>
    </w:rPr>
  </w:style>
  <w:style w:type="paragraph" w:styleId="TOC2">
    <w:name w:val="toc 2"/>
    <w:basedOn w:val="Normal"/>
    <w:next w:val="Normal"/>
    <w:autoRedefine/>
    <w:uiPriority w:val="39"/>
    <w:rsid w:val="001349F7"/>
    <w:pPr>
      <w:ind w:left="240"/>
    </w:pPr>
  </w:style>
  <w:style w:type="paragraph" w:styleId="TOC3">
    <w:name w:val="toc 3"/>
    <w:basedOn w:val="Normal"/>
    <w:next w:val="Normal"/>
    <w:autoRedefine/>
    <w:uiPriority w:val="39"/>
    <w:rsid w:val="001349F7"/>
    <w:pPr>
      <w:ind w:left="480"/>
    </w:pPr>
  </w:style>
  <w:style w:type="paragraph" w:styleId="Header">
    <w:name w:val="header"/>
    <w:basedOn w:val="Normal"/>
    <w:link w:val="HeaderChar"/>
    <w:rsid w:val="003A47BA"/>
    <w:pPr>
      <w:tabs>
        <w:tab w:val="center" w:pos="4819"/>
        <w:tab w:val="right" w:pos="9638"/>
      </w:tabs>
    </w:pPr>
  </w:style>
  <w:style w:type="character" w:customStyle="1" w:styleId="HeaderChar">
    <w:name w:val="Header Char"/>
    <w:link w:val="Header"/>
    <w:rsid w:val="003A47BA"/>
    <w:rPr>
      <w:sz w:val="24"/>
      <w:szCs w:val="24"/>
      <w:lang w:val="en-US" w:eastAsia="en-US"/>
    </w:rPr>
  </w:style>
  <w:style w:type="character" w:styleId="Strong">
    <w:name w:val="Strong"/>
    <w:qFormat/>
    <w:rsid w:val="00ED207E"/>
    <w:rPr>
      <w:b/>
      <w:bCs/>
    </w:rPr>
  </w:style>
  <w:style w:type="character" w:customStyle="1" w:styleId="FooterChar">
    <w:name w:val="Footer Char"/>
    <w:basedOn w:val="DefaultParagraphFont"/>
    <w:link w:val="Footer"/>
    <w:uiPriority w:val="99"/>
    <w:rsid w:val="00C36A74"/>
    <w:rPr>
      <w:sz w:val="24"/>
      <w:szCs w:val="24"/>
    </w:rPr>
  </w:style>
  <w:style w:type="paragraph" w:styleId="Caption">
    <w:name w:val="caption"/>
    <w:basedOn w:val="Normal"/>
    <w:next w:val="Normal"/>
    <w:unhideWhenUsed/>
    <w:qFormat/>
    <w:rsid w:val="00D631AD"/>
    <w:pPr>
      <w:spacing w:after="200"/>
    </w:pPr>
    <w:rPr>
      <w:rFonts w:asciiTheme="minorHAnsi" w:hAnsiTheme="minorHAnsi"/>
      <w:b/>
      <w:bCs/>
      <w:sz w:val="22"/>
      <w:szCs w:val="18"/>
    </w:rPr>
  </w:style>
  <w:style w:type="paragraph" w:styleId="TableofFigures">
    <w:name w:val="table of figures"/>
    <w:basedOn w:val="Normal"/>
    <w:next w:val="Normal"/>
    <w:uiPriority w:val="99"/>
    <w:rsid w:val="00B870BC"/>
  </w:style>
  <w:style w:type="paragraph" w:styleId="Revision">
    <w:name w:val="Revision"/>
    <w:hidden/>
    <w:uiPriority w:val="99"/>
    <w:semiHidden/>
    <w:rsid w:val="004D446C"/>
    <w:rPr>
      <w:sz w:val="24"/>
      <w:szCs w:val="24"/>
    </w:rPr>
  </w:style>
  <w:style w:type="character" w:customStyle="1" w:styleId="Heading2Char">
    <w:name w:val="Heading 2 Char"/>
    <w:basedOn w:val="DefaultParagraphFont"/>
    <w:link w:val="Heading2"/>
    <w:rsid w:val="004B696C"/>
    <w:rPr>
      <w:rFonts w:asciiTheme="minorHAnsi" w:eastAsiaTheme="majorEastAsia" w:hAnsiTheme="minorHAnsi" w:cstheme="majorBidi"/>
      <w:b/>
      <w:kern w:val="3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7506">
      <w:bodyDiv w:val="1"/>
      <w:marLeft w:val="0"/>
      <w:marRight w:val="0"/>
      <w:marTop w:val="0"/>
      <w:marBottom w:val="0"/>
      <w:divBdr>
        <w:top w:val="none" w:sz="0" w:space="0" w:color="auto"/>
        <w:left w:val="none" w:sz="0" w:space="0" w:color="auto"/>
        <w:bottom w:val="none" w:sz="0" w:space="0" w:color="auto"/>
        <w:right w:val="none" w:sz="0" w:space="0" w:color="auto"/>
      </w:divBdr>
    </w:div>
    <w:div w:id="66810397">
      <w:bodyDiv w:val="1"/>
      <w:marLeft w:val="0"/>
      <w:marRight w:val="0"/>
      <w:marTop w:val="0"/>
      <w:marBottom w:val="0"/>
      <w:divBdr>
        <w:top w:val="none" w:sz="0" w:space="0" w:color="auto"/>
        <w:left w:val="none" w:sz="0" w:space="0" w:color="auto"/>
        <w:bottom w:val="none" w:sz="0" w:space="0" w:color="auto"/>
        <w:right w:val="none" w:sz="0" w:space="0" w:color="auto"/>
      </w:divBdr>
    </w:div>
    <w:div w:id="89472676">
      <w:bodyDiv w:val="1"/>
      <w:marLeft w:val="0"/>
      <w:marRight w:val="0"/>
      <w:marTop w:val="0"/>
      <w:marBottom w:val="0"/>
      <w:divBdr>
        <w:top w:val="none" w:sz="0" w:space="0" w:color="auto"/>
        <w:left w:val="none" w:sz="0" w:space="0" w:color="auto"/>
        <w:bottom w:val="none" w:sz="0" w:space="0" w:color="auto"/>
        <w:right w:val="none" w:sz="0" w:space="0" w:color="auto"/>
      </w:divBdr>
    </w:div>
    <w:div w:id="109979993">
      <w:bodyDiv w:val="1"/>
      <w:marLeft w:val="0"/>
      <w:marRight w:val="0"/>
      <w:marTop w:val="0"/>
      <w:marBottom w:val="0"/>
      <w:divBdr>
        <w:top w:val="none" w:sz="0" w:space="0" w:color="auto"/>
        <w:left w:val="none" w:sz="0" w:space="0" w:color="auto"/>
        <w:bottom w:val="none" w:sz="0" w:space="0" w:color="auto"/>
        <w:right w:val="none" w:sz="0" w:space="0" w:color="auto"/>
      </w:divBdr>
    </w:div>
    <w:div w:id="181632142">
      <w:bodyDiv w:val="1"/>
      <w:marLeft w:val="0"/>
      <w:marRight w:val="0"/>
      <w:marTop w:val="0"/>
      <w:marBottom w:val="0"/>
      <w:divBdr>
        <w:top w:val="none" w:sz="0" w:space="0" w:color="auto"/>
        <w:left w:val="none" w:sz="0" w:space="0" w:color="auto"/>
        <w:bottom w:val="none" w:sz="0" w:space="0" w:color="auto"/>
        <w:right w:val="none" w:sz="0" w:space="0" w:color="auto"/>
      </w:divBdr>
    </w:div>
    <w:div w:id="433936337">
      <w:bodyDiv w:val="1"/>
      <w:marLeft w:val="0"/>
      <w:marRight w:val="0"/>
      <w:marTop w:val="0"/>
      <w:marBottom w:val="0"/>
      <w:divBdr>
        <w:top w:val="none" w:sz="0" w:space="0" w:color="auto"/>
        <w:left w:val="none" w:sz="0" w:space="0" w:color="auto"/>
        <w:bottom w:val="none" w:sz="0" w:space="0" w:color="auto"/>
        <w:right w:val="none" w:sz="0" w:space="0" w:color="auto"/>
      </w:divBdr>
    </w:div>
    <w:div w:id="623195472">
      <w:bodyDiv w:val="1"/>
      <w:marLeft w:val="0"/>
      <w:marRight w:val="0"/>
      <w:marTop w:val="0"/>
      <w:marBottom w:val="0"/>
      <w:divBdr>
        <w:top w:val="none" w:sz="0" w:space="0" w:color="auto"/>
        <w:left w:val="none" w:sz="0" w:space="0" w:color="auto"/>
        <w:bottom w:val="none" w:sz="0" w:space="0" w:color="auto"/>
        <w:right w:val="none" w:sz="0" w:space="0" w:color="auto"/>
      </w:divBdr>
    </w:div>
    <w:div w:id="641544536">
      <w:bodyDiv w:val="1"/>
      <w:marLeft w:val="0"/>
      <w:marRight w:val="0"/>
      <w:marTop w:val="0"/>
      <w:marBottom w:val="0"/>
      <w:divBdr>
        <w:top w:val="none" w:sz="0" w:space="0" w:color="auto"/>
        <w:left w:val="none" w:sz="0" w:space="0" w:color="auto"/>
        <w:bottom w:val="none" w:sz="0" w:space="0" w:color="auto"/>
        <w:right w:val="none" w:sz="0" w:space="0" w:color="auto"/>
      </w:divBdr>
    </w:div>
    <w:div w:id="691952411">
      <w:bodyDiv w:val="1"/>
      <w:marLeft w:val="0"/>
      <w:marRight w:val="0"/>
      <w:marTop w:val="0"/>
      <w:marBottom w:val="0"/>
      <w:divBdr>
        <w:top w:val="none" w:sz="0" w:space="0" w:color="auto"/>
        <w:left w:val="none" w:sz="0" w:space="0" w:color="auto"/>
        <w:bottom w:val="none" w:sz="0" w:space="0" w:color="auto"/>
        <w:right w:val="none" w:sz="0" w:space="0" w:color="auto"/>
      </w:divBdr>
    </w:div>
    <w:div w:id="760566371">
      <w:bodyDiv w:val="1"/>
      <w:marLeft w:val="0"/>
      <w:marRight w:val="0"/>
      <w:marTop w:val="0"/>
      <w:marBottom w:val="0"/>
      <w:divBdr>
        <w:top w:val="none" w:sz="0" w:space="0" w:color="auto"/>
        <w:left w:val="none" w:sz="0" w:space="0" w:color="auto"/>
        <w:bottom w:val="none" w:sz="0" w:space="0" w:color="auto"/>
        <w:right w:val="none" w:sz="0" w:space="0" w:color="auto"/>
      </w:divBdr>
    </w:div>
    <w:div w:id="983505853">
      <w:bodyDiv w:val="1"/>
      <w:marLeft w:val="0"/>
      <w:marRight w:val="0"/>
      <w:marTop w:val="0"/>
      <w:marBottom w:val="0"/>
      <w:divBdr>
        <w:top w:val="none" w:sz="0" w:space="0" w:color="auto"/>
        <w:left w:val="none" w:sz="0" w:space="0" w:color="auto"/>
        <w:bottom w:val="none" w:sz="0" w:space="0" w:color="auto"/>
        <w:right w:val="none" w:sz="0" w:space="0" w:color="auto"/>
      </w:divBdr>
    </w:div>
    <w:div w:id="1012954095">
      <w:bodyDiv w:val="1"/>
      <w:marLeft w:val="0"/>
      <w:marRight w:val="0"/>
      <w:marTop w:val="0"/>
      <w:marBottom w:val="0"/>
      <w:divBdr>
        <w:top w:val="none" w:sz="0" w:space="0" w:color="auto"/>
        <w:left w:val="none" w:sz="0" w:space="0" w:color="auto"/>
        <w:bottom w:val="none" w:sz="0" w:space="0" w:color="auto"/>
        <w:right w:val="none" w:sz="0" w:space="0" w:color="auto"/>
      </w:divBdr>
    </w:div>
    <w:div w:id="1057315304">
      <w:bodyDiv w:val="1"/>
      <w:marLeft w:val="0"/>
      <w:marRight w:val="0"/>
      <w:marTop w:val="0"/>
      <w:marBottom w:val="0"/>
      <w:divBdr>
        <w:top w:val="none" w:sz="0" w:space="0" w:color="auto"/>
        <w:left w:val="none" w:sz="0" w:space="0" w:color="auto"/>
        <w:bottom w:val="none" w:sz="0" w:space="0" w:color="auto"/>
        <w:right w:val="none" w:sz="0" w:space="0" w:color="auto"/>
      </w:divBdr>
    </w:div>
    <w:div w:id="1108311088">
      <w:bodyDiv w:val="1"/>
      <w:marLeft w:val="0"/>
      <w:marRight w:val="0"/>
      <w:marTop w:val="0"/>
      <w:marBottom w:val="0"/>
      <w:divBdr>
        <w:top w:val="none" w:sz="0" w:space="0" w:color="auto"/>
        <w:left w:val="none" w:sz="0" w:space="0" w:color="auto"/>
        <w:bottom w:val="none" w:sz="0" w:space="0" w:color="auto"/>
        <w:right w:val="none" w:sz="0" w:space="0" w:color="auto"/>
      </w:divBdr>
    </w:div>
    <w:div w:id="1218012830">
      <w:bodyDiv w:val="1"/>
      <w:marLeft w:val="0"/>
      <w:marRight w:val="0"/>
      <w:marTop w:val="0"/>
      <w:marBottom w:val="0"/>
      <w:divBdr>
        <w:top w:val="none" w:sz="0" w:space="0" w:color="auto"/>
        <w:left w:val="none" w:sz="0" w:space="0" w:color="auto"/>
        <w:bottom w:val="none" w:sz="0" w:space="0" w:color="auto"/>
        <w:right w:val="none" w:sz="0" w:space="0" w:color="auto"/>
      </w:divBdr>
    </w:div>
    <w:div w:id="1241480488">
      <w:bodyDiv w:val="1"/>
      <w:marLeft w:val="0"/>
      <w:marRight w:val="0"/>
      <w:marTop w:val="0"/>
      <w:marBottom w:val="0"/>
      <w:divBdr>
        <w:top w:val="none" w:sz="0" w:space="0" w:color="auto"/>
        <w:left w:val="none" w:sz="0" w:space="0" w:color="auto"/>
        <w:bottom w:val="none" w:sz="0" w:space="0" w:color="auto"/>
        <w:right w:val="none" w:sz="0" w:space="0" w:color="auto"/>
      </w:divBdr>
    </w:div>
    <w:div w:id="1279526426">
      <w:bodyDiv w:val="1"/>
      <w:marLeft w:val="0"/>
      <w:marRight w:val="0"/>
      <w:marTop w:val="0"/>
      <w:marBottom w:val="0"/>
      <w:divBdr>
        <w:top w:val="none" w:sz="0" w:space="0" w:color="auto"/>
        <w:left w:val="none" w:sz="0" w:space="0" w:color="auto"/>
        <w:bottom w:val="none" w:sz="0" w:space="0" w:color="auto"/>
        <w:right w:val="none" w:sz="0" w:space="0" w:color="auto"/>
      </w:divBdr>
    </w:div>
    <w:div w:id="1332367097">
      <w:bodyDiv w:val="1"/>
      <w:marLeft w:val="0"/>
      <w:marRight w:val="0"/>
      <w:marTop w:val="0"/>
      <w:marBottom w:val="0"/>
      <w:divBdr>
        <w:top w:val="none" w:sz="0" w:space="0" w:color="auto"/>
        <w:left w:val="none" w:sz="0" w:space="0" w:color="auto"/>
        <w:bottom w:val="none" w:sz="0" w:space="0" w:color="auto"/>
        <w:right w:val="none" w:sz="0" w:space="0" w:color="auto"/>
      </w:divBdr>
    </w:div>
    <w:div w:id="1346129570">
      <w:bodyDiv w:val="1"/>
      <w:marLeft w:val="0"/>
      <w:marRight w:val="0"/>
      <w:marTop w:val="0"/>
      <w:marBottom w:val="0"/>
      <w:divBdr>
        <w:top w:val="none" w:sz="0" w:space="0" w:color="auto"/>
        <w:left w:val="none" w:sz="0" w:space="0" w:color="auto"/>
        <w:bottom w:val="none" w:sz="0" w:space="0" w:color="auto"/>
        <w:right w:val="none" w:sz="0" w:space="0" w:color="auto"/>
      </w:divBdr>
    </w:div>
    <w:div w:id="1490367576">
      <w:bodyDiv w:val="1"/>
      <w:marLeft w:val="0"/>
      <w:marRight w:val="0"/>
      <w:marTop w:val="0"/>
      <w:marBottom w:val="0"/>
      <w:divBdr>
        <w:top w:val="none" w:sz="0" w:space="0" w:color="auto"/>
        <w:left w:val="none" w:sz="0" w:space="0" w:color="auto"/>
        <w:bottom w:val="none" w:sz="0" w:space="0" w:color="auto"/>
        <w:right w:val="none" w:sz="0" w:space="0" w:color="auto"/>
      </w:divBdr>
    </w:div>
    <w:div w:id="1553301158">
      <w:bodyDiv w:val="1"/>
      <w:marLeft w:val="0"/>
      <w:marRight w:val="0"/>
      <w:marTop w:val="0"/>
      <w:marBottom w:val="0"/>
      <w:divBdr>
        <w:top w:val="none" w:sz="0" w:space="0" w:color="auto"/>
        <w:left w:val="none" w:sz="0" w:space="0" w:color="auto"/>
        <w:bottom w:val="none" w:sz="0" w:space="0" w:color="auto"/>
        <w:right w:val="none" w:sz="0" w:space="0" w:color="auto"/>
      </w:divBdr>
    </w:div>
    <w:div w:id="1604260522">
      <w:bodyDiv w:val="1"/>
      <w:marLeft w:val="0"/>
      <w:marRight w:val="0"/>
      <w:marTop w:val="0"/>
      <w:marBottom w:val="0"/>
      <w:divBdr>
        <w:top w:val="none" w:sz="0" w:space="0" w:color="auto"/>
        <w:left w:val="none" w:sz="0" w:space="0" w:color="auto"/>
        <w:bottom w:val="none" w:sz="0" w:space="0" w:color="auto"/>
        <w:right w:val="none" w:sz="0" w:space="0" w:color="auto"/>
      </w:divBdr>
    </w:div>
    <w:div w:id="1694530353">
      <w:bodyDiv w:val="1"/>
      <w:marLeft w:val="0"/>
      <w:marRight w:val="0"/>
      <w:marTop w:val="0"/>
      <w:marBottom w:val="0"/>
      <w:divBdr>
        <w:top w:val="none" w:sz="0" w:space="0" w:color="auto"/>
        <w:left w:val="none" w:sz="0" w:space="0" w:color="auto"/>
        <w:bottom w:val="none" w:sz="0" w:space="0" w:color="auto"/>
        <w:right w:val="none" w:sz="0" w:space="0" w:color="auto"/>
      </w:divBdr>
    </w:div>
    <w:div w:id="1822961935">
      <w:bodyDiv w:val="1"/>
      <w:marLeft w:val="0"/>
      <w:marRight w:val="0"/>
      <w:marTop w:val="0"/>
      <w:marBottom w:val="0"/>
      <w:divBdr>
        <w:top w:val="none" w:sz="0" w:space="0" w:color="auto"/>
        <w:left w:val="none" w:sz="0" w:space="0" w:color="auto"/>
        <w:bottom w:val="none" w:sz="0" w:space="0" w:color="auto"/>
        <w:right w:val="none" w:sz="0" w:space="0" w:color="auto"/>
      </w:divBdr>
    </w:div>
    <w:div w:id="1883050485">
      <w:bodyDiv w:val="1"/>
      <w:marLeft w:val="0"/>
      <w:marRight w:val="0"/>
      <w:marTop w:val="0"/>
      <w:marBottom w:val="0"/>
      <w:divBdr>
        <w:top w:val="none" w:sz="0" w:space="0" w:color="auto"/>
        <w:left w:val="none" w:sz="0" w:space="0" w:color="auto"/>
        <w:bottom w:val="none" w:sz="0" w:space="0" w:color="auto"/>
        <w:right w:val="none" w:sz="0" w:space="0" w:color="auto"/>
      </w:divBdr>
    </w:div>
    <w:div w:id="1923641400">
      <w:bodyDiv w:val="1"/>
      <w:marLeft w:val="0"/>
      <w:marRight w:val="0"/>
      <w:marTop w:val="0"/>
      <w:marBottom w:val="0"/>
      <w:divBdr>
        <w:top w:val="none" w:sz="0" w:space="0" w:color="auto"/>
        <w:left w:val="none" w:sz="0" w:space="0" w:color="auto"/>
        <w:bottom w:val="none" w:sz="0" w:space="0" w:color="auto"/>
        <w:right w:val="none" w:sz="0" w:space="0" w:color="auto"/>
      </w:divBdr>
    </w:div>
    <w:div w:id="1938714197">
      <w:bodyDiv w:val="1"/>
      <w:marLeft w:val="0"/>
      <w:marRight w:val="0"/>
      <w:marTop w:val="0"/>
      <w:marBottom w:val="0"/>
      <w:divBdr>
        <w:top w:val="none" w:sz="0" w:space="0" w:color="auto"/>
        <w:left w:val="none" w:sz="0" w:space="0" w:color="auto"/>
        <w:bottom w:val="none" w:sz="0" w:space="0" w:color="auto"/>
        <w:right w:val="none" w:sz="0" w:space="0" w:color="auto"/>
      </w:divBdr>
    </w:div>
    <w:div w:id="2013531315">
      <w:bodyDiv w:val="1"/>
      <w:marLeft w:val="0"/>
      <w:marRight w:val="0"/>
      <w:marTop w:val="0"/>
      <w:marBottom w:val="0"/>
      <w:divBdr>
        <w:top w:val="none" w:sz="0" w:space="0" w:color="auto"/>
        <w:left w:val="none" w:sz="0" w:space="0" w:color="auto"/>
        <w:bottom w:val="none" w:sz="0" w:space="0" w:color="auto"/>
        <w:right w:val="none" w:sz="0" w:space="0" w:color="auto"/>
      </w:divBdr>
    </w:div>
    <w:div w:id="2038775216">
      <w:bodyDiv w:val="1"/>
      <w:marLeft w:val="0"/>
      <w:marRight w:val="0"/>
      <w:marTop w:val="0"/>
      <w:marBottom w:val="0"/>
      <w:divBdr>
        <w:top w:val="none" w:sz="0" w:space="0" w:color="auto"/>
        <w:left w:val="none" w:sz="0" w:space="0" w:color="auto"/>
        <w:bottom w:val="none" w:sz="0" w:space="0" w:color="auto"/>
        <w:right w:val="none" w:sz="0" w:space="0" w:color="auto"/>
      </w:divBdr>
    </w:div>
    <w:div w:id="2074505245">
      <w:bodyDiv w:val="1"/>
      <w:marLeft w:val="0"/>
      <w:marRight w:val="0"/>
      <w:marTop w:val="0"/>
      <w:marBottom w:val="0"/>
      <w:divBdr>
        <w:top w:val="none" w:sz="0" w:space="0" w:color="auto"/>
        <w:left w:val="none" w:sz="0" w:space="0" w:color="auto"/>
        <w:bottom w:val="none" w:sz="0" w:space="0" w:color="auto"/>
        <w:right w:val="none" w:sz="0" w:space="0" w:color="auto"/>
      </w:divBdr>
    </w:div>
    <w:div w:id="2106537184">
      <w:bodyDiv w:val="1"/>
      <w:marLeft w:val="0"/>
      <w:marRight w:val="0"/>
      <w:marTop w:val="0"/>
      <w:marBottom w:val="0"/>
      <w:divBdr>
        <w:top w:val="none" w:sz="0" w:space="0" w:color="auto"/>
        <w:left w:val="none" w:sz="0" w:space="0" w:color="auto"/>
        <w:bottom w:val="none" w:sz="0" w:space="0" w:color="auto"/>
        <w:right w:val="none" w:sz="0" w:space="0" w:color="auto"/>
      </w:divBdr>
    </w:div>
    <w:div w:id="214689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unece.org/forests/jwee.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file:///G:\Timber\Policy%20Issues%20(AB)\Wood%20Energy\JWEE\JWEE%202013\JWEE-13-manual-v1-2.docx" TargetMode="External"/><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1.png"/><Relationship Id="rId5" Type="http://schemas.openxmlformats.org/officeDocument/2006/relationships/settings" Target="settings.xml"/><Relationship Id="rId15" Type="http://schemas.openxmlformats.org/officeDocument/2006/relationships/hyperlink" Target="mailto:woodenergy.timber@unece.org" TargetMode="External"/><Relationship Id="rId23" Type="http://schemas.openxmlformats.org/officeDocument/2006/relationships/image" Target="media/image10.emf"/><Relationship Id="rId10" Type="http://schemas.openxmlformats.org/officeDocument/2006/relationships/image" Target="media/image2.png"/><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hyperlink" Target="file:///C:\Documents%20and%20Settings\steierer\Desktop\JWEE-2011v4%203.xls"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ergy/renewables/transparency_platform/doc/article_22_progress_reports/template_progress_reports__article_22.zip" TargetMode="External"/><Relationship Id="rId2" Type="http://schemas.openxmlformats.org/officeDocument/2006/relationships/hyperlink" Target="http://www.unece.org/fileadmin/DAM/timber/publications/DP-49.pdf" TargetMode="External"/><Relationship Id="rId1" Type="http://schemas.openxmlformats.org/officeDocument/2006/relationships/hyperlink" Target="http://www.unece.org/fileadmin/DAM/timber/publications/DP-4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65755-F3D0-42E9-A8E9-9784937A3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6234</Words>
  <Characters>35537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2013 Joint Wood Energy Enquiry Manual</vt:lpstr>
    </vt:vector>
  </TitlesOfParts>
  <Company>UNECE</Company>
  <LinksUpToDate>false</LinksUpToDate>
  <CharactersWithSpaces>41688</CharactersWithSpaces>
  <SharedDoc>false</SharedDoc>
  <HLinks>
    <vt:vector size="234" baseType="variant">
      <vt:variant>
        <vt:i4>3604594</vt:i4>
      </vt:variant>
      <vt:variant>
        <vt:i4>177</vt:i4>
      </vt:variant>
      <vt:variant>
        <vt:i4>0</vt:i4>
      </vt:variant>
      <vt:variant>
        <vt:i4>5</vt:i4>
      </vt:variant>
      <vt:variant>
        <vt:lpwstr>http://www.jwee2011country.xls/</vt:lpwstr>
      </vt:variant>
      <vt:variant>
        <vt:lpwstr/>
      </vt:variant>
      <vt:variant>
        <vt:i4>5636097</vt:i4>
      </vt:variant>
      <vt:variant>
        <vt:i4>174</vt:i4>
      </vt:variant>
      <vt:variant>
        <vt:i4>0</vt:i4>
      </vt:variant>
      <vt:variant>
        <vt:i4>5</vt:i4>
      </vt:variant>
      <vt:variant>
        <vt:lpwstr>http://www.unece.org/</vt:lpwstr>
      </vt:variant>
      <vt:variant>
        <vt:lpwstr/>
      </vt:variant>
      <vt:variant>
        <vt:i4>2490405</vt:i4>
      </vt:variant>
      <vt:variant>
        <vt:i4>171</vt:i4>
      </vt:variant>
      <vt:variant>
        <vt:i4>0</vt:i4>
      </vt:variant>
      <vt:variant>
        <vt:i4>5</vt:i4>
      </vt:variant>
      <vt:variant>
        <vt:lpwstr>../Local Settings/Documents and Settings/steierer/Desktop/JWEE-2011v4.0.xls</vt:lpwstr>
      </vt:variant>
      <vt:variant>
        <vt:lpwstr>'T IV energy use'!A1</vt:lpwstr>
      </vt:variant>
      <vt:variant>
        <vt:i4>6815806</vt:i4>
      </vt:variant>
      <vt:variant>
        <vt:i4>168</vt:i4>
      </vt:variant>
      <vt:variant>
        <vt:i4>0</vt:i4>
      </vt:variant>
      <vt:variant>
        <vt:i4>5</vt:i4>
      </vt:variant>
      <vt:variant>
        <vt:lpwstr>../Local Settings/Documents and Settings/steierer/Desktop/JWEE-2011v4.0.xls</vt:lpwstr>
      </vt:variant>
      <vt:variant>
        <vt:lpwstr>RANGE!A1</vt:lpwstr>
      </vt:variant>
      <vt:variant>
        <vt:i4>7995494</vt:i4>
      </vt:variant>
      <vt:variant>
        <vt:i4>165</vt:i4>
      </vt:variant>
      <vt:variant>
        <vt:i4>0</vt:i4>
      </vt:variant>
      <vt:variant>
        <vt:i4>5</vt:i4>
      </vt:variant>
      <vt:variant>
        <vt:lpwstr>../Local Settings/Documents and Settings/steierer/Desktop/JWEE-2011v4.0.xls</vt:lpwstr>
      </vt:variant>
      <vt:variant>
        <vt:lpwstr>'T II processed wood based fuels'!A1</vt:lpwstr>
      </vt:variant>
      <vt:variant>
        <vt:i4>6619247</vt:i4>
      </vt:variant>
      <vt:variant>
        <vt:i4>162</vt:i4>
      </vt:variant>
      <vt:variant>
        <vt:i4>0</vt:i4>
      </vt:variant>
      <vt:variant>
        <vt:i4>5</vt:i4>
      </vt:variant>
      <vt:variant>
        <vt:lpwstr>../Local Settings/Documents and Settings/steierer/Desktop/JWEE-2011v4.0.xls</vt:lpwstr>
      </vt:variant>
      <vt:variant>
        <vt:lpwstr>Indicators!A1</vt:lpwstr>
      </vt:variant>
      <vt:variant>
        <vt:i4>2556013</vt:i4>
      </vt:variant>
      <vt:variant>
        <vt:i4>159</vt:i4>
      </vt:variant>
      <vt:variant>
        <vt:i4>0</vt:i4>
      </vt:variant>
      <vt:variant>
        <vt:i4>5</vt:i4>
      </vt:variant>
      <vt:variant>
        <vt:lpwstr>C:\Documents and Settings\steierer\Desktop\JWEE-2011v4 3.xls</vt:lpwstr>
      </vt:variant>
      <vt:variant>
        <vt:lpwstr>Indicators!A1</vt:lpwstr>
      </vt:variant>
      <vt:variant>
        <vt:i4>7667746</vt:i4>
      </vt:variant>
      <vt:variant>
        <vt:i4>156</vt:i4>
      </vt:variant>
      <vt:variant>
        <vt:i4>0</vt:i4>
      </vt:variant>
      <vt:variant>
        <vt:i4>5</vt:i4>
      </vt:variant>
      <vt:variant>
        <vt:lpwstr>http://www.fao.org/forestry/energy</vt:lpwstr>
      </vt:variant>
      <vt:variant>
        <vt:lpwstr/>
      </vt:variant>
      <vt:variant>
        <vt:i4>7143472</vt:i4>
      </vt:variant>
      <vt:variant>
        <vt:i4>153</vt:i4>
      </vt:variant>
      <vt:variant>
        <vt:i4>0</vt:i4>
      </vt:variant>
      <vt:variant>
        <vt:i4>5</vt:i4>
      </vt:variant>
      <vt:variant>
        <vt:lpwstr>http://www.unece.org/jwee2009.html</vt:lpwstr>
      </vt:variant>
      <vt:variant>
        <vt:lpwstr/>
      </vt:variant>
      <vt:variant>
        <vt:i4>1900601</vt:i4>
      </vt:variant>
      <vt:variant>
        <vt:i4>146</vt:i4>
      </vt:variant>
      <vt:variant>
        <vt:i4>0</vt:i4>
      </vt:variant>
      <vt:variant>
        <vt:i4>5</vt:i4>
      </vt:variant>
      <vt:variant>
        <vt:lpwstr/>
      </vt:variant>
      <vt:variant>
        <vt:lpwstr>_Toc325973822</vt:lpwstr>
      </vt:variant>
      <vt:variant>
        <vt:i4>1900601</vt:i4>
      </vt:variant>
      <vt:variant>
        <vt:i4>140</vt:i4>
      </vt:variant>
      <vt:variant>
        <vt:i4>0</vt:i4>
      </vt:variant>
      <vt:variant>
        <vt:i4>5</vt:i4>
      </vt:variant>
      <vt:variant>
        <vt:lpwstr/>
      </vt:variant>
      <vt:variant>
        <vt:lpwstr>_Toc325973821</vt:lpwstr>
      </vt:variant>
      <vt:variant>
        <vt:i4>1900601</vt:i4>
      </vt:variant>
      <vt:variant>
        <vt:i4>134</vt:i4>
      </vt:variant>
      <vt:variant>
        <vt:i4>0</vt:i4>
      </vt:variant>
      <vt:variant>
        <vt:i4>5</vt:i4>
      </vt:variant>
      <vt:variant>
        <vt:lpwstr/>
      </vt:variant>
      <vt:variant>
        <vt:lpwstr>_Toc325973820</vt:lpwstr>
      </vt:variant>
      <vt:variant>
        <vt:i4>1966137</vt:i4>
      </vt:variant>
      <vt:variant>
        <vt:i4>128</vt:i4>
      </vt:variant>
      <vt:variant>
        <vt:i4>0</vt:i4>
      </vt:variant>
      <vt:variant>
        <vt:i4>5</vt:i4>
      </vt:variant>
      <vt:variant>
        <vt:lpwstr/>
      </vt:variant>
      <vt:variant>
        <vt:lpwstr>_Toc325973819</vt:lpwstr>
      </vt:variant>
      <vt:variant>
        <vt:i4>1966137</vt:i4>
      </vt:variant>
      <vt:variant>
        <vt:i4>122</vt:i4>
      </vt:variant>
      <vt:variant>
        <vt:i4>0</vt:i4>
      </vt:variant>
      <vt:variant>
        <vt:i4>5</vt:i4>
      </vt:variant>
      <vt:variant>
        <vt:lpwstr/>
      </vt:variant>
      <vt:variant>
        <vt:lpwstr>_Toc325973818</vt:lpwstr>
      </vt:variant>
      <vt:variant>
        <vt:i4>1966137</vt:i4>
      </vt:variant>
      <vt:variant>
        <vt:i4>116</vt:i4>
      </vt:variant>
      <vt:variant>
        <vt:i4>0</vt:i4>
      </vt:variant>
      <vt:variant>
        <vt:i4>5</vt:i4>
      </vt:variant>
      <vt:variant>
        <vt:lpwstr/>
      </vt:variant>
      <vt:variant>
        <vt:lpwstr>_Toc325973817</vt:lpwstr>
      </vt:variant>
      <vt:variant>
        <vt:i4>1966137</vt:i4>
      </vt:variant>
      <vt:variant>
        <vt:i4>110</vt:i4>
      </vt:variant>
      <vt:variant>
        <vt:i4>0</vt:i4>
      </vt:variant>
      <vt:variant>
        <vt:i4>5</vt:i4>
      </vt:variant>
      <vt:variant>
        <vt:lpwstr/>
      </vt:variant>
      <vt:variant>
        <vt:lpwstr>_Toc325973816</vt:lpwstr>
      </vt:variant>
      <vt:variant>
        <vt:i4>1966137</vt:i4>
      </vt:variant>
      <vt:variant>
        <vt:i4>104</vt:i4>
      </vt:variant>
      <vt:variant>
        <vt:i4>0</vt:i4>
      </vt:variant>
      <vt:variant>
        <vt:i4>5</vt:i4>
      </vt:variant>
      <vt:variant>
        <vt:lpwstr/>
      </vt:variant>
      <vt:variant>
        <vt:lpwstr>_Toc325973815</vt:lpwstr>
      </vt:variant>
      <vt:variant>
        <vt:i4>1966137</vt:i4>
      </vt:variant>
      <vt:variant>
        <vt:i4>98</vt:i4>
      </vt:variant>
      <vt:variant>
        <vt:i4>0</vt:i4>
      </vt:variant>
      <vt:variant>
        <vt:i4>5</vt:i4>
      </vt:variant>
      <vt:variant>
        <vt:lpwstr/>
      </vt:variant>
      <vt:variant>
        <vt:lpwstr>_Toc325973814</vt:lpwstr>
      </vt:variant>
      <vt:variant>
        <vt:i4>1966137</vt:i4>
      </vt:variant>
      <vt:variant>
        <vt:i4>92</vt:i4>
      </vt:variant>
      <vt:variant>
        <vt:i4>0</vt:i4>
      </vt:variant>
      <vt:variant>
        <vt:i4>5</vt:i4>
      </vt:variant>
      <vt:variant>
        <vt:lpwstr/>
      </vt:variant>
      <vt:variant>
        <vt:lpwstr>_Toc325973813</vt:lpwstr>
      </vt:variant>
      <vt:variant>
        <vt:i4>1966137</vt:i4>
      </vt:variant>
      <vt:variant>
        <vt:i4>86</vt:i4>
      </vt:variant>
      <vt:variant>
        <vt:i4>0</vt:i4>
      </vt:variant>
      <vt:variant>
        <vt:i4>5</vt:i4>
      </vt:variant>
      <vt:variant>
        <vt:lpwstr/>
      </vt:variant>
      <vt:variant>
        <vt:lpwstr>_Toc325973811</vt:lpwstr>
      </vt:variant>
      <vt:variant>
        <vt:i4>1966137</vt:i4>
      </vt:variant>
      <vt:variant>
        <vt:i4>80</vt:i4>
      </vt:variant>
      <vt:variant>
        <vt:i4>0</vt:i4>
      </vt:variant>
      <vt:variant>
        <vt:i4>5</vt:i4>
      </vt:variant>
      <vt:variant>
        <vt:lpwstr/>
      </vt:variant>
      <vt:variant>
        <vt:lpwstr>_Toc325973810</vt:lpwstr>
      </vt:variant>
      <vt:variant>
        <vt:i4>2031673</vt:i4>
      </vt:variant>
      <vt:variant>
        <vt:i4>74</vt:i4>
      </vt:variant>
      <vt:variant>
        <vt:i4>0</vt:i4>
      </vt:variant>
      <vt:variant>
        <vt:i4>5</vt:i4>
      </vt:variant>
      <vt:variant>
        <vt:lpwstr/>
      </vt:variant>
      <vt:variant>
        <vt:lpwstr>_Toc325973809</vt:lpwstr>
      </vt:variant>
      <vt:variant>
        <vt:i4>2031673</vt:i4>
      </vt:variant>
      <vt:variant>
        <vt:i4>68</vt:i4>
      </vt:variant>
      <vt:variant>
        <vt:i4>0</vt:i4>
      </vt:variant>
      <vt:variant>
        <vt:i4>5</vt:i4>
      </vt:variant>
      <vt:variant>
        <vt:lpwstr/>
      </vt:variant>
      <vt:variant>
        <vt:lpwstr>_Toc325973808</vt:lpwstr>
      </vt:variant>
      <vt:variant>
        <vt:i4>2031673</vt:i4>
      </vt:variant>
      <vt:variant>
        <vt:i4>62</vt:i4>
      </vt:variant>
      <vt:variant>
        <vt:i4>0</vt:i4>
      </vt:variant>
      <vt:variant>
        <vt:i4>5</vt:i4>
      </vt:variant>
      <vt:variant>
        <vt:lpwstr/>
      </vt:variant>
      <vt:variant>
        <vt:lpwstr>_Toc325973807</vt:lpwstr>
      </vt:variant>
      <vt:variant>
        <vt:i4>2031673</vt:i4>
      </vt:variant>
      <vt:variant>
        <vt:i4>56</vt:i4>
      </vt:variant>
      <vt:variant>
        <vt:i4>0</vt:i4>
      </vt:variant>
      <vt:variant>
        <vt:i4>5</vt:i4>
      </vt:variant>
      <vt:variant>
        <vt:lpwstr/>
      </vt:variant>
      <vt:variant>
        <vt:lpwstr>_Toc325973806</vt:lpwstr>
      </vt:variant>
      <vt:variant>
        <vt:i4>2031673</vt:i4>
      </vt:variant>
      <vt:variant>
        <vt:i4>50</vt:i4>
      </vt:variant>
      <vt:variant>
        <vt:i4>0</vt:i4>
      </vt:variant>
      <vt:variant>
        <vt:i4>5</vt:i4>
      </vt:variant>
      <vt:variant>
        <vt:lpwstr/>
      </vt:variant>
      <vt:variant>
        <vt:lpwstr>_Toc325973805</vt:lpwstr>
      </vt:variant>
      <vt:variant>
        <vt:i4>2031673</vt:i4>
      </vt:variant>
      <vt:variant>
        <vt:i4>44</vt:i4>
      </vt:variant>
      <vt:variant>
        <vt:i4>0</vt:i4>
      </vt:variant>
      <vt:variant>
        <vt:i4>5</vt:i4>
      </vt:variant>
      <vt:variant>
        <vt:lpwstr/>
      </vt:variant>
      <vt:variant>
        <vt:lpwstr>_Toc325973804</vt:lpwstr>
      </vt:variant>
      <vt:variant>
        <vt:i4>2031673</vt:i4>
      </vt:variant>
      <vt:variant>
        <vt:i4>38</vt:i4>
      </vt:variant>
      <vt:variant>
        <vt:i4>0</vt:i4>
      </vt:variant>
      <vt:variant>
        <vt:i4>5</vt:i4>
      </vt:variant>
      <vt:variant>
        <vt:lpwstr/>
      </vt:variant>
      <vt:variant>
        <vt:lpwstr>_Toc325973803</vt:lpwstr>
      </vt:variant>
      <vt:variant>
        <vt:i4>2031673</vt:i4>
      </vt:variant>
      <vt:variant>
        <vt:i4>32</vt:i4>
      </vt:variant>
      <vt:variant>
        <vt:i4>0</vt:i4>
      </vt:variant>
      <vt:variant>
        <vt:i4>5</vt:i4>
      </vt:variant>
      <vt:variant>
        <vt:lpwstr/>
      </vt:variant>
      <vt:variant>
        <vt:lpwstr>_Toc325973802</vt:lpwstr>
      </vt:variant>
      <vt:variant>
        <vt:i4>2031673</vt:i4>
      </vt:variant>
      <vt:variant>
        <vt:i4>26</vt:i4>
      </vt:variant>
      <vt:variant>
        <vt:i4>0</vt:i4>
      </vt:variant>
      <vt:variant>
        <vt:i4>5</vt:i4>
      </vt:variant>
      <vt:variant>
        <vt:lpwstr/>
      </vt:variant>
      <vt:variant>
        <vt:lpwstr>_Toc325973801</vt:lpwstr>
      </vt:variant>
      <vt:variant>
        <vt:i4>2031673</vt:i4>
      </vt:variant>
      <vt:variant>
        <vt:i4>20</vt:i4>
      </vt:variant>
      <vt:variant>
        <vt:i4>0</vt:i4>
      </vt:variant>
      <vt:variant>
        <vt:i4>5</vt:i4>
      </vt:variant>
      <vt:variant>
        <vt:lpwstr/>
      </vt:variant>
      <vt:variant>
        <vt:lpwstr>_Toc325973800</vt:lpwstr>
      </vt:variant>
      <vt:variant>
        <vt:i4>1441846</vt:i4>
      </vt:variant>
      <vt:variant>
        <vt:i4>14</vt:i4>
      </vt:variant>
      <vt:variant>
        <vt:i4>0</vt:i4>
      </vt:variant>
      <vt:variant>
        <vt:i4>5</vt:i4>
      </vt:variant>
      <vt:variant>
        <vt:lpwstr/>
      </vt:variant>
      <vt:variant>
        <vt:lpwstr>_Toc325973799</vt:lpwstr>
      </vt:variant>
      <vt:variant>
        <vt:i4>1441846</vt:i4>
      </vt:variant>
      <vt:variant>
        <vt:i4>8</vt:i4>
      </vt:variant>
      <vt:variant>
        <vt:i4>0</vt:i4>
      </vt:variant>
      <vt:variant>
        <vt:i4>5</vt:i4>
      </vt:variant>
      <vt:variant>
        <vt:lpwstr/>
      </vt:variant>
      <vt:variant>
        <vt:lpwstr>_Toc325973798</vt:lpwstr>
      </vt:variant>
      <vt:variant>
        <vt:i4>3604553</vt:i4>
      </vt:variant>
      <vt:variant>
        <vt:i4>3</vt:i4>
      </vt:variant>
      <vt:variant>
        <vt:i4>0</vt:i4>
      </vt:variant>
      <vt:variant>
        <vt:i4>5</vt:i4>
      </vt:variant>
      <vt:variant>
        <vt:lpwstr>mailto:woodenergy.timber@unece.org</vt:lpwstr>
      </vt:variant>
      <vt:variant>
        <vt:lpwstr/>
      </vt:variant>
      <vt:variant>
        <vt:i4>3342427</vt:i4>
      </vt:variant>
      <vt:variant>
        <vt:i4>0</vt:i4>
      </vt:variant>
      <vt:variant>
        <vt:i4>0</vt:i4>
      </vt:variant>
      <vt:variant>
        <vt:i4>5</vt:i4>
      </vt:variant>
      <vt:variant>
        <vt:lpwstr>mailto:wood-energy@fao.org</vt:lpwstr>
      </vt:variant>
      <vt:variant>
        <vt:lpwstr/>
      </vt:variant>
      <vt:variant>
        <vt:i4>5570588</vt:i4>
      </vt:variant>
      <vt:variant>
        <vt:i4>9</vt:i4>
      </vt:variant>
      <vt:variant>
        <vt:i4>0</vt:i4>
      </vt:variant>
      <vt:variant>
        <vt:i4>5</vt:i4>
      </vt:variant>
      <vt:variant>
        <vt:lpwstr>http://unece.org/trade/timber/workshops/2008/wood-balance/docs/wood availability_part1_final.pdf</vt:lpwstr>
      </vt:variant>
      <vt:variant>
        <vt:lpwstr/>
      </vt:variant>
      <vt:variant>
        <vt:i4>4456543</vt:i4>
      </vt:variant>
      <vt:variant>
        <vt:i4>6</vt:i4>
      </vt:variant>
      <vt:variant>
        <vt:i4>0</vt:i4>
      </vt:variant>
      <vt:variant>
        <vt:i4>5</vt:i4>
      </vt:variant>
      <vt:variant>
        <vt:lpwstr>http://www.unece.org/trade/timber/docs/stats-sessions/stats-29/english/report-conclusions-2007-03.pdf</vt:lpwstr>
      </vt:variant>
      <vt:variant>
        <vt:lpwstr/>
      </vt:variant>
      <vt:variant>
        <vt:i4>589884</vt:i4>
      </vt:variant>
      <vt:variant>
        <vt:i4>3</vt:i4>
      </vt:variant>
      <vt:variant>
        <vt:i4>0</vt:i4>
      </vt:variant>
      <vt:variant>
        <vt:i4>5</vt:i4>
      </vt:variant>
      <vt:variant>
        <vt:lpwstr>http://ec.europa.eu/energy/renewables/transparency_platform/doc/article_22_progress_reports/template_progress_reports__article_22.zip</vt:lpwstr>
      </vt:variant>
      <vt:variant>
        <vt:lpwstr/>
      </vt:variant>
      <vt:variant>
        <vt:i4>5242910</vt:i4>
      </vt:variant>
      <vt:variant>
        <vt:i4>0</vt:i4>
      </vt:variant>
      <vt:variant>
        <vt:i4>0</vt:i4>
      </vt:variant>
      <vt:variant>
        <vt:i4>5</vt:i4>
      </vt:variant>
      <vt:variant>
        <vt:lpwstr>http://eur-lex.europa.eu/LexUriServ/LexUriServ.do?uri=Oj:L:2009:140:0016:0062:en:PDF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Joint Wood Energy Enquiry Manual</dc:title>
  <dc:creator>David Ellul;UNECE/FAO Timber Section</dc:creator>
  <cp:lastModifiedBy>Alicja Kacprzak</cp:lastModifiedBy>
  <cp:revision>2</cp:revision>
  <cp:lastPrinted>2012-09-27T13:03:00Z</cp:lastPrinted>
  <dcterms:created xsi:type="dcterms:W3CDTF">2015-02-25T14:03:00Z</dcterms:created>
  <dcterms:modified xsi:type="dcterms:W3CDTF">2015-02-25T14:03:00Z</dcterms:modified>
</cp:coreProperties>
</file>