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30FC" w14:textId="77777777" w:rsidR="00D35096" w:rsidRPr="00931F0E" w:rsidRDefault="00D35096" w:rsidP="00D35096">
      <w:pPr>
        <w:spacing w:after="0"/>
        <w:jc w:val="center"/>
        <w:rPr>
          <w:rFonts w:ascii="Times New Roman" w:hAnsi="Times New Roman"/>
          <w:sz w:val="24"/>
          <w:szCs w:val="24"/>
        </w:rPr>
      </w:pPr>
      <w:r w:rsidRPr="00931F0E">
        <w:rPr>
          <w:rFonts w:ascii="Times New Roman" w:hAnsi="Times New Roman"/>
          <w:b/>
          <w:bCs/>
          <w:sz w:val="24"/>
          <w:szCs w:val="24"/>
        </w:rPr>
        <w:t>Meeting of the Group of Experts on Business Registers</w:t>
      </w:r>
    </w:p>
    <w:p w14:paraId="1666ED5B" w14:textId="77777777" w:rsidR="00D35096" w:rsidRPr="00931F0E" w:rsidRDefault="00D35096" w:rsidP="00D35096">
      <w:pPr>
        <w:spacing w:after="120"/>
        <w:jc w:val="center"/>
        <w:rPr>
          <w:rFonts w:ascii="Times New Roman" w:hAnsi="Times New Roman"/>
          <w:sz w:val="24"/>
          <w:szCs w:val="24"/>
        </w:rPr>
      </w:pPr>
      <w:r w:rsidRPr="00931F0E">
        <w:rPr>
          <w:rFonts w:ascii="Times New Roman" w:hAnsi="Times New Roman"/>
          <w:sz w:val="24"/>
          <w:szCs w:val="24"/>
        </w:rPr>
        <w:t>Organised jointly by UNECE, Eurostat and OECD</w:t>
      </w:r>
    </w:p>
    <w:p w14:paraId="05AC87ED" w14:textId="77777777" w:rsidR="00D35096" w:rsidRPr="00931F0E" w:rsidRDefault="00D35096" w:rsidP="00D35096">
      <w:pPr>
        <w:spacing w:after="0"/>
        <w:jc w:val="center"/>
        <w:rPr>
          <w:rFonts w:ascii="Times New Roman" w:hAnsi="Times New Roman"/>
          <w:sz w:val="24"/>
          <w:szCs w:val="24"/>
        </w:rPr>
      </w:pPr>
      <w:r w:rsidRPr="00931F0E">
        <w:rPr>
          <w:rFonts w:ascii="Times New Roman" w:hAnsi="Times New Roman"/>
          <w:b/>
          <w:bCs/>
          <w:sz w:val="24"/>
          <w:szCs w:val="24"/>
        </w:rPr>
        <w:t>30 September – 2 October 2019</w:t>
      </w:r>
    </w:p>
    <w:p w14:paraId="46E75259" w14:textId="3F5E54A9" w:rsidR="00D35096" w:rsidRDefault="00D35096" w:rsidP="00D35096">
      <w:pPr>
        <w:spacing w:after="0"/>
        <w:jc w:val="center"/>
        <w:rPr>
          <w:rFonts w:ascii="Times New Roman" w:hAnsi="Times New Roman"/>
          <w:b/>
          <w:bCs/>
          <w:sz w:val="24"/>
          <w:szCs w:val="24"/>
        </w:rPr>
      </w:pPr>
      <w:r w:rsidRPr="00931F0E">
        <w:rPr>
          <w:rFonts w:ascii="Times New Roman" w:hAnsi="Times New Roman"/>
          <w:b/>
          <w:bCs/>
          <w:sz w:val="24"/>
          <w:szCs w:val="24"/>
        </w:rPr>
        <w:t>Geneva, Switzerland</w:t>
      </w:r>
    </w:p>
    <w:p w14:paraId="20E2A65F" w14:textId="32154F39" w:rsidR="000A1510" w:rsidRDefault="000A1510" w:rsidP="00D35096">
      <w:pPr>
        <w:spacing w:after="0"/>
        <w:jc w:val="center"/>
        <w:rPr>
          <w:rFonts w:ascii="Times New Roman" w:hAnsi="Times New Roman"/>
          <w:b/>
          <w:bCs/>
          <w:sz w:val="24"/>
          <w:szCs w:val="24"/>
        </w:rPr>
      </w:pPr>
    </w:p>
    <w:p w14:paraId="768D06D6" w14:textId="2A7892D1" w:rsidR="000A1510" w:rsidRDefault="000A1510" w:rsidP="000A1510">
      <w:pPr>
        <w:spacing w:after="0"/>
        <w:jc w:val="center"/>
        <w:rPr>
          <w:rFonts w:ascii="Times New Roman" w:hAnsi="Times New Roman"/>
          <w:b/>
          <w:bCs/>
          <w:sz w:val="24"/>
          <w:szCs w:val="24"/>
        </w:rPr>
      </w:pPr>
      <w:r>
        <w:rPr>
          <w:rFonts w:ascii="Times New Roman" w:hAnsi="Times New Roman"/>
          <w:b/>
          <w:bCs/>
          <w:sz w:val="24"/>
          <w:szCs w:val="24"/>
        </w:rPr>
        <w:t>Agne Bikauskaite, August G</w:t>
      </w:r>
      <w:r>
        <w:rPr>
          <w:rFonts w:ascii="Times New Roman" w:hAnsi="Times New Roman"/>
          <w:b/>
          <w:bCs/>
          <w:sz w:val="24"/>
          <w:szCs w:val="24"/>
        </w:rPr>
        <w:softHyphen/>
      </w:r>
      <w:r>
        <w:rPr>
          <w:rFonts w:ascii="Times New Roman" w:hAnsi="Times New Roman"/>
          <w:b/>
          <w:bCs/>
          <w:sz w:val="24"/>
          <w:szCs w:val="24"/>
        </w:rPr>
        <w:softHyphen/>
      </w:r>
      <w:r w:rsidRPr="000A1510">
        <w:rPr>
          <w:rFonts w:ascii="Times New Roman" w:hAnsi="Times New Roman"/>
          <w:b/>
          <w:bCs/>
          <w:sz w:val="24"/>
          <w:szCs w:val="24"/>
        </w:rPr>
        <w:t>ö</w:t>
      </w:r>
      <w:r>
        <w:rPr>
          <w:rFonts w:ascii="Times New Roman" w:hAnsi="Times New Roman"/>
          <w:b/>
          <w:bCs/>
          <w:sz w:val="24"/>
          <w:szCs w:val="24"/>
        </w:rPr>
        <w:t>tzfried</w:t>
      </w:r>
    </w:p>
    <w:p w14:paraId="6EA5134C" w14:textId="12F138BD" w:rsidR="000A1510" w:rsidRPr="000A1510" w:rsidRDefault="000A1510" w:rsidP="000A1510">
      <w:pPr>
        <w:spacing w:after="0"/>
        <w:jc w:val="center"/>
        <w:rPr>
          <w:rFonts w:ascii="Times New Roman" w:hAnsi="Times New Roman"/>
          <w:b/>
          <w:bCs/>
          <w:sz w:val="24"/>
          <w:szCs w:val="24"/>
        </w:rPr>
      </w:pPr>
      <w:r>
        <w:rPr>
          <w:rFonts w:ascii="Times New Roman" w:hAnsi="Times New Roman"/>
          <w:b/>
          <w:bCs/>
          <w:sz w:val="24"/>
          <w:szCs w:val="24"/>
        </w:rPr>
        <w:t>Eurostat</w:t>
      </w:r>
    </w:p>
    <w:p w14:paraId="0DEB83B2" w14:textId="77777777" w:rsidR="00D35096" w:rsidRDefault="00D35096"/>
    <w:p w14:paraId="55B23790" w14:textId="31D9DC77" w:rsidR="00357FE1" w:rsidRPr="00D608CB" w:rsidRDefault="00D35096">
      <w:pPr>
        <w:rPr>
          <w:rFonts w:ascii="Times New Roman" w:hAnsi="Times New Roman" w:cs="Times New Roman"/>
          <w:sz w:val="24"/>
          <w:szCs w:val="24"/>
        </w:rPr>
      </w:pPr>
      <w:r w:rsidRPr="00931F0E">
        <w:rPr>
          <w:rFonts w:ascii="Times New Roman" w:hAnsi="Times New Roman"/>
          <w:b/>
          <w:sz w:val="24"/>
          <w:szCs w:val="24"/>
        </w:rPr>
        <w:t xml:space="preserve">Topic: </w:t>
      </w:r>
      <w:r w:rsidR="00357FE1" w:rsidRPr="00D608CB">
        <w:rPr>
          <w:rFonts w:ascii="Times New Roman" w:hAnsi="Times New Roman" w:cs="Times New Roman"/>
          <w:sz w:val="24"/>
          <w:szCs w:val="24"/>
        </w:rPr>
        <w:t>“Different uses of statistical business registers”</w:t>
      </w:r>
    </w:p>
    <w:p w14:paraId="310A7A9C" w14:textId="7ADC473F" w:rsidR="00357FE1" w:rsidRDefault="00D35096">
      <w:pPr>
        <w:rPr>
          <w:rFonts w:ascii="Times New Roman" w:hAnsi="Times New Roman" w:cs="Times New Roman"/>
          <w:sz w:val="24"/>
          <w:szCs w:val="24"/>
        </w:rPr>
      </w:pPr>
      <w:r w:rsidRPr="00931F0E">
        <w:rPr>
          <w:rFonts w:ascii="Times New Roman" w:hAnsi="Times New Roman"/>
          <w:b/>
          <w:sz w:val="24"/>
          <w:szCs w:val="24"/>
        </w:rPr>
        <w:t xml:space="preserve">Title of the paper: </w:t>
      </w:r>
      <w:r w:rsidR="00357FE1" w:rsidRPr="00D608CB">
        <w:rPr>
          <w:rFonts w:ascii="Times New Roman" w:hAnsi="Times New Roman" w:cs="Times New Roman"/>
          <w:sz w:val="24"/>
          <w:szCs w:val="24"/>
        </w:rPr>
        <w:t>“</w:t>
      </w:r>
      <w:r w:rsidR="00FE1FA6" w:rsidRPr="00D608CB">
        <w:rPr>
          <w:rFonts w:ascii="Times New Roman" w:hAnsi="Times New Roman" w:cs="Times New Roman"/>
          <w:sz w:val="24"/>
          <w:szCs w:val="24"/>
        </w:rPr>
        <w:t>Strengthening the E</w:t>
      </w:r>
      <w:r w:rsidR="008016A7">
        <w:rPr>
          <w:rFonts w:ascii="Times New Roman" w:hAnsi="Times New Roman" w:cs="Times New Roman"/>
          <w:sz w:val="24"/>
          <w:szCs w:val="24"/>
        </w:rPr>
        <w:t>uro</w:t>
      </w:r>
      <w:r w:rsidR="00FE1FA6" w:rsidRPr="00D608CB">
        <w:rPr>
          <w:rFonts w:ascii="Times New Roman" w:hAnsi="Times New Roman" w:cs="Times New Roman"/>
          <w:sz w:val="24"/>
          <w:szCs w:val="24"/>
        </w:rPr>
        <w:t>G</w:t>
      </w:r>
      <w:r w:rsidR="008016A7">
        <w:rPr>
          <w:rFonts w:ascii="Times New Roman" w:hAnsi="Times New Roman" w:cs="Times New Roman"/>
          <w:sz w:val="24"/>
          <w:szCs w:val="24"/>
        </w:rPr>
        <w:t xml:space="preserve">roups </w:t>
      </w:r>
      <w:r w:rsidR="00FE1FA6" w:rsidRPr="00D608CB">
        <w:rPr>
          <w:rFonts w:ascii="Times New Roman" w:hAnsi="Times New Roman" w:cs="Times New Roman"/>
          <w:sz w:val="24"/>
          <w:szCs w:val="24"/>
        </w:rPr>
        <w:t>R</w:t>
      </w:r>
      <w:r w:rsidR="008016A7">
        <w:rPr>
          <w:rFonts w:ascii="Times New Roman" w:hAnsi="Times New Roman" w:cs="Times New Roman"/>
          <w:sz w:val="24"/>
          <w:szCs w:val="24"/>
        </w:rPr>
        <w:t>egister</w:t>
      </w:r>
      <w:r w:rsidR="00FE1FA6" w:rsidRPr="00D608CB">
        <w:rPr>
          <w:rFonts w:ascii="Times New Roman" w:hAnsi="Times New Roman" w:cs="Times New Roman"/>
          <w:sz w:val="24"/>
          <w:szCs w:val="24"/>
        </w:rPr>
        <w:t xml:space="preserve"> – for better usage and usefulness</w:t>
      </w:r>
      <w:r w:rsidR="00357FE1" w:rsidRPr="00D608CB">
        <w:rPr>
          <w:rFonts w:ascii="Times New Roman" w:hAnsi="Times New Roman" w:cs="Times New Roman"/>
          <w:sz w:val="24"/>
          <w:szCs w:val="24"/>
        </w:rPr>
        <w:t>”</w:t>
      </w:r>
    </w:p>
    <w:p w14:paraId="0A37B8BD" w14:textId="77777777" w:rsidR="008F5260" w:rsidRDefault="008F5260"/>
    <w:p w14:paraId="2CE7C8A6" w14:textId="16B6F01F" w:rsidR="00D35096" w:rsidRDefault="00D35096" w:rsidP="00D35096">
      <w:pPr>
        <w:jc w:val="center"/>
        <w:rPr>
          <w:rFonts w:ascii="Times New Roman" w:hAnsi="Times New Roman"/>
          <w:b/>
          <w:sz w:val="24"/>
          <w:szCs w:val="24"/>
        </w:rPr>
      </w:pPr>
      <w:r w:rsidRPr="00931F0E">
        <w:rPr>
          <w:rFonts w:ascii="Times New Roman" w:hAnsi="Times New Roman"/>
          <w:b/>
          <w:sz w:val="24"/>
          <w:szCs w:val="24"/>
        </w:rPr>
        <w:t>Abstract</w:t>
      </w:r>
    </w:p>
    <w:p w14:paraId="0326975A" w14:textId="77777777" w:rsidR="008F5260" w:rsidRPr="00931F0E" w:rsidRDefault="008F5260" w:rsidP="00D35096">
      <w:pPr>
        <w:jc w:val="center"/>
        <w:rPr>
          <w:rFonts w:ascii="Times New Roman" w:hAnsi="Times New Roman"/>
          <w:b/>
          <w:sz w:val="24"/>
          <w:szCs w:val="24"/>
        </w:rPr>
      </w:pPr>
    </w:p>
    <w:p w14:paraId="1BD24806" w14:textId="644177D9" w:rsidR="00357FE1" w:rsidRPr="00D608CB" w:rsidRDefault="00357FE1" w:rsidP="008F5260">
      <w:pPr>
        <w:jc w:val="both"/>
        <w:rPr>
          <w:rFonts w:ascii="Times New Roman" w:hAnsi="Times New Roman" w:cs="Times New Roman"/>
          <w:sz w:val="24"/>
          <w:szCs w:val="24"/>
        </w:rPr>
      </w:pPr>
      <w:r w:rsidRPr="00D608CB">
        <w:rPr>
          <w:rFonts w:ascii="Times New Roman" w:hAnsi="Times New Roman" w:cs="Times New Roman"/>
          <w:sz w:val="24"/>
          <w:szCs w:val="24"/>
        </w:rPr>
        <w:t xml:space="preserve">The EuroGroups Register (EGR) is the statistical business register of </w:t>
      </w:r>
      <w:r w:rsidR="00F10DCB" w:rsidRPr="00D608CB">
        <w:rPr>
          <w:rFonts w:ascii="Times New Roman" w:hAnsi="Times New Roman" w:cs="Times New Roman"/>
          <w:sz w:val="24"/>
          <w:szCs w:val="24"/>
        </w:rPr>
        <w:t>M</w:t>
      </w:r>
      <w:r w:rsidRPr="00D608CB">
        <w:rPr>
          <w:rFonts w:ascii="Times New Roman" w:hAnsi="Times New Roman" w:cs="Times New Roman"/>
          <w:sz w:val="24"/>
          <w:szCs w:val="24"/>
        </w:rPr>
        <w:t xml:space="preserve">ultinational </w:t>
      </w:r>
      <w:r w:rsidR="00F10DCB" w:rsidRPr="00D608CB">
        <w:rPr>
          <w:rFonts w:ascii="Times New Roman" w:hAnsi="Times New Roman" w:cs="Times New Roman"/>
          <w:sz w:val="24"/>
          <w:szCs w:val="24"/>
        </w:rPr>
        <w:t>E</w:t>
      </w:r>
      <w:r w:rsidRPr="00D608CB">
        <w:rPr>
          <w:rFonts w:ascii="Times New Roman" w:hAnsi="Times New Roman" w:cs="Times New Roman"/>
          <w:sz w:val="24"/>
          <w:szCs w:val="24"/>
        </w:rPr>
        <w:t>nterprise</w:t>
      </w:r>
      <w:r w:rsidR="00340999">
        <w:rPr>
          <w:rFonts w:ascii="Times New Roman" w:hAnsi="Times New Roman" w:cs="Times New Roman"/>
          <w:sz w:val="24"/>
          <w:szCs w:val="24"/>
        </w:rPr>
        <w:t xml:space="preserve"> (MNE)</w:t>
      </w:r>
      <w:r w:rsidRPr="00D608CB">
        <w:rPr>
          <w:rFonts w:ascii="Times New Roman" w:hAnsi="Times New Roman" w:cs="Times New Roman"/>
          <w:sz w:val="24"/>
          <w:szCs w:val="24"/>
        </w:rPr>
        <w:t xml:space="preserve"> </w:t>
      </w:r>
      <w:r w:rsidR="00F10DCB" w:rsidRPr="00D608CB">
        <w:rPr>
          <w:rFonts w:ascii="Times New Roman" w:hAnsi="Times New Roman" w:cs="Times New Roman"/>
          <w:sz w:val="24"/>
          <w:szCs w:val="24"/>
        </w:rPr>
        <w:t>G</w:t>
      </w:r>
      <w:r w:rsidRPr="00D608CB">
        <w:rPr>
          <w:rFonts w:ascii="Times New Roman" w:hAnsi="Times New Roman" w:cs="Times New Roman"/>
          <w:sz w:val="24"/>
          <w:szCs w:val="24"/>
        </w:rPr>
        <w:t>roups</w:t>
      </w:r>
      <w:r w:rsidR="00F10DCB" w:rsidRPr="00D608CB">
        <w:rPr>
          <w:rFonts w:ascii="Times New Roman" w:hAnsi="Times New Roman" w:cs="Times New Roman"/>
          <w:sz w:val="24"/>
          <w:szCs w:val="24"/>
        </w:rPr>
        <w:t xml:space="preserve"> </w:t>
      </w:r>
      <w:r w:rsidR="00551874" w:rsidRPr="00551874">
        <w:rPr>
          <w:rFonts w:ascii="Times New Roman" w:hAnsi="Times New Roman" w:cs="Times New Roman"/>
          <w:sz w:val="24"/>
          <w:szCs w:val="24"/>
        </w:rPr>
        <w:t>having</w:t>
      </w:r>
      <w:r w:rsidRPr="00D608CB">
        <w:rPr>
          <w:rFonts w:ascii="Times New Roman" w:hAnsi="Times New Roman" w:cs="Times New Roman"/>
          <w:sz w:val="24"/>
          <w:szCs w:val="24"/>
        </w:rPr>
        <w:t xml:space="preserve"> at least one legal unit in the EU or EFTA countries. The EGR is </w:t>
      </w:r>
      <w:r w:rsidR="00F10DCB" w:rsidRPr="00D608CB">
        <w:rPr>
          <w:rFonts w:ascii="Times New Roman" w:hAnsi="Times New Roman" w:cs="Times New Roman"/>
          <w:sz w:val="24"/>
          <w:szCs w:val="24"/>
        </w:rPr>
        <w:t xml:space="preserve">used </w:t>
      </w:r>
      <w:r w:rsidRPr="00D608CB">
        <w:rPr>
          <w:rFonts w:ascii="Times New Roman" w:hAnsi="Times New Roman" w:cs="Times New Roman"/>
          <w:sz w:val="24"/>
          <w:szCs w:val="24"/>
        </w:rPr>
        <w:t>for statistical purposes only, with the aim to facilitate the coordination of survey frames in the European Statistical System (ESS) for producing high quality statistics on business</w:t>
      </w:r>
      <w:r w:rsidR="001D3833" w:rsidRPr="00D608CB">
        <w:rPr>
          <w:rFonts w:ascii="Times New Roman" w:hAnsi="Times New Roman" w:cs="Times New Roman"/>
          <w:sz w:val="24"/>
          <w:szCs w:val="24"/>
        </w:rPr>
        <w:t xml:space="preserve"> and </w:t>
      </w:r>
      <w:r w:rsidR="00D608CB" w:rsidRPr="00D608CB">
        <w:rPr>
          <w:rFonts w:ascii="Times New Roman" w:hAnsi="Times New Roman" w:cs="Times New Roman"/>
          <w:sz w:val="24"/>
          <w:szCs w:val="24"/>
        </w:rPr>
        <w:t>macroeconomics</w:t>
      </w:r>
      <w:r w:rsidRPr="00D608CB">
        <w:rPr>
          <w:rFonts w:ascii="Times New Roman" w:hAnsi="Times New Roman" w:cs="Times New Roman"/>
          <w:sz w:val="24"/>
          <w:szCs w:val="24"/>
        </w:rPr>
        <w:t xml:space="preserve"> activities.</w:t>
      </w:r>
      <w:r w:rsidR="001D3833" w:rsidRPr="00D608CB">
        <w:rPr>
          <w:rFonts w:ascii="Times New Roman" w:hAnsi="Times New Roman" w:cs="Times New Roman"/>
          <w:sz w:val="24"/>
          <w:szCs w:val="24"/>
        </w:rPr>
        <w:t xml:space="preserve"> </w:t>
      </w:r>
    </w:p>
    <w:p w14:paraId="6D21C0C1" w14:textId="63797613" w:rsidR="001D3833" w:rsidRPr="00D608CB" w:rsidRDefault="001D3833" w:rsidP="008F5260">
      <w:pPr>
        <w:jc w:val="both"/>
        <w:rPr>
          <w:rFonts w:ascii="Times New Roman" w:hAnsi="Times New Roman" w:cs="Times New Roman"/>
          <w:sz w:val="24"/>
          <w:szCs w:val="24"/>
        </w:rPr>
      </w:pPr>
      <w:r w:rsidRPr="00D608CB">
        <w:rPr>
          <w:rFonts w:ascii="Times New Roman" w:hAnsi="Times New Roman" w:cs="Times New Roman"/>
          <w:sz w:val="24"/>
          <w:szCs w:val="24"/>
        </w:rPr>
        <w:t xml:space="preserve">Currently, the EGR data is </w:t>
      </w:r>
      <w:r w:rsidR="00F10DCB" w:rsidRPr="00D608CB">
        <w:rPr>
          <w:rFonts w:ascii="Times New Roman" w:hAnsi="Times New Roman" w:cs="Times New Roman"/>
          <w:sz w:val="24"/>
          <w:szCs w:val="24"/>
        </w:rPr>
        <w:t xml:space="preserve">an </w:t>
      </w:r>
      <w:r w:rsidRPr="00D608CB">
        <w:rPr>
          <w:rFonts w:ascii="Times New Roman" w:hAnsi="Times New Roman" w:cs="Times New Roman"/>
          <w:sz w:val="24"/>
          <w:szCs w:val="24"/>
        </w:rPr>
        <w:t xml:space="preserve">important data source for the production and quality control of </w:t>
      </w:r>
      <w:r w:rsidR="00551874">
        <w:rPr>
          <w:rFonts w:ascii="Times New Roman" w:hAnsi="Times New Roman" w:cs="Times New Roman"/>
          <w:sz w:val="24"/>
          <w:szCs w:val="24"/>
        </w:rPr>
        <w:t xml:space="preserve">Foreign Affiliates </w:t>
      </w:r>
      <w:r w:rsidR="00B66BBC">
        <w:rPr>
          <w:rFonts w:ascii="Times New Roman" w:hAnsi="Times New Roman" w:cs="Times New Roman"/>
          <w:sz w:val="24"/>
          <w:szCs w:val="24"/>
        </w:rPr>
        <w:t>S</w:t>
      </w:r>
      <w:r w:rsidR="00551874">
        <w:rPr>
          <w:rFonts w:ascii="Times New Roman" w:hAnsi="Times New Roman" w:cs="Times New Roman"/>
          <w:sz w:val="24"/>
          <w:szCs w:val="24"/>
        </w:rPr>
        <w:t>tatistics (</w:t>
      </w:r>
      <w:r w:rsidRPr="00D608CB">
        <w:rPr>
          <w:rFonts w:ascii="Times New Roman" w:hAnsi="Times New Roman" w:cs="Times New Roman"/>
          <w:sz w:val="24"/>
          <w:szCs w:val="24"/>
        </w:rPr>
        <w:t>FATS</w:t>
      </w:r>
      <w:r w:rsidR="00551874">
        <w:rPr>
          <w:rFonts w:ascii="Times New Roman" w:hAnsi="Times New Roman" w:cs="Times New Roman"/>
          <w:sz w:val="24"/>
          <w:szCs w:val="24"/>
        </w:rPr>
        <w:t>)</w:t>
      </w:r>
      <w:r w:rsidRPr="00D608CB">
        <w:rPr>
          <w:rFonts w:ascii="Times New Roman" w:hAnsi="Times New Roman" w:cs="Times New Roman"/>
          <w:sz w:val="24"/>
          <w:szCs w:val="24"/>
        </w:rPr>
        <w:t>, S</w:t>
      </w:r>
      <w:r w:rsidR="00551874">
        <w:rPr>
          <w:rFonts w:ascii="Times New Roman" w:hAnsi="Times New Roman" w:cs="Times New Roman"/>
          <w:sz w:val="24"/>
          <w:szCs w:val="24"/>
        </w:rPr>
        <w:t xml:space="preserve">tructural </w:t>
      </w:r>
      <w:r w:rsidRPr="00D608CB">
        <w:rPr>
          <w:rFonts w:ascii="Times New Roman" w:hAnsi="Times New Roman" w:cs="Times New Roman"/>
          <w:sz w:val="24"/>
          <w:szCs w:val="24"/>
        </w:rPr>
        <w:t>B</w:t>
      </w:r>
      <w:r w:rsidR="00551874">
        <w:rPr>
          <w:rFonts w:ascii="Times New Roman" w:hAnsi="Times New Roman" w:cs="Times New Roman"/>
          <w:sz w:val="24"/>
          <w:szCs w:val="24"/>
        </w:rPr>
        <w:t xml:space="preserve">usiness </w:t>
      </w:r>
      <w:r w:rsidR="00551874" w:rsidRPr="00551874">
        <w:rPr>
          <w:rFonts w:ascii="Times New Roman" w:hAnsi="Times New Roman" w:cs="Times New Roman"/>
          <w:sz w:val="24"/>
          <w:szCs w:val="24"/>
        </w:rPr>
        <w:t>S</w:t>
      </w:r>
      <w:r w:rsidR="00551874">
        <w:rPr>
          <w:rFonts w:ascii="Times New Roman" w:hAnsi="Times New Roman" w:cs="Times New Roman"/>
          <w:sz w:val="24"/>
          <w:szCs w:val="24"/>
        </w:rPr>
        <w:t>tatistics (SBS)</w:t>
      </w:r>
      <w:r w:rsidRPr="00D608CB">
        <w:rPr>
          <w:rFonts w:ascii="Times New Roman" w:hAnsi="Times New Roman" w:cs="Times New Roman"/>
          <w:sz w:val="24"/>
          <w:szCs w:val="24"/>
        </w:rPr>
        <w:t>, G</w:t>
      </w:r>
      <w:r w:rsidR="00551874">
        <w:rPr>
          <w:rFonts w:ascii="Times New Roman" w:hAnsi="Times New Roman" w:cs="Times New Roman"/>
          <w:sz w:val="24"/>
          <w:szCs w:val="24"/>
        </w:rPr>
        <w:t>ro</w:t>
      </w:r>
      <w:r w:rsidR="00B66BBC">
        <w:rPr>
          <w:rFonts w:ascii="Times New Roman" w:hAnsi="Times New Roman" w:cs="Times New Roman"/>
          <w:sz w:val="24"/>
          <w:szCs w:val="24"/>
        </w:rPr>
        <w:t>ss</w:t>
      </w:r>
      <w:r w:rsidR="00551874">
        <w:rPr>
          <w:rFonts w:ascii="Times New Roman" w:hAnsi="Times New Roman" w:cs="Times New Roman"/>
          <w:sz w:val="24"/>
          <w:szCs w:val="24"/>
        </w:rPr>
        <w:t xml:space="preserve"> </w:t>
      </w:r>
      <w:r w:rsidRPr="00D608CB">
        <w:rPr>
          <w:rFonts w:ascii="Times New Roman" w:hAnsi="Times New Roman" w:cs="Times New Roman"/>
          <w:sz w:val="24"/>
          <w:szCs w:val="24"/>
        </w:rPr>
        <w:t>N</w:t>
      </w:r>
      <w:r w:rsidR="00551874">
        <w:rPr>
          <w:rFonts w:ascii="Times New Roman" w:hAnsi="Times New Roman" w:cs="Times New Roman"/>
          <w:sz w:val="24"/>
          <w:szCs w:val="24"/>
        </w:rPr>
        <w:t xml:space="preserve">ational </w:t>
      </w:r>
      <w:r w:rsidRPr="00D608CB">
        <w:rPr>
          <w:rFonts w:ascii="Times New Roman" w:hAnsi="Times New Roman" w:cs="Times New Roman"/>
          <w:sz w:val="24"/>
          <w:szCs w:val="24"/>
        </w:rPr>
        <w:t>I</w:t>
      </w:r>
      <w:r w:rsidR="00551874">
        <w:rPr>
          <w:rFonts w:ascii="Times New Roman" w:hAnsi="Times New Roman" w:cs="Times New Roman"/>
          <w:sz w:val="24"/>
          <w:szCs w:val="24"/>
        </w:rPr>
        <w:t>ncome statistics (GNI)</w:t>
      </w:r>
      <w:r w:rsidRPr="00D608CB">
        <w:rPr>
          <w:rFonts w:ascii="Times New Roman" w:hAnsi="Times New Roman" w:cs="Times New Roman"/>
          <w:sz w:val="24"/>
          <w:szCs w:val="24"/>
        </w:rPr>
        <w:t xml:space="preserve"> and </w:t>
      </w:r>
      <w:r w:rsidR="00551874">
        <w:rPr>
          <w:rFonts w:ascii="Times New Roman" w:hAnsi="Times New Roman" w:cs="Times New Roman"/>
          <w:sz w:val="24"/>
          <w:szCs w:val="24"/>
        </w:rPr>
        <w:t>Foreign Direct Investment statistics (</w:t>
      </w:r>
      <w:r w:rsidRPr="00D608CB">
        <w:rPr>
          <w:rFonts w:ascii="Times New Roman" w:hAnsi="Times New Roman" w:cs="Times New Roman"/>
          <w:sz w:val="24"/>
          <w:szCs w:val="24"/>
        </w:rPr>
        <w:t>FDI</w:t>
      </w:r>
      <w:r w:rsidR="00551874">
        <w:rPr>
          <w:rFonts w:ascii="Times New Roman" w:hAnsi="Times New Roman" w:cs="Times New Roman"/>
          <w:sz w:val="24"/>
          <w:szCs w:val="24"/>
        </w:rPr>
        <w:t>)</w:t>
      </w:r>
      <w:r w:rsidRPr="00D608CB">
        <w:rPr>
          <w:rFonts w:ascii="Times New Roman" w:hAnsi="Times New Roman" w:cs="Times New Roman"/>
          <w:sz w:val="24"/>
          <w:szCs w:val="24"/>
        </w:rPr>
        <w:t xml:space="preserve">. </w:t>
      </w:r>
    </w:p>
    <w:p w14:paraId="42EC9D41" w14:textId="51792C40" w:rsidR="001D3833" w:rsidRPr="00D608CB" w:rsidRDefault="001D3833" w:rsidP="008F5260">
      <w:pPr>
        <w:jc w:val="both"/>
        <w:rPr>
          <w:rFonts w:ascii="Times New Roman" w:hAnsi="Times New Roman" w:cs="Times New Roman"/>
          <w:sz w:val="24"/>
          <w:szCs w:val="24"/>
        </w:rPr>
      </w:pPr>
      <w:r w:rsidRPr="00D608CB">
        <w:rPr>
          <w:rFonts w:ascii="Times New Roman" w:hAnsi="Times New Roman" w:cs="Times New Roman"/>
          <w:sz w:val="24"/>
          <w:szCs w:val="24"/>
        </w:rPr>
        <w:t xml:space="preserve">The EGR </w:t>
      </w:r>
      <w:r w:rsidR="00F10DCB" w:rsidRPr="00D608CB">
        <w:rPr>
          <w:rFonts w:ascii="Times New Roman" w:hAnsi="Times New Roman" w:cs="Times New Roman"/>
          <w:sz w:val="24"/>
          <w:szCs w:val="24"/>
        </w:rPr>
        <w:t xml:space="preserve">data </w:t>
      </w:r>
      <w:r w:rsidRPr="00D608CB">
        <w:rPr>
          <w:rFonts w:ascii="Times New Roman" w:hAnsi="Times New Roman" w:cs="Times New Roman"/>
          <w:sz w:val="24"/>
          <w:szCs w:val="24"/>
        </w:rPr>
        <w:t xml:space="preserve">support the </w:t>
      </w:r>
      <w:r w:rsidR="00551874">
        <w:rPr>
          <w:rFonts w:ascii="Times New Roman" w:hAnsi="Times New Roman" w:cs="Times New Roman"/>
          <w:sz w:val="24"/>
          <w:szCs w:val="24"/>
        </w:rPr>
        <w:t>user National Statistical Authorities (</w:t>
      </w:r>
      <w:r w:rsidRPr="00D608CB">
        <w:rPr>
          <w:rFonts w:ascii="Times New Roman" w:hAnsi="Times New Roman" w:cs="Times New Roman"/>
          <w:sz w:val="24"/>
          <w:szCs w:val="24"/>
        </w:rPr>
        <w:t>NS</w:t>
      </w:r>
      <w:r w:rsidR="00551874">
        <w:rPr>
          <w:rFonts w:ascii="Times New Roman" w:hAnsi="Times New Roman" w:cs="Times New Roman"/>
          <w:sz w:val="24"/>
          <w:szCs w:val="24"/>
        </w:rPr>
        <w:t>A</w:t>
      </w:r>
      <w:r w:rsidRPr="00D608CB">
        <w:rPr>
          <w:rFonts w:ascii="Times New Roman" w:hAnsi="Times New Roman" w:cs="Times New Roman"/>
          <w:sz w:val="24"/>
          <w:szCs w:val="24"/>
        </w:rPr>
        <w:t>s</w:t>
      </w:r>
      <w:r w:rsidR="00551874">
        <w:rPr>
          <w:rFonts w:ascii="Times New Roman" w:hAnsi="Times New Roman" w:cs="Times New Roman"/>
          <w:sz w:val="24"/>
          <w:szCs w:val="24"/>
        </w:rPr>
        <w:t>)</w:t>
      </w:r>
      <w:r w:rsidRPr="00D608CB">
        <w:rPr>
          <w:rFonts w:ascii="Times New Roman" w:hAnsi="Times New Roman" w:cs="Times New Roman"/>
          <w:sz w:val="24"/>
          <w:szCs w:val="24"/>
        </w:rPr>
        <w:t xml:space="preserve"> in:</w:t>
      </w:r>
    </w:p>
    <w:p w14:paraId="203B6EC5" w14:textId="362634B5" w:rsidR="00551874"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selection of samples (as a sampling frame)</w:t>
      </w:r>
    </w:p>
    <w:p w14:paraId="0A59AB3F" w14:textId="45B39D7B"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F10DCB" w:rsidRPr="00D608CB">
        <w:rPr>
          <w:rFonts w:ascii="Times New Roman" w:hAnsi="Times New Roman" w:cs="Times New Roman"/>
          <w:sz w:val="24"/>
          <w:szCs w:val="24"/>
        </w:rPr>
        <w:t>he p</w:t>
      </w:r>
      <w:r w:rsidR="001D3833" w:rsidRPr="00D608CB">
        <w:rPr>
          <w:rFonts w:ascii="Times New Roman" w:hAnsi="Times New Roman" w:cs="Times New Roman"/>
          <w:sz w:val="24"/>
          <w:szCs w:val="24"/>
        </w:rPr>
        <w:t>roduction of the official</w:t>
      </w:r>
      <w:r w:rsidR="00FE1FA6" w:rsidRPr="00D608CB">
        <w:rPr>
          <w:rFonts w:ascii="Times New Roman" w:hAnsi="Times New Roman" w:cs="Times New Roman"/>
          <w:sz w:val="24"/>
          <w:szCs w:val="24"/>
        </w:rPr>
        <w:t xml:space="preserve"> business</w:t>
      </w:r>
      <w:r w:rsidR="001D3833" w:rsidRPr="00D608CB">
        <w:rPr>
          <w:rFonts w:ascii="Times New Roman" w:hAnsi="Times New Roman" w:cs="Times New Roman"/>
          <w:sz w:val="24"/>
          <w:szCs w:val="24"/>
        </w:rPr>
        <w:t xml:space="preserve"> statistics;</w:t>
      </w:r>
    </w:p>
    <w:p w14:paraId="2D0B4131" w14:textId="012983EA"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F10DCB" w:rsidRPr="00D608CB">
        <w:rPr>
          <w:rFonts w:ascii="Times New Roman" w:hAnsi="Times New Roman" w:cs="Times New Roman"/>
          <w:sz w:val="24"/>
          <w:szCs w:val="24"/>
        </w:rPr>
        <w:t>he i</w:t>
      </w:r>
      <w:r w:rsidR="001D3833" w:rsidRPr="00D608CB">
        <w:rPr>
          <w:rFonts w:ascii="Times New Roman" w:hAnsi="Times New Roman" w:cs="Times New Roman"/>
          <w:sz w:val="24"/>
          <w:szCs w:val="24"/>
        </w:rPr>
        <w:t>dentification of statistical survey respondents;</w:t>
      </w:r>
    </w:p>
    <w:p w14:paraId="23D0BC36" w14:textId="30B66946"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F10DCB" w:rsidRPr="00D608CB">
        <w:rPr>
          <w:rFonts w:ascii="Times New Roman" w:hAnsi="Times New Roman" w:cs="Times New Roman"/>
          <w:sz w:val="24"/>
          <w:szCs w:val="24"/>
        </w:rPr>
        <w:t>he better recording of the MNE groups nationally</w:t>
      </w:r>
      <w:r w:rsidR="001D3833" w:rsidRPr="00D608CB">
        <w:rPr>
          <w:rFonts w:ascii="Times New Roman" w:hAnsi="Times New Roman" w:cs="Times New Roman"/>
          <w:sz w:val="24"/>
          <w:szCs w:val="24"/>
        </w:rPr>
        <w:t>;</w:t>
      </w:r>
    </w:p>
    <w:p w14:paraId="19D11B11" w14:textId="60F15DEC"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t>
      </w:r>
      <w:r w:rsidR="00F10DCB" w:rsidRPr="00D608CB">
        <w:rPr>
          <w:rFonts w:ascii="Times New Roman" w:hAnsi="Times New Roman" w:cs="Times New Roman"/>
          <w:sz w:val="24"/>
          <w:szCs w:val="24"/>
        </w:rPr>
        <w:t xml:space="preserve">he identification of </w:t>
      </w:r>
      <w:r w:rsidR="001D3833" w:rsidRPr="00D608CB">
        <w:rPr>
          <w:rFonts w:ascii="Times New Roman" w:hAnsi="Times New Roman" w:cs="Times New Roman"/>
          <w:sz w:val="24"/>
          <w:szCs w:val="24"/>
        </w:rPr>
        <w:t xml:space="preserve">missing reports and missing enterprises/legal units belonging to the group; </w:t>
      </w:r>
    </w:p>
    <w:p w14:paraId="06081E8A" w14:textId="26AD149E"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w:t>
      </w:r>
      <w:r w:rsidR="001D3833" w:rsidRPr="00D608CB">
        <w:rPr>
          <w:rFonts w:ascii="Times New Roman" w:hAnsi="Times New Roman" w:cs="Times New Roman"/>
          <w:sz w:val="24"/>
          <w:szCs w:val="24"/>
        </w:rPr>
        <w:t xml:space="preserve">uality controlling </w:t>
      </w:r>
      <w:r w:rsidR="00F10DCB" w:rsidRPr="00D608CB">
        <w:rPr>
          <w:rFonts w:ascii="Times New Roman" w:hAnsi="Times New Roman" w:cs="Times New Roman"/>
          <w:sz w:val="24"/>
          <w:szCs w:val="24"/>
        </w:rPr>
        <w:t>of the microdata from the MNEs as respondents</w:t>
      </w:r>
      <w:r w:rsidR="001D3833" w:rsidRPr="00D608CB">
        <w:rPr>
          <w:rFonts w:ascii="Times New Roman" w:hAnsi="Times New Roman" w:cs="Times New Roman"/>
          <w:sz w:val="24"/>
          <w:szCs w:val="24"/>
        </w:rPr>
        <w:t>;</w:t>
      </w:r>
    </w:p>
    <w:p w14:paraId="008852ED" w14:textId="58FCC684"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1D3833" w:rsidRPr="00D608CB">
        <w:rPr>
          <w:rFonts w:ascii="Times New Roman" w:hAnsi="Times New Roman" w:cs="Times New Roman"/>
          <w:sz w:val="24"/>
          <w:szCs w:val="24"/>
        </w:rPr>
        <w:t>dentifying group characteristics, such as Global Group Head, direct parent, economic group information, etc.;</w:t>
      </w:r>
    </w:p>
    <w:p w14:paraId="08E209D2" w14:textId="285FE464" w:rsidR="001D3833" w:rsidRPr="00D608CB" w:rsidRDefault="00551874" w:rsidP="008F52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1D3833" w:rsidRPr="00D608CB">
        <w:rPr>
          <w:rFonts w:ascii="Times New Roman" w:hAnsi="Times New Roman" w:cs="Times New Roman"/>
          <w:sz w:val="24"/>
          <w:szCs w:val="24"/>
        </w:rPr>
        <w:t xml:space="preserve">dentifying </w:t>
      </w:r>
      <w:r w:rsidR="00D608CB" w:rsidRPr="00D608CB">
        <w:rPr>
          <w:rFonts w:ascii="Times New Roman" w:hAnsi="Times New Roman" w:cs="Times New Roman"/>
          <w:sz w:val="24"/>
          <w:szCs w:val="24"/>
        </w:rPr>
        <w:t>non-EU</w:t>
      </w:r>
      <w:r w:rsidR="001D3833" w:rsidRPr="00D608CB">
        <w:rPr>
          <w:rFonts w:ascii="Times New Roman" w:hAnsi="Times New Roman" w:cs="Times New Roman"/>
          <w:sz w:val="24"/>
          <w:szCs w:val="24"/>
        </w:rPr>
        <w:t xml:space="preserve"> legal units of the large groups.</w:t>
      </w:r>
    </w:p>
    <w:p w14:paraId="629F67D9" w14:textId="3066E73C" w:rsidR="00F10DCB" w:rsidRPr="00D608CB" w:rsidRDefault="00F10DCB" w:rsidP="008F5260">
      <w:pPr>
        <w:jc w:val="both"/>
        <w:rPr>
          <w:rFonts w:ascii="Times New Roman" w:hAnsi="Times New Roman" w:cs="Times New Roman"/>
          <w:sz w:val="24"/>
          <w:szCs w:val="24"/>
        </w:rPr>
      </w:pPr>
      <w:r w:rsidRPr="00D608CB">
        <w:rPr>
          <w:rFonts w:ascii="Times New Roman" w:hAnsi="Times New Roman" w:cs="Times New Roman"/>
          <w:sz w:val="24"/>
          <w:szCs w:val="24"/>
        </w:rPr>
        <w:t xml:space="preserve">The EGR production cycle is annual with the final EGR frame delivered at t + 15 months. </w:t>
      </w:r>
      <w:r w:rsidR="001D3833" w:rsidRPr="00D608CB">
        <w:rPr>
          <w:rFonts w:ascii="Times New Roman" w:hAnsi="Times New Roman" w:cs="Times New Roman"/>
          <w:sz w:val="24"/>
          <w:szCs w:val="24"/>
        </w:rPr>
        <w:t xml:space="preserve">Eurostat is constantly seeking on the users’ needs and working on methodological and process </w:t>
      </w:r>
      <w:r w:rsidR="001D3833" w:rsidRPr="00D608CB">
        <w:rPr>
          <w:rFonts w:ascii="Times New Roman" w:hAnsi="Times New Roman" w:cs="Times New Roman"/>
          <w:sz w:val="24"/>
          <w:szCs w:val="24"/>
        </w:rPr>
        <w:lastRenderedPageBreak/>
        <w:t>improvements</w:t>
      </w:r>
      <w:r w:rsidRPr="00D608CB">
        <w:rPr>
          <w:rFonts w:ascii="Times New Roman" w:hAnsi="Times New Roman" w:cs="Times New Roman"/>
          <w:sz w:val="24"/>
          <w:szCs w:val="24"/>
        </w:rPr>
        <w:t xml:space="preserve"> supported by </w:t>
      </w:r>
      <w:r w:rsidR="001D3833" w:rsidRPr="00D608CB">
        <w:rPr>
          <w:rFonts w:ascii="Times New Roman" w:hAnsi="Times New Roman" w:cs="Times New Roman"/>
          <w:sz w:val="24"/>
          <w:szCs w:val="24"/>
        </w:rPr>
        <w:t xml:space="preserve">IT developments. </w:t>
      </w:r>
      <w:r w:rsidRPr="00D608CB">
        <w:rPr>
          <w:rFonts w:ascii="Times New Roman" w:hAnsi="Times New Roman" w:cs="Times New Roman"/>
          <w:sz w:val="24"/>
          <w:szCs w:val="24"/>
        </w:rPr>
        <w:t>Concrete cases are the recording of SPEs or natural persons in the EGR process</w:t>
      </w:r>
      <w:r w:rsidR="002548D4" w:rsidRPr="00D608CB">
        <w:rPr>
          <w:rFonts w:ascii="Times New Roman" w:hAnsi="Times New Roman" w:cs="Times New Roman"/>
          <w:sz w:val="24"/>
          <w:szCs w:val="24"/>
        </w:rPr>
        <w:t xml:space="preserve"> and time</w:t>
      </w:r>
      <w:r w:rsidR="00551874">
        <w:rPr>
          <w:rFonts w:ascii="Times New Roman" w:hAnsi="Times New Roman" w:cs="Times New Roman"/>
          <w:sz w:val="24"/>
          <w:szCs w:val="24"/>
        </w:rPr>
        <w:t xml:space="preserve">liness </w:t>
      </w:r>
      <w:r w:rsidRPr="00D608CB">
        <w:rPr>
          <w:rFonts w:ascii="Times New Roman" w:hAnsi="Times New Roman" w:cs="Times New Roman"/>
          <w:sz w:val="24"/>
          <w:szCs w:val="24"/>
        </w:rPr>
        <w:t xml:space="preserve">improvements </w:t>
      </w:r>
      <w:r w:rsidR="00551874">
        <w:rPr>
          <w:rFonts w:ascii="Times New Roman" w:hAnsi="Times New Roman" w:cs="Times New Roman"/>
          <w:sz w:val="24"/>
          <w:szCs w:val="24"/>
        </w:rPr>
        <w:t xml:space="preserve">are </w:t>
      </w:r>
      <w:r w:rsidRPr="00D608CB">
        <w:rPr>
          <w:rFonts w:ascii="Times New Roman" w:hAnsi="Times New Roman" w:cs="Times New Roman"/>
          <w:sz w:val="24"/>
          <w:szCs w:val="24"/>
        </w:rPr>
        <w:t xml:space="preserve">currently </w:t>
      </w:r>
      <w:r w:rsidR="00551874">
        <w:rPr>
          <w:rFonts w:ascii="Times New Roman" w:hAnsi="Times New Roman" w:cs="Times New Roman"/>
          <w:sz w:val="24"/>
          <w:szCs w:val="24"/>
        </w:rPr>
        <w:t xml:space="preserve">being </w:t>
      </w:r>
      <w:r w:rsidRPr="00D608CB">
        <w:rPr>
          <w:rFonts w:ascii="Times New Roman" w:hAnsi="Times New Roman" w:cs="Times New Roman"/>
          <w:sz w:val="24"/>
          <w:szCs w:val="24"/>
        </w:rPr>
        <w:t xml:space="preserve">tested.  The paper </w:t>
      </w:r>
      <w:r w:rsidR="00D608CB">
        <w:rPr>
          <w:rFonts w:ascii="Times New Roman" w:hAnsi="Times New Roman" w:cs="Times New Roman"/>
          <w:sz w:val="24"/>
          <w:szCs w:val="24"/>
        </w:rPr>
        <w:t>illustrates</w:t>
      </w:r>
      <w:r w:rsidRPr="00D608CB">
        <w:rPr>
          <w:rFonts w:ascii="Times New Roman" w:hAnsi="Times New Roman" w:cs="Times New Roman"/>
          <w:sz w:val="24"/>
          <w:szCs w:val="24"/>
        </w:rPr>
        <w:t xml:space="preserve"> the </w:t>
      </w:r>
      <w:r w:rsidR="00D608CB" w:rsidRPr="00D608CB">
        <w:rPr>
          <w:rFonts w:ascii="Times New Roman" w:hAnsi="Times New Roman" w:cs="Times New Roman"/>
          <w:sz w:val="24"/>
          <w:szCs w:val="24"/>
        </w:rPr>
        <w:t>status</w:t>
      </w:r>
      <w:r w:rsidRPr="00D608CB">
        <w:rPr>
          <w:rFonts w:ascii="Times New Roman" w:hAnsi="Times New Roman" w:cs="Times New Roman"/>
          <w:sz w:val="24"/>
          <w:szCs w:val="24"/>
        </w:rPr>
        <w:t xml:space="preserve"> of the EG</w:t>
      </w:r>
      <w:r w:rsidR="002548D4" w:rsidRPr="00D608CB">
        <w:rPr>
          <w:rFonts w:ascii="Times New Roman" w:hAnsi="Times New Roman" w:cs="Times New Roman"/>
          <w:sz w:val="24"/>
          <w:szCs w:val="24"/>
        </w:rPr>
        <w:t>R</w:t>
      </w:r>
      <w:r w:rsidRPr="00D608CB">
        <w:rPr>
          <w:rFonts w:ascii="Times New Roman" w:hAnsi="Times New Roman" w:cs="Times New Roman"/>
          <w:sz w:val="24"/>
          <w:szCs w:val="24"/>
        </w:rPr>
        <w:t xml:space="preserve"> and the improvements planned.  </w:t>
      </w:r>
    </w:p>
    <w:p w14:paraId="542F0AA6" w14:textId="16AD44B6" w:rsidR="001D3833" w:rsidRDefault="00D608CB" w:rsidP="008F5260">
      <w:pPr>
        <w:spacing w:before="120"/>
        <w:jc w:val="both"/>
        <w:rPr>
          <w:rFonts w:ascii="Times New Roman" w:hAnsi="Times New Roman" w:cs="Times New Roman"/>
          <w:sz w:val="24"/>
          <w:szCs w:val="24"/>
        </w:rPr>
      </w:pPr>
      <w:r>
        <w:rPr>
          <w:rFonts w:ascii="Times New Roman" w:hAnsi="Times New Roman" w:cs="Times New Roman"/>
          <w:sz w:val="24"/>
          <w:szCs w:val="24"/>
        </w:rPr>
        <w:t xml:space="preserve">Due to growing </w:t>
      </w:r>
      <w:r w:rsidR="001D3833" w:rsidRPr="00D608CB">
        <w:rPr>
          <w:rFonts w:ascii="Times New Roman" w:hAnsi="Times New Roman" w:cs="Times New Roman"/>
          <w:sz w:val="24"/>
          <w:szCs w:val="24"/>
        </w:rPr>
        <w:t>interest in</w:t>
      </w:r>
      <w:r w:rsidR="002548D4" w:rsidRPr="00D608CB">
        <w:rPr>
          <w:rFonts w:ascii="Times New Roman" w:hAnsi="Times New Roman" w:cs="Times New Roman"/>
          <w:sz w:val="24"/>
          <w:szCs w:val="24"/>
        </w:rPr>
        <w:t xml:space="preserve"> information on</w:t>
      </w:r>
      <w:r w:rsidR="001D3833" w:rsidRPr="00D608CB">
        <w:rPr>
          <w:rFonts w:ascii="Times New Roman" w:hAnsi="Times New Roman" w:cs="Times New Roman"/>
          <w:sz w:val="24"/>
          <w:szCs w:val="24"/>
        </w:rPr>
        <w:t xml:space="preserve"> </w:t>
      </w:r>
      <w:r w:rsidR="00F10DCB" w:rsidRPr="00D608CB">
        <w:rPr>
          <w:rFonts w:ascii="Times New Roman" w:hAnsi="Times New Roman" w:cs="Times New Roman"/>
          <w:sz w:val="24"/>
          <w:szCs w:val="24"/>
        </w:rPr>
        <w:t>MNE</w:t>
      </w:r>
      <w:r w:rsidR="002548D4" w:rsidRPr="00D608CB">
        <w:rPr>
          <w:rFonts w:ascii="Times New Roman" w:hAnsi="Times New Roman" w:cs="Times New Roman"/>
          <w:sz w:val="24"/>
          <w:szCs w:val="24"/>
        </w:rPr>
        <w:t xml:space="preserve"> groups</w:t>
      </w:r>
      <w:r w:rsidR="001D3833" w:rsidRPr="00D608CB">
        <w:rPr>
          <w:rFonts w:ascii="Times New Roman" w:hAnsi="Times New Roman" w:cs="Times New Roman"/>
          <w:sz w:val="24"/>
          <w:szCs w:val="24"/>
        </w:rPr>
        <w:t xml:space="preserve">, Eurostat now publishes experimental statistics </w:t>
      </w:r>
      <w:r w:rsidR="00551874">
        <w:rPr>
          <w:rFonts w:ascii="Times New Roman" w:hAnsi="Times New Roman" w:cs="Times New Roman"/>
          <w:sz w:val="24"/>
          <w:szCs w:val="24"/>
        </w:rPr>
        <w:t>covering aggregated data on</w:t>
      </w:r>
      <w:r w:rsidR="00DD19F6" w:rsidRPr="00D608CB">
        <w:rPr>
          <w:rFonts w:ascii="Times New Roman" w:hAnsi="Times New Roman" w:cs="Times New Roman"/>
          <w:sz w:val="24"/>
          <w:szCs w:val="24"/>
        </w:rPr>
        <w:t xml:space="preserve"> MNE</w:t>
      </w:r>
      <w:r w:rsidR="002548D4" w:rsidRPr="00D608CB">
        <w:rPr>
          <w:rFonts w:ascii="Times New Roman" w:hAnsi="Times New Roman" w:cs="Times New Roman"/>
          <w:sz w:val="24"/>
          <w:szCs w:val="24"/>
        </w:rPr>
        <w:t xml:space="preserve"> groups</w:t>
      </w:r>
      <w:r w:rsidR="001D3833" w:rsidRPr="00D608CB">
        <w:rPr>
          <w:rFonts w:ascii="Times New Roman" w:hAnsi="Times New Roman" w:cs="Times New Roman"/>
          <w:sz w:val="24"/>
          <w:szCs w:val="24"/>
        </w:rPr>
        <w:t xml:space="preserve">. The experimental </w:t>
      </w:r>
      <w:r w:rsidR="00551874">
        <w:rPr>
          <w:rFonts w:ascii="Times New Roman" w:hAnsi="Times New Roman" w:cs="Times New Roman"/>
          <w:sz w:val="24"/>
          <w:szCs w:val="24"/>
        </w:rPr>
        <w:t xml:space="preserve">statistics </w:t>
      </w:r>
      <w:r w:rsidR="001D3833" w:rsidRPr="00D608CB">
        <w:rPr>
          <w:rFonts w:ascii="Times New Roman" w:hAnsi="Times New Roman" w:cs="Times New Roman"/>
          <w:sz w:val="24"/>
          <w:szCs w:val="24"/>
        </w:rPr>
        <w:t xml:space="preserve">articles </w:t>
      </w:r>
      <w:r w:rsidR="00551874">
        <w:rPr>
          <w:rFonts w:ascii="Times New Roman" w:hAnsi="Times New Roman" w:cs="Times New Roman"/>
          <w:sz w:val="24"/>
          <w:szCs w:val="24"/>
        </w:rPr>
        <w:t>are</w:t>
      </w:r>
      <w:r w:rsidR="00551874" w:rsidRPr="00D608CB">
        <w:rPr>
          <w:rFonts w:ascii="Times New Roman" w:hAnsi="Times New Roman" w:cs="Times New Roman"/>
          <w:sz w:val="24"/>
          <w:szCs w:val="24"/>
        </w:rPr>
        <w:t xml:space="preserve"> </w:t>
      </w:r>
      <w:r w:rsidR="001D3833" w:rsidRPr="00D608CB">
        <w:rPr>
          <w:rFonts w:ascii="Times New Roman" w:hAnsi="Times New Roman" w:cs="Times New Roman"/>
          <w:sz w:val="24"/>
          <w:szCs w:val="24"/>
        </w:rPr>
        <w:t xml:space="preserve">based on the EGR data </w:t>
      </w:r>
      <w:r w:rsidR="00551874">
        <w:rPr>
          <w:rFonts w:ascii="Times New Roman" w:hAnsi="Times New Roman" w:cs="Times New Roman"/>
          <w:sz w:val="24"/>
          <w:szCs w:val="24"/>
        </w:rPr>
        <w:t>solely</w:t>
      </w:r>
      <w:r w:rsidR="00551874" w:rsidRPr="00D608CB">
        <w:rPr>
          <w:rFonts w:ascii="Times New Roman" w:hAnsi="Times New Roman" w:cs="Times New Roman"/>
          <w:sz w:val="24"/>
          <w:szCs w:val="24"/>
        </w:rPr>
        <w:t xml:space="preserve"> </w:t>
      </w:r>
      <w:r w:rsidR="001D3833" w:rsidRPr="00D608CB">
        <w:rPr>
          <w:rFonts w:ascii="Times New Roman" w:hAnsi="Times New Roman" w:cs="Times New Roman"/>
          <w:sz w:val="24"/>
          <w:szCs w:val="24"/>
        </w:rPr>
        <w:t xml:space="preserve">and have been produced </w:t>
      </w:r>
      <w:r w:rsidR="00DD19F6" w:rsidRPr="00D608CB">
        <w:rPr>
          <w:rFonts w:ascii="Times New Roman" w:hAnsi="Times New Roman" w:cs="Times New Roman"/>
          <w:sz w:val="24"/>
          <w:szCs w:val="24"/>
        </w:rPr>
        <w:t>for the reference year 2015 and 2016</w:t>
      </w:r>
      <w:r w:rsidR="00551874">
        <w:rPr>
          <w:rFonts w:ascii="Times New Roman" w:hAnsi="Times New Roman" w:cs="Times New Roman"/>
          <w:sz w:val="24"/>
          <w:szCs w:val="24"/>
        </w:rPr>
        <w:t xml:space="preserve">, with the latest </w:t>
      </w:r>
      <w:r>
        <w:rPr>
          <w:rFonts w:ascii="Times New Roman" w:hAnsi="Times New Roman" w:cs="Times New Roman"/>
          <w:sz w:val="24"/>
          <w:szCs w:val="24"/>
        </w:rPr>
        <w:t>release</w:t>
      </w:r>
      <w:r w:rsidRPr="00D608CB">
        <w:rPr>
          <w:rFonts w:ascii="Times New Roman" w:hAnsi="Times New Roman" w:cs="Times New Roman"/>
          <w:sz w:val="24"/>
          <w:szCs w:val="24"/>
        </w:rPr>
        <w:t xml:space="preserve"> in</w:t>
      </w:r>
      <w:r w:rsidR="001D3833" w:rsidRPr="00D608CB">
        <w:rPr>
          <w:rFonts w:ascii="Times New Roman" w:hAnsi="Times New Roman" w:cs="Times New Roman"/>
          <w:sz w:val="24"/>
          <w:szCs w:val="24"/>
        </w:rPr>
        <w:t xml:space="preserve"> June 2019 </w:t>
      </w:r>
      <w:r w:rsidR="00DD19F6" w:rsidRPr="00D608CB">
        <w:rPr>
          <w:rFonts w:ascii="Times New Roman" w:hAnsi="Times New Roman" w:cs="Times New Roman"/>
          <w:sz w:val="24"/>
          <w:szCs w:val="24"/>
        </w:rPr>
        <w:t xml:space="preserve">based on </w:t>
      </w:r>
      <w:r w:rsidR="00551874">
        <w:rPr>
          <w:rFonts w:ascii="Times New Roman" w:hAnsi="Times New Roman" w:cs="Times New Roman"/>
          <w:sz w:val="24"/>
          <w:szCs w:val="24"/>
        </w:rPr>
        <w:t>2017 reference year data</w:t>
      </w:r>
      <w:r w:rsidR="00DD19F6" w:rsidRPr="00D608CB">
        <w:rPr>
          <w:rFonts w:ascii="Times New Roman" w:hAnsi="Times New Roman" w:cs="Times New Roman"/>
          <w:sz w:val="24"/>
          <w:szCs w:val="24"/>
        </w:rPr>
        <w:t>.</w:t>
      </w:r>
    </w:p>
    <w:p w14:paraId="367AB22F" w14:textId="62776588" w:rsidR="008F5260" w:rsidRDefault="008F5260" w:rsidP="008F5260">
      <w:pPr>
        <w:spacing w:before="120"/>
        <w:jc w:val="both"/>
        <w:rPr>
          <w:rFonts w:ascii="Times New Roman" w:hAnsi="Times New Roman" w:cs="Times New Roman"/>
          <w:i/>
          <w:sz w:val="24"/>
          <w:szCs w:val="24"/>
        </w:rPr>
      </w:pPr>
      <w:r w:rsidRPr="008F5260">
        <w:rPr>
          <w:rFonts w:ascii="Times New Roman" w:hAnsi="Times New Roman" w:cs="Times New Roman"/>
          <w:i/>
          <w:sz w:val="24"/>
          <w:szCs w:val="24"/>
        </w:rPr>
        <w:t xml:space="preserve">Keywords: EuroGroups Register (EGR), European Statistical System (ESS), Multinational Enterprise (MNE) Groups, </w:t>
      </w:r>
      <w:r>
        <w:rPr>
          <w:rFonts w:ascii="Times New Roman" w:hAnsi="Times New Roman" w:cs="Times New Roman"/>
          <w:i/>
          <w:sz w:val="24"/>
          <w:szCs w:val="24"/>
        </w:rPr>
        <w:t>use of statistical business registers</w:t>
      </w:r>
    </w:p>
    <w:p w14:paraId="197F0473" w14:textId="3B0674D3" w:rsidR="002766C8" w:rsidRDefault="002766C8" w:rsidP="008F5260">
      <w:pPr>
        <w:spacing w:before="120"/>
        <w:jc w:val="both"/>
        <w:rPr>
          <w:rFonts w:ascii="Times New Roman" w:hAnsi="Times New Roman" w:cs="Times New Roman"/>
          <w:b/>
          <w:sz w:val="28"/>
          <w:szCs w:val="24"/>
        </w:rPr>
      </w:pPr>
      <w:r w:rsidRPr="002766C8">
        <w:rPr>
          <w:rFonts w:ascii="Times New Roman" w:hAnsi="Times New Roman" w:cs="Times New Roman"/>
          <w:b/>
          <w:sz w:val="28"/>
          <w:szCs w:val="24"/>
        </w:rPr>
        <w:t>Introduction</w:t>
      </w:r>
    </w:p>
    <w:p w14:paraId="2A77380F" w14:textId="07044BD6" w:rsidR="002766C8" w:rsidRPr="002766C8" w:rsidRDefault="002766C8" w:rsidP="002766C8">
      <w:pPr>
        <w:spacing w:before="120"/>
        <w:jc w:val="both"/>
        <w:rPr>
          <w:rFonts w:ascii="Times New Roman" w:hAnsi="Times New Roman" w:cs="Times New Roman"/>
          <w:sz w:val="24"/>
          <w:szCs w:val="24"/>
        </w:rPr>
      </w:pPr>
      <w:r w:rsidRPr="002766C8">
        <w:rPr>
          <w:rFonts w:ascii="Times New Roman" w:hAnsi="Times New Roman" w:cs="Times New Roman"/>
          <w:sz w:val="24"/>
          <w:szCs w:val="24"/>
        </w:rPr>
        <w:t xml:space="preserve">Globalisation presents significant statistical challenges, particularly for small and open economies in terms of measuring statistical indicators and communicating the results to users. The European Statistical System allocated high priority to the better measuring of globalisation in the statistical processes and output, in business or macro-economic statistics. Some concrete actions were already undertaken such as setting up of the EuroGroups Register of </w:t>
      </w:r>
      <w:r w:rsidR="00340999">
        <w:rPr>
          <w:rFonts w:ascii="Times New Roman" w:hAnsi="Times New Roman" w:cs="Times New Roman"/>
          <w:sz w:val="24"/>
          <w:szCs w:val="24"/>
        </w:rPr>
        <w:t>MNE</w:t>
      </w:r>
      <w:r w:rsidRPr="002766C8">
        <w:rPr>
          <w:rFonts w:ascii="Times New Roman" w:hAnsi="Times New Roman" w:cs="Times New Roman"/>
          <w:sz w:val="24"/>
          <w:szCs w:val="24"/>
        </w:rPr>
        <w:t xml:space="preserve"> groups and the putting in place of a so-called Early-warning System for monitoring restructurings of the groups.</w:t>
      </w:r>
    </w:p>
    <w:p w14:paraId="3AAE6932" w14:textId="1FDC85DB" w:rsidR="002766C8" w:rsidRPr="002766C8" w:rsidRDefault="002766C8" w:rsidP="002766C8">
      <w:pPr>
        <w:spacing w:before="120"/>
        <w:jc w:val="both"/>
        <w:rPr>
          <w:rFonts w:ascii="Times New Roman" w:hAnsi="Times New Roman" w:cs="Times New Roman"/>
          <w:sz w:val="24"/>
          <w:szCs w:val="24"/>
        </w:rPr>
      </w:pPr>
      <w:r w:rsidRPr="002766C8">
        <w:rPr>
          <w:rFonts w:ascii="Times New Roman" w:hAnsi="Times New Roman" w:cs="Times New Roman"/>
          <w:sz w:val="24"/>
          <w:szCs w:val="24"/>
        </w:rPr>
        <w:t>This paper focuses on the EuroGroups Register (EGR), the central statistical business register of Eurostat and the EU and EFTA cou</w:t>
      </w:r>
      <w:r w:rsidR="00340999">
        <w:rPr>
          <w:rFonts w:ascii="Times New Roman" w:hAnsi="Times New Roman" w:cs="Times New Roman"/>
          <w:sz w:val="24"/>
          <w:szCs w:val="24"/>
        </w:rPr>
        <w:t>ntries' statistical authorities, on it’s use and usefulness in statistics related activities.</w:t>
      </w:r>
      <w:r w:rsidRPr="002766C8">
        <w:rPr>
          <w:rFonts w:ascii="Times New Roman" w:hAnsi="Times New Roman" w:cs="Times New Roman"/>
          <w:sz w:val="24"/>
          <w:szCs w:val="24"/>
        </w:rPr>
        <w:t xml:space="preserve"> The EGR is part of the EU statistical infrastructure and has been built up to better capture globalisation effects as well as for improving the consistency of national data on enterprise groups. </w:t>
      </w:r>
    </w:p>
    <w:p w14:paraId="50068385" w14:textId="28E4B870" w:rsidR="002766C8" w:rsidRPr="002766C8" w:rsidRDefault="002766C8" w:rsidP="002766C8">
      <w:pPr>
        <w:spacing w:before="120"/>
        <w:jc w:val="both"/>
        <w:rPr>
          <w:rFonts w:ascii="Times New Roman" w:hAnsi="Times New Roman" w:cs="Times New Roman"/>
          <w:sz w:val="24"/>
          <w:szCs w:val="24"/>
        </w:rPr>
      </w:pPr>
      <w:r w:rsidRPr="002766C8">
        <w:rPr>
          <w:rFonts w:ascii="Times New Roman" w:hAnsi="Times New Roman" w:cs="Times New Roman"/>
          <w:sz w:val="24"/>
          <w:szCs w:val="24"/>
        </w:rPr>
        <w:t xml:space="preserve">The EGR covers </w:t>
      </w:r>
      <w:r w:rsidR="00340999">
        <w:rPr>
          <w:rFonts w:ascii="Times New Roman" w:hAnsi="Times New Roman" w:cs="Times New Roman"/>
          <w:sz w:val="24"/>
          <w:szCs w:val="24"/>
        </w:rPr>
        <w:t>MNE</w:t>
      </w:r>
      <w:r w:rsidRPr="002766C8">
        <w:rPr>
          <w:rFonts w:ascii="Times New Roman" w:hAnsi="Times New Roman" w:cs="Times New Roman"/>
          <w:sz w:val="24"/>
          <w:szCs w:val="24"/>
        </w:rPr>
        <w:t xml:space="preserve"> groups operating in Europe</w:t>
      </w:r>
      <w:r w:rsidR="00340999">
        <w:rPr>
          <w:rFonts w:ascii="Times New Roman" w:hAnsi="Times New Roman" w:cs="Times New Roman"/>
          <w:sz w:val="24"/>
          <w:szCs w:val="24"/>
        </w:rPr>
        <w:t xml:space="preserve"> (EU and EFTA countries)</w:t>
      </w:r>
      <w:r w:rsidRPr="002766C8">
        <w:rPr>
          <w:rFonts w:ascii="Times New Roman" w:hAnsi="Times New Roman" w:cs="Times New Roman"/>
          <w:sz w:val="24"/>
          <w:szCs w:val="24"/>
        </w:rPr>
        <w:t xml:space="preserve">. It provides the statistical authorities of the EU and EFTA countries with yearly population frames of </w:t>
      </w:r>
      <w:r w:rsidR="00340999">
        <w:rPr>
          <w:rFonts w:ascii="Times New Roman" w:hAnsi="Times New Roman" w:cs="Times New Roman"/>
          <w:sz w:val="24"/>
          <w:szCs w:val="24"/>
        </w:rPr>
        <w:t>MNE</w:t>
      </w:r>
      <w:r w:rsidRPr="002766C8">
        <w:rPr>
          <w:rFonts w:ascii="Times New Roman" w:hAnsi="Times New Roman" w:cs="Times New Roman"/>
          <w:sz w:val="24"/>
          <w:szCs w:val="24"/>
        </w:rPr>
        <w:t xml:space="preserve"> groups. The Register's main function is to provide the statistical authorities with a harmonised picture of </w:t>
      </w:r>
      <w:r w:rsidR="00340999">
        <w:rPr>
          <w:rFonts w:ascii="Times New Roman" w:hAnsi="Times New Roman" w:cs="Times New Roman"/>
          <w:sz w:val="24"/>
          <w:szCs w:val="24"/>
        </w:rPr>
        <w:t>MNE</w:t>
      </w:r>
      <w:r w:rsidRPr="002766C8">
        <w:rPr>
          <w:rFonts w:ascii="Times New Roman" w:hAnsi="Times New Roman" w:cs="Times New Roman"/>
          <w:sz w:val="24"/>
          <w:szCs w:val="24"/>
        </w:rPr>
        <w:t xml:space="preserve"> groups for their national statistics. The EGR has been growing in terms of quality over years and </w:t>
      </w:r>
      <w:r w:rsidR="00845B24">
        <w:rPr>
          <w:rFonts w:ascii="Times New Roman" w:hAnsi="Times New Roman" w:cs="Times New Roman"/>
          <w:sz w:val="24"/>
          <w:szCs w:val="24"/>
        </w:rPr>
        <w:t>for reference year 2017</w:t>
      </w:r>
      <w:r w:rsidRPr="002766C8">
        <w:rPr>
          <w:rFonts w:ascii="Times New Roman" w:hAnsi="Times New Roman" w:cs="Times New Roman"/>
          <w:sz w:val="24"/>
          <w:szCs w:val="24"/>
        </w:rPr>
        <w:t xml:space="preserve"> covers more than 1</w:t>
      </w:r>
      <w:r w:rsidR="002833BD">
        <w:rPr>
          <w:rFonts w:ascii="Times New Roman" w:hAnsi="Times New Roman" w:cs="Times New Roman"/>
          <w:sz w:val="24"/>
          <w:szCs w:val="24"/>
        </w:rPr>
        <w:t>62</w:t>
      </w:r>
      <w:r w:rsidRPr="002766C8">
        <w:rPr>
          <w:rFonts w:ascii="Times New Roman" w:hAnsi="Times New Roman" w:cs="Times New Roman"/>
          <w:sz w:val="24"/>
          <w:szCs w:val="24"/>
        </w:rPr>
        <w:t xml:space="preserve"> 000 </w:t>
      </w:r>
      <w:r w:rsidR="00340999">
        <w:rPr>
          <w:rFonts w:ascii="Times New Roman" w:hAnsi="Times New Roman" w:cs="Times New Roman"/>
          <w:sz w:val="24"/>
          <w:szCs w:val="24"/>
        </w:rPr>
        <w:t>MNE</w:t>
      </w:r>
      <w:r w:rsidRPr="002766C8">
        <w:rPr>
          <w:rFonts w:ascii="Times New Roman" w:hAnsi="Times New Roman" w:cs="Times New Roman"/>
          <w:sz w:val="24"/>
          <w:szCs w:val="24"/>
        </w:rPr>
        <w:t xml:space="preserve"> groups</w:t>
      </w:r>
      <w:r w:rsidR="00845B24">
        <w:rPr>
          <w:rFonts w:ascii="Times New Roman" w:hAnsi="Times New Roman" w:cs="Times New Roman"/>
          <w:sz w:val="24"/>
          <w:szCs w:val="24"/>
        </w:rPr>
        <w:t xml:space="preserve"> operating</w:t>
      </w:r>
      <w:r w:rsidRPr="002766C8">
        <w:rPr>
          <w:rFonts w:ascii="Times New Roman" w:hAnsi="Times New Roman" w:cs="Times New Roman"/>
          <w:sz w:val="24"/>
          <w:szCs w:val="24"/>
        </w:rPr>
        <w:t xml:space="preserve"> in the EU</w:t>
      </w:r>
      <w:r w:rsidR="00845B24">
        <w:rPr>
          <w:rFonts w:ascii="Times New Roman" w:hAnsi="Times New Roman" w:cs="Times New Roman"/>
          <w:sz w:val="24"/>
          <w:szCs w:val="24"/>
        </w:rPr>
        <w:t xml:space="preserve"> and EFTA countries</w:t>
      </w:r>
      <w:r w:rsidRPr="002766C8">
        <w:rPr>
          <w:rFonts w:ascii="Times New Roman" w:hAnsi="Times New Roman" w:cs="Times New Roman"/>
          <w:sz w:val="24"/>
          <w:szCs w:val="24"/>
        </w:rPr>
        <w:t xml:space="preserve">. When at least one legal unit of a </w:t>
      </w:r>
      <w:r w:rsidR="00845B24">
        <w:rPr>
          <w:rFonts w:ascii="Times New Roman" w:hAnsi="Times New Roman" w:cs="Times New Roman"/>
          <w:sz w:val="24"/>
          <w:szCs w:val="24"/>
        </w:rPr>
        <w:t>MNE</w:t>
      </w:r>
      <w:r w:rsidRPr="002766C8">
        <w:rPr>
          <w:rFonts w:ascii="Times New Roman" w:hAnsi="Times New Roman" w:cs="Times New Roman"/>
          <w:sz w:val="24"/>
          <w:szCs w:val="24"/>
        </w:rPr>
        <w:t xml:space="preserve"> group is registered in the EU or EFTA country, the group is in the scope of the EGR.</w:t>
      </w:r>
    </w:p>
    <w:p w14:paraId="01BC9B5F" w14:textId="0A94BB69" w:rsidR="002766C8" w:rsidRDefault="00845B24" w:rsidP="002766C8">
      <w:pPr>
        <w:spacing w:before="120"/>
        <w:jc w:val="both"/>
        <w:rPr>
          <w:rFonts w:ascii="Times New Roman" w:hAnsi="Times New Roman" w:cs="Times New Roman"/>
          <w:sz w:val="24"/>
          <w:szCs w:val="24"/>
        </w:rPr>
      </w:pPr>
      <w:r>
        <w:rPr>
          <w:rFonts w:ascii="Times New Roman" w:hAnsi="Times New Roman" w:cs="Times New Roman"/>
          <w:sz w:val="24"/>
          <w:szCs w:val="24"/>
        </w:rPr>
        <w:t>This paper concentrates</w:t>
      </w:r>
      <w:r w:rsidR="002766C8" w:rsidRPr="002766C8">
        <w:rPr>
          <w:rFonts w:ascii="Times New Roman" w:hAnsi="Times New Roman" w:cs="Times New Roman"/>
          <w:sz w:val="24"/>
          <w:szCs w:val="24"/>
        </w:rPr>
        <w:t xml:space="preserve"> </w:t>
      </w:r>
      <w:r>
        <w:rPr>
          <w:rFonts w:ascii="Times New Roman" w:hAnsi="Times New Roman" w:cs="Times New Roman"/>
          <w:sz w:val="24"/>
          <w:szCs w:val="24"/>
        </w:rPr>
        <w:t xml:space="preserve">on </w:t>
      </w:r>
      <w:r w:rsidR="002766C8" w:rsidRPr="002766C8">
        <w:rPr>
          <w:rFonts w:ascii="Times New Roman" w:hAnsi="Times New Roman" w:cs="Times New Roman"/>
          <w:sz w:val="24"/>
          <w:szCs w:val="24"/>
        </w:rPr>
        <w:t>the</w:t>
      </w:r>
      <w:r>
        <w:rPr>
          <w:rFonts w:ascii="Times New Roman" w:hAnsi="Times New Roman" w:cs="Times New Roman"/>
          <w:sz w:val="24"/>
          <w:szCs w:val="24"/>
        </w:rPr>
        <w:t xml:space="preserve"> use and the users of the EGR as data source for statistics production, on on-going methodological and processes improvements, as well as on experimental statistical output based on the EGR data and disseminated on the Eurostat website. </w:t>
      </w:r>
    </w:p>
    <w:p w14:paraId="06E65FAC" w14:textId="05628E3D" w:rsidR="000A1510" w:rsidRDefault="000A1510" w:rsidP="002766C8">
      <w:pPr>
        <w:spacing w:before="120"/>
        <w:jc w:val="both"/>
        <w:rPr>
          <w:rFonts w:ascii="Times New Roman" w:hAnsi="Times New Roman" w:cs="Times New Roman"/>
          <w:sz w:val="24"/>
          <w:szCs w:val="24"/>
        </w:rPr>
      </w:pPr>
    </w:p>
    <w:p w14:paraId="30F75CDA" w14:textId="77777777" w:rsidR="000A1510" w:rsidRDefault="000A1510" w:rsidP="002766C8">
      <w:pPr>
        <w:spacing w:before="120"/>
        <w:jc w:val="both"/>
        <w:rPr>
          <w:rFonts w:ascii="Times New Roman" w:hAnsi="Times New Roman" w:cs="Times New Roman"/>
          <w:sz w:val="24"/>
          <w:szCs w:val="24"/>
        </w:rPr>
      </w:pPr>
    </w:p>
    <w:p w14:paraId="7A749A5D" w14:textId="6B693EB0" w:rsidR="00CE640F" w:rsidRDefault="00CE640F" w:rsidP="002766C8">
      <w:pPr>
        <w:spacing w:before="120"/>
        <w:jc w:val="both"/>
        <w:rPr>
          <w:rFonts w:ascii="Times New Roman" w:hAnsi="Times New Roman" w:cs="Times New Roman"/>
          <w:b/>
          <w:sz w:val="28"/>
          <w:szCs w:val="24"/>
        </w:rPr>
      </w:pPr>
      <w:r>
        <w:rPr>
          <w:rFonts w:ascii="Times New Roman" w:hAnsi="Times New Roman" w:cs="Times New Roman"/>
          <w:b/>
          <w:sz w:val="28"/>
          <w:szCs w:val="24"/>
        </w:rPr>
        <w:lastRenderedPageBreak/>
        <w:t>The purpose of the EGR</w:t>
      </w:r>
    </w:p>
    <w:p w14:paraId="2D2D81C7" w14:textId="16B55B3F" w:rsidR="00CE640F" w:rsidRPr="00CE640F" w:rsidRDefault="00CE640F" w:rsidP="00CE640F">
      <w:pPr>
        <w:spacing w:before="120"/>
        <w:jc w:val="both"/>
        <w:rPr>
          <w:rFonts w:ascii="Times New Roman" w:hAnsi="Times New Roman" w:cs="Times New Roman"/>
          <w:sz w:val="24"/>
          <w:szCs w:val="24"/>
        </w:rPr>
      </w:pPr>
      <w:r w:rsidRPr="00CE640F">
        <w:rPr>
          <w:rFonts w:ascii="Times New Roman" w:hAnsi="Times New Roman" w:cs="Times New Roman"/>
          <w:sz w:val="24"/>
          <w:szCs w:val="24"/>
        </w:rPr>
        <w:t xml:space="preserve">The </w:t>
      </w:r>
      <w:r>
        <w:rPr>
          <w:rFonts w:ascii="Times New Roman" w:hAnsi="Times New Roman" w:cs="Times New Roman"/>
          <w:sz w:val="24"/>
          <w:szCs w:val="24"/>
        </w:rPr>
        <w:t>purpose of the EGR is</w:t>
      </w:r>
      <w:r w:rsidRPr="00CE640F">
        <w:rPr>
          <w:rFonts w:ascii="Times New Roman" w:hAnsi="Times New Roman" w:cs="Times New Roman"/>
          <w:sz w:val="24"/>
          <w:szCs w:val="24"/>
        </w:rPr>
        <w:t xml:space="preserve"> mainly</w:t>
      </w:r>
      <w:r>
        <w:rPr>
          <w:rFonts w:ascii="Times New Roman" w:hAnsi="Times New Roman" w:cs="Times New Roman"/>
          <w:sz w:val="24"/>
          <w:szCs w:val="24"/>
        </w:rPr>
        <w:t xml:space="preserve"> to</w:t>
      </w:r>
      <w:r w:rsidRPr="00CE640F">
        <w:rPr>
          <w:rFonts w:ascii="Times New Roman" w:hAnsi="Times New Roman" w:cs="Times New Roman"/>
          <w:sz w:val="24"/>
          <w:szCs w:val="24"/>
        </w:rPr>
        <w:t xml:space="preserve"> store variables on legal units, enterprises and</w:t>
      </w:r>
      <w:r>
        <w:rPr>
          <w:rFonts w:ascii="Times New Roman" w:hAnsi="Times New Roman" w:cs="Times New Roman"/>
          <w:sz w:val="24"/>
          <w:szCs w:val="24"/>
        </w:rPr>
        <w:t xml:space="preserve"> MNE</w:t>
      </w:r>
      <w:r w:rsidRPr="00CE640F">
        <w:rPr>
          <w:rFonts w:ascii="Times New Roman" w:hAnsi="Times New Roman" w:cs="Times New Roman"/>
          <w:sz w:val="24"/>
          <w:szCs w:val="24"/>
        </w:rPr>
        <w:t xml:space="preserve"> groups. </w:t>
      </w:r>
    </w:p>
    <w:p w14:paraId="170E329C" w14:textId="1A6FA316" w:rsidR="00CE640F" w:rsidRPr="00CE640F" w:rsidRDefault="00CE640F" w:rsidP="00CE640F">
      <w:pPr>
        <w:spacing w:before="120"/>
        <w:jc w:val="both"/>
        <w:rPr>
          <w:rFonts w:ascii="Times New Roman" w:hAnsi="Times New Roman" w:cs="Times New Roman"/>
          <w:sz w:val="24"/>
          <w:szCs w:val="24"/>
        </w:rPr>
      </w:pPr>
      <w:r w:rsidRPr="00CE640F">
        <w:rPr>
          <w:rFonts w:ascii="Times New Roman" w:hAnsi="Times New Roman" w:cs="Times New Roman"/>
          <w:sz w:val="24"/>
          <w:szCs w:val="24"/>
        </w:rPr>
        <w:t>The EGR provides harmonised information for the users on:</w:t>
      </w:r>
    </w:p>
    <w:p w14:paraId="16B845B8" w14:textId="77777777" w:rsidR="00CE640F" w:rsidRDefault="00CE640F" w:rsidP="00CE640F">
      <w:pPr>
        <w:pStyle w:val="ListParagraph"/>
        <w:numPr>
          <w:ilvl w:val="0"/>
          <w:numId w:val="3"/>
        </w:numPr>
        <w:spacing w:before="120"/>
        <w:jc w:val="both"/>
        <w:rPr>
          <w:rFonts w:ascii="Times New Roman" w:hAnsi="Times New Roman" w:cs="Times New Roman"/>
          <w:sz w:val="24"/>
          <w:szCs w:val="24"/>
        </w:rPr>
      </w:pPr>
      <w:r w:rsidRPr="00CE640F">
        <w:rPr>
          <w:rFonts w:ascii="Times New Roman" w:hAnsi="Times New Roman" w:cs="Times New Roman"/>
          <w:sz w:val="24"/>
          <w:szCs w:val="24"/>
        </w:rPr>
        <w:t>enterprise groups, enterprises, legal units (identification, demographic and economic characteristics);</w:t>
      </w:r>
    </w:p>
    <w:p w14:paraId="36575C6A" w14:textId="77777777" w:rsidR="00CE640F" w:rsidRDefault="00CE640F" w:rsidP="00CE640F">
      <w:pPr>
        <w:pStyle w:val="ListParagraph"/>
        <w:numPr>
          <w:ilvl w:val="0"/>
          <w:numId w:val="3"/>
        </w:numPr>
        <w:spacing w:before="120"/>
        <w:jc w:val="both"/>
        <w:rPr>
          <w:rFonts w:ascii="Times New Roman" w:hAnsi="Times New Roman" w:cs="Times New Roman"/>
          <w:sz w:val="24"/>
          <w:szCs w:val="24"/>
        </w:rPr>
      </w:pPr>
      <w:r w:rsidRPr="00CE640F">
        <w:rPr>
          <w:rFonts w:ascii="Times New Roman" w:hAnsi="Times New Roman" w:cs="Times New Roman"/>
          <w:sz w:val="24"/>
          <w:szCs w:val="24"/>
        </w:rPr>
        <w:t>relationships and control;</w:t>
      </w:r>
    </w:p>
    <w:p w14:paraId="50812DAB" w14:textId="77777777" w:rsidR="00CE640F" w:rsidRPr="00CE640F" w:rsidRDefault="00CE640F" w:rsidP="00CE640F">
      <w:pPr>
        <w:pStyle w:val="ListParagraph"/>
        <w:numPr>
          <w:ilvl w:val="0"/>
          <w:numId w:val="3"/>
        </w:numPr>
        <w:spacing w:before="120"/>
        <w:jc w:val="both"/>
        <w:rPr>
          <w:rFonts w:ascii="Times New Roman" w:hAnsi="Times New Roman" w:cs="Times New Roman"/>
          <w:sz w:val="24"/>
          <w:szCs w:val="24"/>
        </w:rPr>
      </w:pPr>
      <w:r w:rsidRPr="00CE640F">
        <w:rPr>
          <w:rFonts w:ascii="Times New Roman" w:hAnsi="Times New Roman" w:cs="Times New Roman"/>
          <w:sz w:val="24"/>
          <w:szCs w:val="24"/>
        </w:rPr>
        <w:t>shareholdings of at least 10 per cent.</w:t>
      </w:r>
    </w:p>
    <w:p w14:paraId="06C1C6D3" w14:textId="57B277DA" w:rsidR="00CE640F" w:rsidRPr="00CE640F" w:rsidRDefault="00CE640F" w:rsidP="00CE640F">
      <w:pPr>
        <w:spacing w:before="120"/>
        <w:jc w:val="both"/>
        <w:rPr>
          <w:rFonts w:ascii="Times New Roman" w:hAnsi="Times New Roman" w:cs="Times New Roman"/>
          <w:sz w:val="24"/>
          <w:szCs w:val="24"/>
        </w:rPr>
      </w:pPr>
      <w:r w:rsidRPr="00CE640F">
        <w:rPr>
          <w:rFonts w:ascii="Times New Roman" w:hAnsi="Times New Roman" w:cs="Times New Roman"/>
          <w:sz w:val="24"/>
          <w:szCs w:val="24"/>
        </w:rPr>
        <w:t xml:space="preserve">The </w:t>
      </w:r>
      <w:r>
        <w:rPr>
          <w:rFonts w:ascii="Times New Roman" w:hAnsi="Times New Roman" w:cs="Times New Roman"/>
          <w:sz w:val="24"/>
          <w:szCs w:val="24"/>
        </w:rPr>
        <w:t>EGR also</w:t>
      </w:r>
      <w:r w:rsidRPr="00CE640F">
        <w:rPr>
          <w:rFonts w:ascii="Times New Roman" w:hAnsi="Times New Roman" w:cs="Times New Roman"/>
          <w:sz w:val="24"/>
          <w:szCs w:val="24"/>
        </w:rPr>
        <w:t xml:space="preserve"> have the following purposes: </w:t>
      </w:r>
    </w:p>
    <w:p w14:paraId="52F54DFD" w14:textId="53CB4DDE" w:rsidR="00CE640F" w:rsidRDefault="00CE640F" w:rsidP="00CE640F">
      <w:pPr>
        <w:pStyle w:val="ListParagraph"/>
        <w:numPr>
          <w:ilvl w:val="0"/>
          <w:numId w:val="4"/>
        </w:numPr>
        <w:spacing w:before="120"/>
        <w:jc w:val="both"/>
        <w:rPr>
          <w:rFonts w:ascii="Times New Roman" w:hAnsi="Times New Roman" w:cs="Times New Roman"/>
          <w:sz w:val="24"/>
          <w:szCs w:val="24"/>
        </w:rPr>
      </w:pPr>
      <w:r>
        <w:rPr>
          <w:rFonts w:ascii="Times New Roman" w:hAnsi="Times New Roman" w:cs="Times New Roman"/>
          <w:sz w:val="24"/>
          <w:szCs w:val="24"/>
        </w:rPr>
        <w:t xml:space="preserve">to produce </w:t>
      </w:r>
      <w:r w:rsidRPr="00CE640F">
        <w:rPr>
          <w:rFonts w:ascii="Times New Roman" w:hAnsi="Times New Roman" w:cs="Times New Roman"/>
          <w:sz w:val="24"/>
          <w:szCs w:val="24"/>
        </w:rPr>
        <w:t>coordinated frame population;</w:t>
      </w:r>
    </w:p>
    <w:p w14:paraId="27BDCBBD" w14:textId="6D5EEF46" w:rsidR="00CE640F" w:rsidRDefault="00CE640F" w:rsidP="00CE640F">
      <w:pPr>
        <w:pStyle w:val="ListParagraph"/>
        <w:numPr>
          <w:ilvl w:val="0"/>
          <w:numId w:val="4"/>
        </w:numPr>
        <w:spacing w:before="120"/>
        <w:jc w:val="both"/>
        <w:rPr>
          <w:rFonts w:ascii="Times New Roman" w:hAnsi="Times New Roman" w:cs="Times New Roman"/>
          <w:sz w:val="24"/>
          <w:szCs w:val="24"/>
        </w:rPr>
      </w:pPr>
      <w:r>
        <w:rPr>
          <w:rFonts w:ascii="Times New Roman" w:hAnsi="Times New Roman" w:cs="Times New Roman"/>
          <w:sz w:val="24"/>
          <w:szCs w:val="24"/>
        </w:rPr>
        <w:t xml:space="preserve">to develop </w:t>
      </w:r>
      <w:r w:rsidRPr="00CE640F">
        <w:rPr>
          <w:rFonts w:ascii="Times New Roman" w:hAnsi="Times New Roman" w:cs="Times New Roman"/>
          <w:sz w:val="24"/>
          <w:szCs w:val="24"/>
        </w:rPr>
        <w:t>database to derive consistent statistical output;</w:t>
      </w:r>
    </w:p>
    <w:p w14:paraId="373DC98F" w14:textId="63712502" w:rsidR="00CE640F" w:rsidRDefault="00DB2A70" w:rsidP="00CE640F">
      <w:pPr>
        <w:pStyle w:val="ListParagraph"/>
        <w:numPr>
          <w:ilvl w:val="0"/>
          <w:numId w:val="4"/>
        </w:numPr>
        <w:spacing w:before="120"/>
        <w:jc w:val="both"/>
        <w:rPr>
          <w:rFonts w:ascii="Times New Roman" w:hAnsi="Times New Roman" w:cs="Times New Roman"/>
          <w:sz w:val="24"/>
          <w:szCs w:val="24"/>
        </w:rPr>
      </w:pPr>
      <w:r>
        <w:rPr>
          <w:rFonts w:ascii="Times New Roman" w:hAnsi="Times New Roman" w:cs="Times New Roman"/>
          <w:sz w:val="24"/>
          <w:szCs w:val="24"/>
        </w:rPr>
        <w:t xml:space="preserve">to serve as </w:t>
      </w:r>
      <w:r w:rsidR="00CE640F" w:rsidRPr="00CE640F">
        <w:rPr>
          <w:rFonts w:ascii="Times New Roman" w:hAnsi="Times New Roman" w:cs="Times New Roman"/>
          <w:sz w:val="24"/>
          <w:szCs w:val="24"/>
        </w:rPr>
        <w:t>auxiliary source to improve quality of statistical output;</w:t>
      </w:r>
    </w:p>
    <w:p w14:paraId="586A39C1" w14:textId="550A5987" w:rsidR="00CE640F" w:rsidRDefault="00DB2A70" w:rsidP="00CE640F">
      <w:pPr>
        <w:pStyle w:val="ListParagraph"/>
        <w:numPr>
          <w:ilvl w:val="0"/>
          <w:numId w:val="4"/>
        </w:numPr>
        <w:spacing w:before="120"/>
        <w:jc w:val="both"/>
        <w:rPr>
          <w:rFonts w:ascii="Times New Roman" w:hAnsi="Times New Roman" w:cs="Times New Roman"/>
          <w:sz w:val="24"/>
          <w:szCs w:val="24"/>
        </w:rPr>
      </w:pPr>
      <w:r>
        <w:rPr>
          <w:rFonts w:ascii="Times New Roman" w:hAnsi="Times New Roman" w:cs="Times New Roman"/>
          <w:sz w:val="24"/>
          <w:szCs w:val="24"/>
        </w:rPr>
        <w:t xml:space="preserve">to serve with </w:t>
      </w:r>
      <w:r w:rsidR="00CE640F" w:rsidRPr="00CE640F">
        <w:rPr>
          <w:rFonts w:ascii="Times New Roman" w:hAnsi="Times New Roman" w:cs="Times New Roman"/>
          <w:sz w:val="24"/>
          <w:szCs w:val="24"/>
        </w:rPr>
        <w:t>input for measuring global activities;</w:t>
      </w:r>
    </w:p>
    <w:p w14:paraId="7E3693E6" w14:textId="0CF96DC6" w:rsidR="00CE640F" w:rsidRPr="00CE640F" w:rsidRDefault="00DB2A70" w:rsidP="00CE640F">
      <w:pPr>
        <w:pStyle w:val="ListParagraph"/>
        <w:numPr>
          <w:ilvl w:val="0"/>
          <w:numId w:val="4"/>
        </w:numPr>
        <w:spacing w:before="120"/>
        <w:jc w:val="both"/>
        <w:rPr>
          <w:rFonts w:ascii="Times New Roman" w:hAnsi="Times New Roman" w:cs="Times New Roman"/>
          <w:sz w:val="24"/>
          <w:szCs w:val="24"/>
        </w:rPr>
      </w:pPr>
      <w:r>
        <w:rPr>
          <w:rFonts w:ascii="Times New Roman" w:hAnsi="Times New Roman" w:cs="Times New Roman"/>
          <w:sz w:val="24"/>
          <w:szCs w:val="24"/>
        </w:rPr>
        <w:t xml:space="preserve">to maintain </w:t>
      </w:r>
      <w:r w:rsidR="00CE640F" w:rsidRPr="00CE640F">
        <w:rPr>
          <w:rFonts w:ascii="Times New Roman" w:hAnsi="Times New Roman" w:cs="Times New Roman"/>
          <w:sz w:val="24"/>
          <w:szCs w:val="24"/>
        </w:rPr>
        <w:t>database of European enterprises who are part of multinational groups.</w:t>
      </w:r>
    </w:p>
    <w:p w14:paraId="49BDE6EA" w14:textId="33BD2657" w:rsidR="00845B24" w:rsidRPr="008D1D20" w:rsidRDefault="00845B24" w:rsidP="002766C8">
      <w:pPr>
        <w:spacing w:before="120"/>
        <w:jc w:val="both"/>
        <w:rPr>
          <w:rFonts w:ascii="Times New Roman" w:hAnsi="Times New Roman" w:cs="Times New Roman"/>
          <w:b/>
          <w:sz w:val="28"/>
          <w:szCs w:val="24"/>
        </w:rPr>
      </w:pPr>
      <w:r w:rsidRPr="008D1D20">
        <w:rPr>
          <w:rFonts w:ascii="Times New Roman" w:hAnsi="Times New Roman" w:cs="Times New Roman"/>
          <w:b/>
          <w:sz w:val="28"/>
          <w:szCs w:val="24"/>
        </w:rPr>
        <w:t>EGR users</w:t>
      </w:r>
    </w:p>
    <w:p w14:paraId="66F9D50E" w14:textId="77777777" w:rsidR="00CE640F" w:rsidRPr="00CE640F" w:rsidRDefault="00CE640F" w:rsidP="00CE640F">
      <w:pPr>
        <w:spacing w:before="120"/>
        <w:jc w:val="both"/>
        <w:rPr>
          <w:rFonts w:ascii="Times New Roman" w:hAnsi="Times New Roman" w:cs="Times New Roman"/>
          <w:sz w:val="24"/>
          <w:szCs w:val="24"/>
        </w:rPr>
      </w:pPr>
      <w:r w:rsidRPr="00CE640F">
        <w:rPr>
          <w:rFonts w:ascii="Times New Roman" w:hAnsi="Times New Roman" w:cs="Times New Roman"/>
          <w:sz w:val="24"/>
          <w:szCs w:val="24"/>
        </w:rPr>
        <w:t>The EGR is a statistical register with restricted use. The EGR data with the harmonised the multinational groups are only accessible for statisticians producing national statistics in the EU and EFTA NSIs and national central banks.</w:t>
      </w:r>
    </w:p>
    <w:p w14:paraId="2706F296" w14:textId="77777777" w:rsidR="00CE640F" w:rsidRPr="00CE640F" w:rsidRDefault="00CE640F" w:rsidP="00CE640F">
      <w:pPr>
        <w:spacing w:before="120"/>
        <w:jc w:val="both"/>
        <w:rPr>
          <w:rFonts w:ascii="Times New Roman" w:hAnsi="Times New Roman" w:cs="Times New Roman"/>
          <w:sz w:val="24"/>
          <w:szCs w:val="24"/>
        </w:rPr>
      </w:pPr>
      <w:r w:rsidRPr="00CE640F">
        <w:rPr>
          <w:rFonts w:ascii="Times New Roman" w:hAnsi="Times New Roman" w:cs="Times New Roman"/>
          <w:sz w:val="24"/>
          <w:szCs w:val="24"/>
        </w:rPr>
        <w:t>The EGR data serve only for statistical purposes, i.e. for the production of the official statistics related to globalisation in the EU Member States and EFTA countries, for example:</w:t>
      </w:r>
    </w:p>
    <w:p w14:paraId="64147DE7" w14:textId="77777777" w:rsidR="00CE640F" w:rsidRDefault="00CE640F" w:rsidP="00841EFB">
      <w:pPr>
        <w:pStyle w:val="ListParagraph"/>
        <w:numPr>
          <w:ilvl w:val="0"/>
          <w:numId w:val="5"/>
        </w:numPr>
        <w:spacing w:before="120"/>
        <w:jc w:val="both"/>
        <w:rPr>
          <w:rFonts w:ascii="Times New Roman" w:hAnsi="Times New Roman" w:cs="Times New Roman"/>
          <w:sz w:val="24"/>
          <w:szCs w:val="24"/>
        </w:rPr>
      </w:pPr>
      <w:r w:rsidRPr="00CE640F">
        <w:rPr>
          <w:rFonts w:ascii="Times New Roman" w:hAnsi="Times New Roman" w:cs="Times New Roman"/>
          <w:sz w:val="24"/>
          <w:szCs w:val="24"/>
        </w:rPr>
        <w:t>Statistics on foreign affiliates (FATS);</w:t>
      </w:r>
    </w:p>
    <w:p w14:paraId="02D96A61" w14:textId="77777777" w:rsidR="00CE640F" w:rsidRDefault="00CE640F" w:rsidP="00BD347A">
      <w:pPr>
        <w:pStyle w:val="ListParagraph"/>
        <w:numPr>
          <w:ilvl w:val="0"/>
          <w:numId w:val="5"/>
        </w:numPr>
        <w:spacing w:before="120"/>
        <w:jc w:val="both"/>
        <w:rPr>
          <w:rFonts w:ascii="Times New Roman" w:hAnsi="Times New Roman" w:cs="Times New Roman"/>
          <w:sz w:val="24"/>
          <w:szCs w:val="24"/>
        </w:rPr>
      </w:pPr>
      <w:r w:rsidRPr="00CE640F">
        <w:rPr>
          <w:rFonts w:ascii="Times New Roman" w:hAnsi="Times New Roman" w:cs="Times New Roman"/>
          <w:sz w:val="24"/>
          <w:szCs w:val="24"/>
        </w:rPr>
        <w:t>Foreign direct investment statistics (FDI);</w:t>
      </w:r>
    </w:p>
    <w:p w14:paraId="6F77EF36" w14:textId="77777777" w:rsidR="00CE640F" w:rsidRDefault="00CE640F" w:rsidP="00691DC0">
      <w:pPr>
        <w:pStyle w:val="ListParagraph"/>
        <w:numPr>
          <w:ilvl w:val="0"/>
          <w:numId w:val="5"/>
        </w:numPr>
        <w:spacing w:before="120"/>
        <w:jc w:val="both"/>
        <w:rPr>
          <w:rFonts w:ascii="Times New Roman" w:hAnsi="Times New Roman" w:cs="Times New Roman"/>
          <w:sz w:val="24"/>
          <w:szCs w:val="24"/>
        </w:rPr>
      </w:pPr>
      <w:r w:rsidRPr="00CE640F">
        <w:rPr>
          <w:rFonts w:ascii="Times New Roman" w:hAnsi="Times New Roman" w:cs="Times New Roman"/>
          <w:sz w:val="24"/>
          <w:szCs w:val="24"/>
        </w:rPr>
        <w:t>Statistics on small and medium sized enterprises (SBS);</w:t>
      </w:r>
    </w:p>
    <w:p w14:paraId="6E8517A5" w14:textId="77777777" w:rsidR="00CE640F" w:rsidRDefault="00CE640F" w:rsidP="00147139">
      <w:pPr>
        <w:pStyle w:val="ListParagraph"/>
        <w:numPr>
          <w:ilvl w:val="0"/>
          <w:numId w:val="5"/>
        </w:numPr>
        <w:spacing w:before="120"/>
        <w:jc w:val="both"/>
        <w:rPr>
          <w:rFonts w:ascii="Times New Roman" w:hAnsi="Times New Roman" w:cs="Times New Roman"/>
          <w:sz w:val="24"/>
          <w:szCs w:val="24"/>
        </w:rPr>
      </w:pPr>
      <w:r w:rsidRPr="00CE640F">
        <w:rPr>
          <w:rFonts w:ascii="Times New Roman" w:hAnsi="Times New Roman" w:cs="Times New Roman"/>
          <w:sz w:val="24"/>
          <w:szCs w:val="24"/>
        </w:rPr>
        <w:t>Statistics on trade by enterprise characteristics (TEC);</w:t>
      </w:r>
    </w:p>
    <w:p w14:paraId="47C5A22E" w14:textId="77777777" w:rsidR="00CE640F" w:rsidRPr="00CE640F" w:rsidRDefault="00CE640F" w:rsidP="004B54A5">
      <w:pPr>
        <w:pStyle w:val="ListParagraph"/>
        <w:numPr>
          <w:ilvl w:val="0"/>
          <w:numId w:val="5"/>
        </w:numPr>
        <w:spacing w:before="120"/>
        <w:jc w:val="both"/>
        <w:rPr>
          <w:rFonts w:ascii="Times New Roman" w:hAnsi="Times New Roman" w:cs="Times New Roman"/>
          <w:b/>
          <w:sz w:val="28"/>
          <w:szCs w:val="24"/>
        </w:rPr>
      </w:pPr>
      <w:r w:rsidRPr="00CE640F">
        <w:rPr>
          <w:rFonts w:ascii="Times New Roman" w:hAnsi="Times New Roman" w:cs="Times New Roman"/>
          <w:sz w:val="24"/>
          <w:szCs w:val="24"/>
        </w:rPr>
        <w:t>National accounts - statistics on gross national income (GNI);</w:t>
      </w:r>
    </w:p>
    <w:p w14:paraId="7F3FB6CA" w14:textId="41D07821" w:rsidR="00CE640F" w:rsidRPr="00DB2A70" w:rsidRDefault="00CE640F" w:rsidP="004B54A5">
      <w:pPr>
        <w:pStyle w:val="ListParagraph"/>
        <w:numPr>
          <w:ilvl w:val="0"/>
          <w:numId w:val="5"/>
        </w:numPr>
        <w:spacing w:before="120"/>
        <w:jc w:val="both"/>
        <w:rPr>
          <w:rFonts w:ascii="Times New Roman" w:hAnsi="Times New Roman" w:cs="Times New Roman"/>
          <w:b/>
          <w:sz w:val="28"/>
          <w:szCs w:val="24"/>
        </w:rPr>
      </w:pPr>
      <w:r w:rsidRPr="00CE640F">
        <w:rPr>
          <w:rFonts w:ascii="Times New Roman" w:hAnsi="Times New Roman" w:cs="Times New Roman"/>
          <w:sz w:val="24"/>
          <w:szCs w:val="24"/>
        </w:rPr>
        <w:t>Short term statistics (STS).</w:t>
      </w:r>
    </w:p>
    <w:p w14:paraId="3594DE37" w14:textId="77777777" w:rsidR="00DB2A70" w:rsidRPr="00DB2A70" w:rsidRDefault="00DB2A70" w:rsidP="00DB2A70">
      <w:p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Currently, 405 statisticians working for NSIs, National Central Banks (NCBs) and Eurostat have access to the EGR output data (EGR frame), as follows: </w:t>
      </w:r>
    </w:p>
    <w:p w14:paraId="2B1DB282" w14:textId="5D009695" w:rsidR="00DB2A70" w:rsidRPr="00DB2A70" w:rsidRDefault="000A1510" w:rsidP="00DB2A70">
      <w:pPr>
        <w:spacing w:before="120"/>
        <w:jc w:val="center"/>
        <w:rPr>
          <w:rFonts w:ascii="Times New Roman" w:hAnsi="Times New Roman" w:cs="Times New Roman"/>
          <w:sz w:val="24"/>
          <w:szCs w:val="24"/>
        </w:rPr>
      </w:pPr>
      <w:r>
        <w:rPr>
          <w:noProof/>
          <w:lang w:eastAsia="en-GB"/>
        </w:rPr>
        <w:lastRenderedPageBreak/>
        <w:drawing>
          <wp:inline distT="0" distB="0" distL="0" distR="0" wp14:anchorId="7A9DCC7C" wp14:editId="6358F1E3">
            <wp:extent cx="5760720" cy="4252595"/>
            <wp:effectExtent l="0" t="0" r="1143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55E67E" w14:textId="5C13F7CB" w:rsidR="00DB2A70" w:rsidRPr="00DB2A70" w:rsidRDefault="00DB2A70" w:rsidP="00DB2A70">
      <w:pPr>
        <w:spacing w:before="120"/>
        <w:jc w:val="center"/>
        <w:rPr>
          <w:rFonts w:ascii="Times New Roman" w:hAnsi="Times New Roman" w:cs="Times New Roman"/>
          <w:sz w:val="24"/>
          <w:szCs w:val="24"/>
        </w:rPr>
      </w:pPr>
      <w:r w:rsidRPr="00DB2A70">
        <w:rPr>
          <w:rFonts w:ascii="Times New Roman" w:hAnsi="Times New Roman" w:cs="Times New Roman"/>
          <w:sz w:val="24"/>
          <w:szCs w:val="24"/>
        </w:rPr>
        <w:t xml:space="preserve">Figure </w:t>
      </w:r>
      <w:r>
        <w:rPr>
          <w:rFonts w:ascii="Times New Roman" w:hAnsi="Times New Roman" w:cs="Times New Roman"/>
          <w:sz w:val="24"/>
          <w:szCs w:val="24"/>
        </w:rPr>
        <w:t>1</w:t>
      </w:r>
      <w:r w:rsidRPr="00DB2A70">
        <w:rPr>
          <w:rFonts w:ascii="Times New Roman" w:hAnsi="Times New Roman" w:cs="Times New Roman"/>
          <w:sz w:val="24"/>
          <w:szCs w:val="24"/>
        </w:rPr>
        <w:t>: Registered EGR user and producer</w:t>
      </w:r>
    </w:p>
    <w:p w14:paraId="759D5A3C" w14:textId="24803018" w:rsidR="00DB2A70" w:rsidRPr="00DB2A70" w:rsidRDefault="00DB2A70" w:rsidP="00DB2A70">
      <w:pPr>
        <w:spacing w:before="120"/>
        <w:jc w:val="both"/>
        <w:rPr>
          <w:rFonts w:ascii="Times New Roman" w:hAnsi="Times New Roman" w:cs="Times New Roman"/>
          <w:sz w:val="24"/>
          <w:szCs w:val="24"/>
        </w:rPr>
      </w:pPr>
      <w:r w:rsidRPr="00DB2A70">
        <w:rPr>
          <w:rFonts w:ascii="Times New Roman" w:hAnsi="Times New Roman" w:cs="Times New Roman"/>
          <w:sz w:val="24"/>
          <w:szCs w:val="24"/>
        </w:rPr>
        <w:t>The number of registered users increased in the recent years. All NSIs can use the EGR output for the production and quality assessment of their national statistics. 1</w:t>
      </w:r>
      <w:r>
        <w:rPr>
          <w:rFonts w:ascii="Times New Roman" w:hAnsi="Times New Roman" w:cs="Times New Roman"/>
          <w:sz w:val="24"/>
          <w:szCs w:val="24"/>
        </w:rPr>
        <w:t>8</w:t>
      </w:r>
      <w:r w:rsidRPr="00DB2A70">
        <w:rPr>
          <w:rFonts w:ascii="Times New Roman" w:hAnsi="Times New Roman" w:cs="Times New Roman"/>
          <w:sz w:val="24"/>
          <w:szCs w:val="24"/>
        </w:rPr>
        <w:t xml:space="preserve"> National Central Banks (NCBs) from Member States can access the EGR data as well.  In addition, the 1</w:t>
      </w:r>
      <w:r>
        <w:rPr>
          <w:rFonts w:ascii="Times New Roman" w:hAnsi="Times New Roman" w:cs="Times New Roman"/>
          <w:sz w:val="24"/>
          <w:szCs w:val="24"/>
        </w:rPr>
        <w:t>0</w:t>
      </w:r>
      <w:r w:rsidRPr="00DB2A70">
        <w:rPr>
          <w:rFonts w:ascii="Times New Roman" w:hAnsi="Times New Roman" w:cs="Times New Roman"/>
          <w:sz w:val="24"/>
          <w:szCs w:val="24"/>
        </w:rPr>
        <w:t xml:space="preserve"> other NCBs could get access by using the pre-defined access procedures.</w:t>
      </w:r>
    </w:p>
    <w:p w14:paraId="02558C30" w14:textId="03EB91A9" w:rsidR="00845B24" w:rsidRPr="00CE640F" w:rsidRDefault="00845B24" w:rsidP="00CE640F">
      <w:pPr>
        <w:spacing w:before="120"/>
        <w:jc w:val="both"/>
        <w:rPr>
          <w:rFonts w:ascii="Times New Roman" w:hAnsi="Times New Roman" w:cs="Times New Roman"/>
          <w:b/>
          <w:sz w:val="28"/>
          <w:szCs w:val="24"/>
        </w:rPr>
      </w:pPr>
      <w:r w:rsidRPr="00CE640F">
        <w:rPr>
          <w:rFonts w:ascii="Times New Roman" w:hAnsi="Times New Roman" w:cs="Times New Roman"/>
          <w:b/>
          <w:sz w:val="28"/>
          <w:szCs w:val="24"/>
        </w:rPr>
        <w:t>EGR use</w:t>
      </w:r>
    </w:p>
    <w:p w14:paraId="4DD3F43B" w14:textId="233996A9" w:rsidR="008D1D20" w:rsidRPr="008D1D20" w:rsidRDefault="008D1D20" w:rsidP="008D1D20">
      <w:pPr>
        <w:spacing w:before="120"/>
        <w:jc w:val="both"/>
        <w:rPr>
          <w:rFonts w:ascii="Times New Roman" w:hAnsi="Times New Roman" w:cs="Times New Roman"/>
          <w:sz w:val="24"/>
          <w:szCs w:val="24"/>
        </w:rPr>
      </w:pPr>
      <w:r w:rsidRPr="008D1D20">
        <w:rPr>
          <w:rFonts w:ascii="Times New Roman" w:hAnsi="Times New Roman" w:cs="Times New Roman"/>
          <w:sz w:val="24"/>
          <w:szCs w:val="24"/>
        </w:rPr>
        <w:t>When gradually year by year improving the EGR quality and completeness</w:t>
      </w:r>
      <w:r>
        <w:rPr>
          <w:rFonts w:ascii="Times New Roman" w:hAnsi="Times New Roman" w:cs="Times New Roman"/>
          <w:sz w:val="24"/>
          <w:szCs w:val="24"/>
        </w:rPr>
        <w:t xml:space="preserve"> of data on the MNE groups</w:t>
      </w:r>
      <w:r w:rsidRPr="008D1D20">
        <w:rPr>
          <w:rFonts w:ascii="Times New Roman" w:hAnsi="Times New Roman" w:cs="Times New Roman"/>
          <w:sz w:val="24"/>
          <w:szCs w:val="24"/>
        </w:rPr>
        <w:t xml:space="preserve">, more and more EU and EFTA countries starts using the EGR data in their FATS production and are redesigning their national FATS production processes accordingly. </w:t>
      </w:r>
    </w:p>
    <w:p w14:paraId="574D5785" w14:textId="64C1D1D9" w:rsidR="008D1D20" w:rsidRDefault="008D1D20" w:rsidP="008D1D20">
      <w:pPr>
        <w:spacing w:before="120"/>
        <w:jc w:val="both"/>
        <w:rPr>
          <w:rFonts w:ascii="Times New Roman" w:hAnsi="Times New Roman" w:cs="Times New Roman"/>
          <w:sz w:val="24"/>
          <w:szCs w:val="24"/>
        </w:rPr>
      </w:pPr>
      <w:r w:rsidRPr="008D1D20">
        <w:rPr>
          <w:rFonts w:ascii="Times New Roman" w:hAnsi="Times New Roman" w:cs="Times New Roman"/>
          <w:sz w:val="24"/>
          <w:szCs w:val="24"/>
        </w:rPr>
        <w:t>One of the examples are Sweden, that at the EGR-FATS workshop in June 2019 made a presentation on the EGR quality and use. It has been reported that according analysis performed by Swedish colleagues EGR has reached sufficient quality for national FATS production</w:t>
      </w:r>
      <w:r>
        <w:rPr>
          <w:rFonts w:ascii="Times New Roman" w:hAnsi="Times New Roman" w:cs="Times New Roman"/>
          <w:sz w:val="24"/>
          <w:szCs w:val="24"/>
        </w:rPr>
        <w:t xml:space="preserve"> to be considered as official statistics</w:t>
      </w:r>
      <w:r w:rsidRPr="008D1D20">
        <w:rPr>
          <w:rFonts w:ascii="Times New Roman" w:hAnsi="Times New Roman" w:cs="Times New Roman"/>
          <w:sz w:val="24"/>
          <w:szCs w:val="24"/>
        </w:rPr>
        <w:t>.</w:t>
      </w:r>
      <w:r>
        <w:rPr>
          <w:rFonts w:ascii="Times New Roman" w:hAnsi="Times New Roman" w:cs="Times New Roman"/>
          <w:sz w:val="24"/>
          <w:szCs w:val="24"/>
        </w:rPr>
        <w:t xml:space="preserve"> Other countries such as Italy, France, etc. also</w:t>
      </w:r>
      <w:r w:rsidRPr="008D1D20">
        <w:rPr>
          <w:rFonts w:ascii="Times New Roman" w:hAnsi="Times New Roman" w:cs="Times New Roman"/>
          <w:sz w:val="24"/>
          <w:szCs w:val="24"/>
        </w:rPr>
        <w:t xml:space="preserve"> </w:t>
      </w:r>
      <w:r>
        <w:rPr>
          <w:rFonts w:ascii="Times New Roman" w:hAnsi="Times New Roman" w:cs="Times New Roman"/>
          <w:sz w:val="24"/>
          <w:szCs w:val="24"/>
        </w:rPr>
        <w:t>reports on integrating in the national systems the EGR as the main source for FATS production.</w:t>
      </w:r>
    </w:p>
    <w:p w14:paraId="5574EFB0" w14:textId="3439F5CB" w:rsidR="000A1510" w:rsidRPr="008D1D20" w:rsidRDefault="000A1510" w:rsidP="000A1510">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Aiming to increase the usage of the EGR within the European FATS community, Eurostat defined and NSIs produces the EGR-FATS quality indicators. </w:t>
      </w:r>
      <w:r w:rsidRPr="000A1510">
        <w:rPr>
          <w:rFonts w:ascii="Times New Roman" w:hAnsi="Times New Roman" w:cs="Times New Roman"/>
          <w:sz w:val="24"/>
          <w:szCs w:val="24"/>
        </w:rPr>
        <w:t>The objective of these indicators is to evaluate the asymmetries of the EGR and FATS microdata.</w:t>
      </w:r>
      <w:r>
        <w:rPr>
          <w:rFonts w:ascii="Times New Roman" w:hAnsi="Times New Roman" w:cs="Times New Roman"/>
          <w:sz w:val="24"/>
          <w:szCs w:val="24"/>
        </w:rPr>
        <w:t xml:space="preserve"> </w:t>
      </w:r>
      <w:r w:rsidRPr="000A1510">
        <w:rPr>
          <w:rFonts w:ascii="Times New Roman" w:hAnsi="Times New Roman" w:cs="Times New Roman"/>
          <w:sz w:val="24"/>
          <w:szCs w:val="24"/>
        </w:rPr>
        <w:t xml:space="preserve">In the calculation process, national EGR and FATS populations for the reference year 2016 have been compared on the enterprise record level. The EGR-FATS asymmetry indicators were prepared by the NSIs, which have access to both (EGR and FATS) microdata sets and were delivered to Eurostat. The EGR-FATS indicators </w:t>
      </w:r>
      <w:r>
        <w:rPr>
          <w:rFonts w:ascii="Times New Roman" w:hAnsi="Times New Roman" w:cs="Times New Roman"/>
          <w:sz w:val="24"/>
          <w:szCs w:val="24"/>
        </w:rPr>
        <w:t>being</w:t>
      </w:r>
      <w:r w:rsidRPr="000A1510">
        <w:rPr>
          <w:rFonts w:ascii="Times New Roman" w:hAnsi="Times New Roman" w:cs="Times New Roman"/>
          <w:sz w:val="24"/>
          <w:szCs w:val="24"/>
        </w:rPr>
        <w:t xml:space="preserve"> calculated immediately after the completion of the FATS data compilation </w:t>
      </w:r>
      <w:r>
        <w:rPr>
          <w:rFonts w:ascii="Times New Roman" w:hAnsi="Times New Roman" w:cs="Times New Roman"/>
          <w:sz w:val="24"/>
          <w:szCs w:val="24"/>
        </w:rPr>
        <w:t>comparing EGR and FATS populations of the same reference year</w:t>
      </w:r>
      <w:r w:rsidRPr="000A1510">
        <w:rPr>
          <w:rFonts w:ascii="Times New Roman" w:hAnsi="Times New Roman" w:cs="Times New Roman"/>
          <w:sz w:val="24"/>
          <w:szCs w:val="24"/>
        </w:rPr>
        <w:t>.</w:t>
      </w:r>
    </w:p>
    <w:p w14:paraId="6D58DF0C" w14:textId="77777777" w:rsidR="008D1D20" w:rsidRPr="008D1D20" w:rsidRDefault="008D1D20" w:rsidP="008D1D20">
      <w:pPr>
        <w:spacing w:before="120"/>
        <w:jc w:val="center"/>
        <w:rPr>
          <w:rFonts w:ascii="Times New Roman" w:hAnsi="Times New Roman" w:cs="Times New Roman"/>
          <w:sz w:val="24"/>
          <w:szCs w:val="24"/>
        </w:rPr>
      </w:pPr>
      <w:r w:rsidRPr="008D1D20">
        <w:rPr>
          <w:rFonts w:ascii="Times New Roman" w:hAnsi="Times New Roman" w:cs="Times New Roman"/>
          <w:noProof/>
          <w:sz w:val="24"/>
          <w:szCs w:val="24"/>
          <w:lang w:eastAsia="en-GB"/>
        </w:rPr>
        <w:drawing>
          <wp:inline distT="0" distB="0" distL="0" distR="0" wp14:anchorId="3DE4AD36" wp14:editId="08D5BE79">
            <wp:extent cx="3410668" cy="2099144"/>
            <wp:effectExtent l="0" t="0" r="0" b="3492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71B26B" w14:textId="3C73FA60" w:rsidR="008D1D20" w:rsidRPr="008D1D20" w:rsidRDefault="008D1D20" w:rsidP="008D1D20">
      <w:pPr>
        <w:spacing w:before="120"/>
        <w:jc w:val="center"/>
        <w:rPr>
          <w:rFonts w:ascii="Times New Roman" w:hAnsi="Times New Roman" w:cs="Times New Roman"/>
          <w:sz w:val="24"/>
          <w:szCs w:val="24"/>
        </w:rPr>
      </w:pPr>
      <w:r w:rsidRPr="008D1D20">
        <w:rPr>
          <w:rFonts w:ascii="Times New Roman" w:hAnsi="Times New Roman" w:cs="Times New Roman"/>
          <w:sz w:val="24"/>
          <w:szCs w:val="24"/>
        </w:rPr>
        <w:t xml:space="preserve">Figure </w:t>
      </w:r>
      <w:r w:rsidR="00DB2A70">
        <w:rPr>
          <w:rFonts w:ascii="Times New Roman" w:hAnsi="Times New Roman" w:cs="Times New Roman"/>
          <w:sz w:val="24"/>
          <w:szCs w:val="24"/>
        </w:rPr>
        <w:t>2</w:t>
      </w:r>
      <w:r w:rsidRPr="008D1D20">
        <w:rPr>
          <w:rFonts w:ascii="Times New Roman" w:hAnsi="Times New Roman" w:cs="Times New Roman"/>
          <w:sz w:val="24"/>
          <w:szCs w:val="24"/>
        </w:rPr>
        <w:t>: Coverage of MNE groups in the EGR (2014 to 2017)</w:t>
      </w:r>
    </w:p>
    <w:p w14:paraId="1A62DEAD" w14:textId="2E97404B" w:rsidR="00845B24" w:rsidRDefault="008D1D20" w:rsidP="008D1D20">
      <w:pPr>
        <w:spacing w:before="120"/>
        <w:jc w:val="both"/>
        <w:rPr>
          <w:rFonts w:ascii="Times New Roman" w:hAnsi="Times New Roman" w:cs="Times New Roman"/>
          <w:sz w:val="24"/>
          <w:szCs w:val="24"/>
        </w:rPr>
      </w:pPr>
      <w:r w:rsidRPr="008D1D20">
        <w:rPr>
          <w:rFonts w:ascii="Times New Roman" w:hAnsi="Times New Roman" w:cs="Times New Roman"/>
          <w:sz w:val="24"/>
          <w:szCs w:val="24"/>
        </w:rPr>
        <w:t>The EGR is also been reported to be used as a source for the statistics production and quality checks in other statistical domains, such as FDI, GNI, etc. The number of registered users increased in the recent years. All NSIs are users of the EGR output. 18 National Central Banks (NCBs) from Member States have access the EGR data as well and use it as a source for the statistics related purpose.</w:t>
      </w:r>
    </w:p>
    <w:p w14:paraId="7A7EEAA1" w14:textId="75201321" w:rsidR="00DB2A70" w:rsidRPr="00DB2A70" w:rsidRDefault="00DB2A70" w:rsidP="00DB2A70">
      <w:pPr>
        <w:spacing w:before="120"/>
        <w:jc w:val="both"/>
        <w:rPr>
          <w:rFonts w:ascii="Times New Roman" w:hAnsi="Times New Roman" w:cs="Times New Roman"/>
          <w:sz w:val="24"/>
          <w:szCs w:val="24"/>
        </w:rPr>
      </w:pPr>
      <w:r>
        <w:rPr>
          <w:rFonts w:ascii="Times New Roman" w:hAnsi="Times New Roman" w:cs="Times New Roman"/>
          <w:sz w:val="24"/>
          <w:szCs w:val="24"/>
        </w:rPr>
        <w:t>T</w:t>
      </w:r>
      <w:r w:rsidRPr="00DB2A70">
        <w:rPr>
          <w:rFonts w:ascii="Times New Roman" w:hAnsi="Times New Roman" w:cs="Times New Roman"/>
          <w:sz w:val="24"/>
          <w:szCs w:val="24"/>
        </w:rPr>
        <w:t>he FDI statistics compilers repo</w:t>
      </w:r>
      <w:r>
        <w:rPr>
          <w:rFonts w:ascii="Times New Roman" w:hAnsi="Times New Roman" w:cs="Times New Roman"/>
          <w:sz w:val="24"/>
          <w:szCs w:val="24"/>
        </w:rPr>
        <w:t>rted</w:t>
      </w:r>
      <w:r w:rsidRPr="00DB2A70">
        <w:rPr>
          <w:rFonts w:ascii="Times New Roman" w:hAnsi="Times New Roman" w:cs="Times New Roman"/>
          <w:sz w:val="24"/>
          <w:szCs w:val="24"/>
        </w:rPr>
        <w:t xml:space="preserve"> regarding their use of the EGR as follows (survey results of Q4/2018): </w:t>
      </w:r>
    </w:p>
    <w:p w14:paraId="2114703F" w14:textId="77777777" w:rsidR="00DB2A70" w:rsidRDefault="00DB2A70" w:rsidP="0069028B">
      <w:pPr>
        <w:pStyle w:val="ListParagraph"/>
        <w:numPr>
          <w:ilvl w:val="0"/>
          <w:numId w:val="7"/>
        </w:num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The EGR data was judged as being useful and easy to access; </w:t>
      </w:r>
    </w:p>
    <w:p w14:paraId="5F0F6B74" w14:textId="77777777" w:rsidR="00DB2A70" w:rsidRDefault="00DB2A70" w:rsidP="001441E3">
      <w:pPr>
        <w:pStyle w:val="ListParagraph"/>
        <w:numPr>
          <w:ilvl w:val="0"/>
          <w:numId w:val="7"/>
        </w:num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The EGR is useful for identifying missing relationships in the MNE group structures, for identifying extra-EU units and their turnover, NACE and employment;  </w:t>
      </w:r>
    </w:p>
    <w:p w14:paraId="3A1D1CB8" w14:textId="77777777" w:rsidR="00DB2A70" w:rsidRDefault="00DB2A70" w:rsidP="001D7147">
      <w:pPr>
        <w:pStyle w:val="ListParagraph"/>
        <w:numPr>
          <w:ilvl w:val="0"/>
          <w:numId w:val="7"/>
        </w:num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The EGR data is useful for quality control of FDI statistics; </w:t>
      </w:r>
    </w:p>
    <w:p w14:paraId="1162D7CF" w14:textId="77777777" w:rsidR="00DB2A70" w:rsidRDefault="00DB2A70" w:rsidP="002D582A">
      <w:pPr>
        <w:pStyle w:val="ListParagraph"/>
        <w:numPr>
          <w:ilvl w:val="0"/>
          <w:numId w:val="7"/>
        </w:num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The production process of the EGR should be strengthened (better timeliness); </w:t>
      </w:r>
    </w:p>
    <w:p w14:paraId="7B4F1084" w14:textId="0575C067" w:rsidR="00CE640F" w:rsidRPr="00DB2A70" w:rsidRDefault="00DB2A70" w:rsidP="002D582A">
      <w:pPr>
        <w:pStyle w:val="ListParagraph"/>
        <w:numPr>
          <w:ilvl w:val="0"/>
          <w:numId w:val="7"/>
        </w:num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More characteristics/variables should be stored in the EGR (e.g. balance sheet data, minority relationships).   </w:t>
      </w:r>
    </w:p>
    <w:p w14:paraId="48873B92" w14:textId="77777777" w:rsidR="000A1510" w:rsidRDefault="000A1510" w:rsidP="002766C8">
      <w:pPr>
        <w:spacing w:before="120"/>
        <w:jc w:val="both"/>
        <w:rPr>
          <w:rFonts w:ascii="Times New Roman" w:hAnsi="Times New Roman" w:cs="Times New Roman"/>
          <w:b/>
          <w:sz w:val="28"/>
          <w:szCs w:val="24"/>
        </w:rPr>
      </w:pPr>
    </w:p>
    <w:p w14:paraId="6F054B48" w14:textId="77777777" w:rsidR="000A1510" w:rsidRDefault="000A1510" w:rsidP="002766C8">
      <w:pPr>
        <w:spacing w:before="120"/>
        <w:jc w:val="both"/>
        <w:rPr>
          <w:rFonts w:ascii="Times New Roman" w:hAnsi="Times New Roman" w:cs="Times New Roman"/>
          <w:b/>
          <w:sz w:val="28"/>
          <w:szCs w:val="24"/>
        </w:rPr>
      </w:pPr>
    </w:p>
    <w:p w14:paraId="434087A5" w14:textId="4839DDF8" w:rsidR="00845B24" w:rsidRDefault="00845B24" w:rsidP="002766C8">
      <w:pPr>
        <w:spacing w:before="120"/>
        <w:jc w:val="both"/>
        <w:rPr>
          <w:rFonts w:ascii="Times New Roman" w:hAnsi="Times New Roman" w:cs="Times New Roman"/>
          <w:sz w:val="24"/>
          <w:szCs w:val="24"/>
        </w:rPr>
      </w:pPr>
      <w:r w:rsidRPr="008D1D20">
        <w:rPr>
          <w:rFonts w:ascii="Times New Roman" w:hAnsi="Times New Roman" w:cs="Times New Roman"/>
          <w:b/>
          <w:sz w:val="28"/>
          <w:szCs w:val="24"/>
        </w:rPr>
        <w:lastRenderedPageBreak/>
        <w:t>EGR methodological and process improvements</w:t>
      </w:r>
    </w:p>
    <w:p w14:paraId="1E60B854" w14:textId="0810FF6B" w:rsidR="00DB2A70" w:rsidRPr="00DB2A70" w:rsidRDefault="00DB2A70" w:rsidP="00DB2A70">
      <w:pPr>
        <w:spacing w:before="120"/>
        <w:jc w:val="both"/>
        <w:rPr>
          <w:rFonts w:ascii="Times New Roman" w:hAnsi="Times New Roman" w:cs="Times New Roman"/>
          <w:sz w:val="24"/>
          <w:szCs w:val="24"/>
        </w:rPr>
      </w:pPr>
      <w:r w:rsidRPr="00DB2A70">
        <w:rPr>
          <w:rFonts w:ascii="Times New Roman" w:hAnsi="Times New Roman" w:cs="Times New Roman"/>
          <w:sz w:val="24"/>
          <w:szCs w:val="24"/>
        </w:rPr>
        <w:t>The EGR 2.0 system has completed successfully t</w:t>
      </w:r>
      <w:r>
        <w:rPr>
          <w:rFonts w:ascii="Times New Roman" w:hAnsi="Times New Roman" w:cs="Times New Roman"/>
          <w:sz w:val="24"/>
          <w:szCs w:val="24"/>
        </w:rPr>
        <w:t>hree complete cycles of 2015,</w:t>
      </w:r>
      <w:r w:rsidRPr="00DB2A70">
        <w:rPr>
          <w:rFonts w:ascii="Times New Roman" w:hAnsi="Times New Roman" w:cs="Times New Roman"/>
          <w:sz w:val="24"/>
          <w:szCs w:val="24"/>
        </w:rPr>
        <w:t xml:space="preserve"> 2016</w:t>
      </w:r>
      <w:r>
        <w:rPr>
          <w:rFonts w:ascii="Times New Roman" w:hAnsi="Times New Roman" w:cs="Times New Roman"/>
          <w:sz w:val="24"/>
          <w:szCs w:val="24"/>
        </w:rPr>
        <w:t xml:space="preserve"> and 2017</w:t>
      </w:r>
      <w:r w:rsidRPr="00DB2A70">
        <w:rPr>
          <w:rFonts w:ascii="Times New Roman" w:hAnsi="Times New Roman" w:cs="Times New Roman"/>
          <w:sz w:val="24"/>
          <w:szCs w:val="24"/>
        </w:rPr>
        <w:t xml:space="preserve"> reference years and has reached a good level of maturity. The future developments aim at:</w:t>
      </w:r>
    </w:p>
    <w:p w14:paraId="799D0AB8" w14:textId="664FA05C" w:rsidR="00DB2A70" w:rsidRDefault="00DB2A70" w:rsidP="00186605">
      <w:pPr>
        <w:pStyle w:val="ListParagraph"/>
        <w:numPr>
          <w:ilvl w:val="0"/>
          <w:numId w:val="6"/>
        </w:numPr>
        <w:spacing w:before="120"/>
        <w:jc w:val="both"/>
        <w:rPr>
          <w:rFonts w:ascii="Times New Roman" w:hAnsi="Times New Roman" w:cs="Times New Roman"/>
          <w:sz w:val="24"/>
          <w:szCs w:val="24"/>
        </w:rPr>
      </w:pPr>
      <w:r w:rsidRPr="00DB2A70">
        <w:rPr>
          <w:rFonts w:ascii="Times New Roman" w:hAnsi="Times New Roman" w:cs="Times New Roman"/>
          <w:sz w:val="24"/>
          <w:szCs w:val="24"/>
        </w:rPr>
        <w:t>Improvement of the process and output quality;</w:t>
      </w:r>
    </w:p>
    <w:p w14:paraId="17C7E14F" w14:textId="78AC4CA9" w:rsidR="00DB2A70" w:rsidRDefault="00DB2A70" w:rsidP="00186605">
      <w:pPr>
        <w:pStyle w:val="ListParagraph"/>
        <w:numPr>
          <w:ilvl w:val="0"/>
          <w:numId w:val="6"/>
        </w:numPr>
        <w:spacing w:before="120"/>
        <w:jc w:val="both"/>
        <w:rPr>
          <w:rFonts w:ascii="Times New Roman" w:hAnsi="Times New Roman" w:cs="Times New Roman"/>
          <w:sz w:val="24"/>
          <w:szCs w:val="24"/>
        </w:rPr>
      </w:pPr>
      <w:r>
        <w:rPr>
          <w:rFonts w:ascii="Times New Roman" w:hAnsi="Times New Roman" w:cs="Times New Roman"/>
          <w:sz w:val="24"/>
          <w:szCs w:val="24"/>
        </w:rPr>
        <w:t>Methodological improvements and implementation in the EGR system;</w:t>
      </w:r>
    </w:p>
    <w:p w14:paraId="16F1C268" w14:textId="77777777" w:rsidR="00DB2A70" w:rsidRDefault="00DB2A70" w:rsidP="00FF74E5">
      <w:pPr>
        <w:pStyle w:val="ListParagraph"/>
        <w:numPr>
          <w:ilvl w:val="0"/>
          <w:numId w:val="6"/>
        </w:numPr>
        <w:spacing w:before="120"/>
        <w:jc w:val="both"/>
        <w:rPr>
          <w:rFonts w:ascii="Times New Roman" w:hAnsi="Times New Roman" w:cs="Times New Roman"/>
          <w:sz w:val="24"/>
          <w:szCs w:val="24"/>
        </w:rPr>
      </w:pPr>
      <w:r w:rsidRPr="00DB2A70">
        <w:rPr>
          <w:rFonts w:ascii="Times New Roman" w:hAnsi="Times New Roman" w:cs="Times New Roman"/>
          <w:sz w:val="24"/>
          <w:szCs w:val="24"/>
        </w:rPr>
        <w:t>Reduce the efforts required from the users to produce a reference year frame;</w:t>
      </w:r>
    </w:p>
    <w:p w14:paraId="1855020A" w14:textId="53BBCA60" w:rsidR="00DB2A70" w:rsidRPr="00DB2A70" w:rsidRDefault="00DB2A70" w:rsidP="00FF74E5">
      <w:pPr>
        <w:pStyle w:val="ListParagraph"/>
        <w:numPr>
          <w:ilvl w:val="0"/>
          <w:numId w:val="6"/>
        </w:numPr>
        <w:spacing w:before="120"/>
        <w:jc w:val="both"/>
        <w:rPr>
          <w:rFonts w:ascii="Times New Roman" w:hAnsi="Times New Roman" w:cs="Times New Roman"/>
          <w:sz w:val="24"/>
          <w:szCs w:val="24"/>
        </w:rPr>
      </w:pPr>
      <w:r w:rsidRPr="00DB2A70">
        <w:rPr>
          <w:rFonts w:ascii="Times New Roman" w:hAnsi="Times New Roman" w:cs="Times New Roman"/>
          <w:sz w:val="24"/>
          <w:szCs w:val="24"/>
        </w:rPr>
        <w:t>Increase the performance of the IT system.</w:t>
      </w:r>
    </w:p>
    <w:p w14:paraId="230B740E" w14:textId="1226A7C1" w:rsidR="00DB2A70" w:rsidRPr="00DB2A70" w:rsidRDefault="00DB2A70" w:rsidP="00DB2A70">
      <w:pPr>
        <w:spacing w:before="120"/>
        <w:jc w:val="both"/>
        <w:rPr>
          <w:rFonts w:ascii="Times New Roman" w:hAnsi="Times New Roman" w:cs="Times New Roman"/>
          <w:sz w:val="24"/>
          <w:szCs w:val="24"/>
        </w:rPr>
      </w:pPr>
      <w:r>
        <w:rPr>
          <w:rFonts w:ascii="Times New Roman" w:hAnsi="Times New Roman" w:cs="Times New Roman"/>
          <w:sz w:val="24"/>
          <w:szCs w:val="24"/>
        </w:rPr>
        <w:t>Currently the EGR is planning to improve the processing of the SPEs and include new attribute for reporting residence country of the natural country that controls the MNE group.</w:t>
      </w:r>
      <w:r w:rsidRPr="00DB2A70">
        <w:rPr>
          <w:rFonts w:ascii="Times New Roman" w:hAnsi="Times New Roman" w:cs="Times New Roman"/>
          <w:sz w:val="24"/>
          <w:szCs w:val="24"/>
        </w:rPr>
        <w:t xml:space="preserve"> </w:t>
      </w:r>
    </w:p>
    <w:p w14:paraId="09700A1E" w14:textId="05957332" w:rsidR="00DB2A70" w:rsidRPr="00DB2A70" w:rsidRDefault="00DB2A70" w:rsidP="00DB2A70">
      <w:pPr>
        <w:spacing w:before="120"/>
        <w:jc w:val="both"/>
        <w:rPr>
          <w:rFonts w:ascii="Times New Roman" w:hAnsi="Times New Roman" w:cs="Times New Roman"/>
          <w:sz w:val="24"/>
          <w:szCs w:val="24"/>
        </w:rPr>
      </w:pPr>
      <w:r w:rsidRPr="00DB2A70">
        <w:rPr>
          <w:rFonts w:ascii="Times New Roman" w:hAnsi="Times New Roman" w:cs="Times New Roman"/>
          <w:sz w:val="24"/>
          <w:szCs w:val="24"/>
        </w:rPr>
        <w:t xml:space="preserve">Eurostat </w:t>
      </w:r>
      <w:r>
        <w:rPr>
          <w:rFonts w:ascii="Times New Roman" w:hAnsi="Times New Roman" w:cs="Times New Roman"/>
          <w:sz w:val="24"/>
          <w:szCs w:val="24"/>
        </w:rPr>
        <w:t>will</w:t>
      </w:r>
      <w:r w:rsidRPr="00DB2A70">
        <w:rPr>
          <w:rFonts w:ascii="Times New Roman" w:hAnsi="Times New Roman" w:cs="Times New Roman"/>
          <w:sz w:val="24"/>
          <w:szCs w:val="24"/>
        </w:rPr>
        <w:t xml:space="preserve"> update the EGR DSDs by introducing an additional variable on the UCI (legal unit or natural person) residence country code. </w:t>
      </w:r>
    </w:p>
    <w:p w14:paraId="128DCAA8" w14:textId="1375B50F" w:rsidR="00DB2A70" w:rsidRPr="00DB2A70" w:rsidRDefault="00DB2A70" w:rsidP="00DB2A70">
      <w:pPr>
        <w:spacing w:before="120"/>
        <w:jc w:val="both"/>
        <w:rPr>
          <w:rFonts w:ascii="Times New Roman" w:hAnsi="Times New Roman" w:cs="Times New Roman"/>
          <w:sz w:val="24"/>
          <w:szCs w:val="24"/>
        </w:rPr>
      </w:pPr>
      <w:r w:rsidRPr="00DB2A70">
        <w:rPr>
          <w:rFonts w:ascii="Times New Roman" w:hAnsi="Times New Roman" w:cs="Times New Roman"/>
          <w:sz w:val="24"/>
          <w:szCs w:val="24"/>
        </w:rPr>
        <w:t>In general, the UCI country code will be the same as the GGH country code (as well as GDC), because currently all the registered controlling units are legal units and hence the GGH equals the UCI. However, when FRIBS comes into force, a special treatment for an UCI when it is natural person will be needed. Where it is known (and information is available in the NSBR) that the unit on the top of the control chain is a natural person not engaged in economic activity, the residence country of that unit should be reported to the EGR (variables 2.10a  in FRIBS GIA).</w:t>
      </w:r>
    </w:p>
    <w:p w14:paraId="691BB5BE" w14:textId="48D29940" w:rsidR="002833BD" w:rsidRPr="002833BD" w:rsidRDefault="002833BD" w:rsidP="002833BD">
      <w:pPr>
        <w:spacing w:before="120"/>
        <w:jc w:val="both"/>
        <w:rPr>
          <w:rFonts w:ascii="Times New Roman" w:hAnsi="Times New Roman" w:cs="Times New Roman"/>
          <w:sz w:val="24"/>
          <w:szCs w:val="24"/>
        </w:rPr>
      </w:pPr>
      <w:r>
        <w:rPr>
          <w:rFonts w:ascii="Times New Roman" w:hAnsi="Times New Roman" w:cs="Times New Roman"/>
          <w:sz w:val="24"/>
          <w:szCs w:val="24"/>
        </w:rPr>
        <w:t xml:space="preserve">While the flag for SPEs is already available in the EGR just have to be treated by the reporting countries. </w:t>
      </w:r>
      <w:r w:rsidRPr="002833BD">
        <w:rPr>
          <w:rFonts w:ascii="Times New Roman" w:hAnsi="Times New Roman" w:cs="Times New Roman"/>
          <w:sz w:val="24"/>
          <w:szCs w:val="24"/>
        </w:rPr>
        <w:t xml:space="preserve">According to the current Business Registers Recommendation Manual (released in 2010), units without substantial physical presence and without significant economic activities are not able to be engaged in decisions and to control the subsidiaries within the MNE group. In these cases, the controlling (GGH/UCI) and strategic management (GDC) units should be the unit at the next level in the enterprise group tree structure as real controlling and functional strategic decision centre of the MNE group. </w:t>
      </w:r>
    </w:p>
    <w:p w14:paraId="671834E7" w14:textId="77777777" w:rsidR="002833BD" w:rsidRPr="002833BD" w:rsidRDefault="002833BD" w:rsidP="002833BD">
      <w:pPr>
        <w:spacing w:before="120"/>
        <w:jc w:val="both"/>
        <w:rPr>
          <w:rFonts w:ascii="Times New Roman" w:hAnsi="Times New Roman" w:cs="Times New Roman"/>
          <w:sz w:val="24"/>
          <w:szCs w:val="24"/>
        </w:rPr>
      </w:pPr>
      <w:r w:rsidRPr="002833BD">
        <w:rPr>
          <w:rFonts w:ascii="Times New Roman" w:hAnsi="Times New Roman" w:cs="Times New Roman"/>
          <w:sz w:val="24"/>
          <w:szCs w:val="24"/>
        </w:rPr>
        <w:t>This recommendation had to be applied for all kind of "empty shell" units located e.g. in tax havens and in offshore financial centres, for special purpose entities and for non-profit units, which are on the top of an enterprise group structure.</w:t>
      </w:r>
    </w:p>
    <w:p w14:paraId="7F218BDA" w14:textId="2796C627" w:rsidR="00DB2A70" w:rsidRDefault="002833BD" w:rsidP="002833BD">
      <w:pPr>
        <w:spacing w:before="120"/>
        <w:jc w:val="both"/>
        <w:rPr>
          <w:rFonts w:ascii="Times New Roman" w:hAnsi="Times New Roman" w:cs="Times New Roman"/>
          <w:sz w:val="24"/>
          <w:szCs w:val="24"/>
        </w:rPr>
      </w:pPr>
      <w:r w:rsidRPr="002833BD">
        <w:rPr>
          <w:rFonts w:ascii="Times New Roman" w:hAnsi="Times New Roman" w:cs="Times New Roman"/>
          <w:sz w:val="24"/>
          <w:szCs w:val="24"/>
        </w:rPr>
        <w:t xml:space="preserve">In order to increase the usefulness of the EGR for the FDI compilers and other concerned EGR users, Eurostat </w:t>
      </w:r>
      <w:r>
        <w:rPr>
          <w:rFonts w:ascii="Times New Roman" w:hAnsi="Times New Roman" w:cs="Times New Roman"/>
          <w:sz w:val="24"/>
          <w:szCs w:val="24"/>
        </w:rPr>
        <w:t>sees an</w:t>
      </w:r>
      <w:r w:rsidRPr="002833BD">
        <w:rPr>
          <w:rFonts w:ascii="Times New Roman" w:hAnsi="Times New Roman" w:cs="Times New Roman"/>
          <w:sz w:val="24"/>
          <w:szCs w:val="24"/>
        </w:rPr>
        <w:t xml:space="preserve"> importance of availability of information on SPEs</w:t>
      </w:r>
      <w:r>
        <w:rPr>
          <w:rFonts w:ascii="Times New Roman" w:hAnsi="Times New Roman" w:cs="Times New Roman"/>
          <w:sz w:val="24"/>
          <w:szCs w:val="24"/>
        </w:rPr>
        <w:t xml:space="preserve"> in the EGR</w:t>
      </w:r>
      <w:r w:rsidRPr="002833BD">
        <w:rPr>
          <w:rFonts w:ascii="Times New Roman" w:hAnsi="Times New Roman" w:cs="Times New Roman"/>
          <w:sz w:val="24"/>
          <w:szCs w:val="24"/>
        </w:rPr>
        <w:t xml:space="preserve">. NSIs are </w:t>
      </w:r>
      <w:r>
        <w:rPr>
          <w:rFonts w:ascii="Times New Roman" w:hAnsi="Times New Roman" w:cs="Times New Roman"/>
          <w:sz w:val="24"/>
          <w:szCs w:val="24"/>
        </w:rPr>
        <w:t xml:space="preserve">constantly being encouraged </w:t>
      </w:r>
      <w:r w:rsidRPr="002833BD">
        <w:rPr>
          <w:rFonts w:ascii="Times New Roman" w:hAnsi="Times New Roman" w:cs="Times New Roman"/>
          <w:sz w:val="24"/>
          <w:szCs w:val="24"/>
        </w:rPr>
        <w:t>to flag and deliver the identifier of the SPEs – as described in the draft FRIBS basic act (annex IIIa) – already for the current (2018 reference year) as well as for upcoming EGR data exchange cycles.</w:t>
      </w:r>
      <w:r>
        <w:rPr>
          <w:rFonts w:ascii="Times New Roman" w:hAnsi="Times New Roman" w:cs="Times New Roman"/>
          <w:sz w:val="24"/>
          <w:szCs w:val="24"/>
        </w:rPr>
        <w:t xml:space="preserve"> The new IMF defined definition is recommended to be used when identifying the SPE units in the EGR population. </w:t>
      </w:r>
    </w:p>
    <w:p w14:paraId="5E3C7D8A" w14:textId="40824B5A" w:rsidR="000A1510" w:rsidRDefault="000A1510" w:rsidP="002833BD">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Eurostat constantly communicates with the EGR users and producers. The EGR incoming files are being monitored and quality checks performed regularly within the EGR process. Compliance to the EC regulations 177/2008 and 192/2009 is annually monitored and countries not performing well being requested to provide with the reasons and action plans for further improvements in data delivery. More consistency between EGR and FATS population is being requested from the countries as well.</w:t>
      </w:r>
    </w:p>
    <w:p w14:paraId="5A1A4D53" w14:textId="77777777" w:rsidR="000A1510" w:rsidRPr="000A1510" w:rsidRDefault="000A1510" w:rsidP="000A1510">
      <w:pPr>
        <w:spacing w:before="120"/>
        <w:jc w:val="both"/>
        <w:rPr>
          <w:rFonts w:ascii="Times New Roman" w:hAnsi="Times New Roman" w:cs="Times New Roman"/>
          <w:sz w:val="24"/>
          <w:szCs w:val="24"/>
        </w:rPr>
      </w:pPr>
      <w:r w:rsidRPr="000A1510">
        <w:rPr>
          <w:rFonts w:ascii="Times New Roman" w:hAnsi="Times New Roman" w:cs="Times New Roman"/>
          <w:sz w:val="24"/>
          <w:szCs w:val="24"/>
        </w:rPr>
        <w:t>Additional sources of information such as crowdsourcing platforms, web crawling and different open data projects are seen as further opportunities to increase the quality of the EGR, its completeness and accuracy namely with the units outside of the EU and EFTA as well as the aggregate indicators on the whole group level.</w:t>
      </w:r>
    </w:p>
    <w:p w14:paraId="52CE83E4" w14:textId="3E8F70C4" w:rsidR="000A1510" w:rsidRPr="000A1510" w:rsidRDefault="000A1510" w:rsidP="000A1510">
      <w:pPr>
        <w:spacing w:before="120"/>
        <w:jc w:val="both"/>
        <w:rPr>
          <w:rFonts w:ascii="Times New Roman" w:hAnsi="Times New Roman" w:cs="Times New Roman"/>
          <w:sz w:val="24"/>
          <w:szCs w:val="24"/>
        </w:rPr>
      </w:pPr>
      <w:r w:rsidRPr="000A1510">
        <w:rPr>
          <w:rFonts w:ascii="Times New Roman" w:hAnsi="Times New Roman" w:cs="Times New Roman"/>
          <w:sz w:val="24"/>
          <w:szCs w:val="24"/>
        </w:rPr>
        <w:t>Eurostat also follows the works of the Global Legal Entity Identifier Foundation (GLEIF) on the globally unique legal entity identifiers as well as on the GLEIF level-2 data on relationships of legal units.</w:t>
      </w:r>
      <w:r>
        <w:rPr>
          <w:rFonts w:ascii="Times New Roman" w:hAnsi="Times New Roman" w:cs="Times New Roman"/>
          <w:sz w:val="24"/>
          <w:szCs w:val="24"/>
        </w:rPr>
        <w:t xml:space="preserve"> The aim is to use the LEI numbers in the EGR data exchange process and little by little introduce it in the EGR system.</w:t>
      </w:r>
    </w:p>
    <w:p w14:paraId="5D07415A" w14:textId="0E88470F" w:rsidR="000A1510" w:rsidRDefault="000A1510" w:rsidP="000A1510">
      <w:pPr>
        <w:spacing w:before="120"/>
        <w:jc w:val="both"/>
        <w:rPr>
          <w:rFonts w:ascii="Times New Roman" w:hAnsi="Times New Roman" w:cs="Times New Roman"/>
          <w:sz w:val="24"/>
          <w:szCs w:val="24"/>
        </w:rPr>
      </w:pPr>
      <w:r w:rsidRPr="000A1510">
        <w:rPr>
          <w:rFonts w:ascii="Times New Roman" w:hAnsi="Times New Roman" w:cs="Times New Roman"/>
          <w:sz w:val="24"/>
          <w:szCs w:val="24"/>
        </w:rPr>
        <w:t>Eurostat</w:t>
      </w:r>
      <w:bookmarkStart w:id="0" w:name="_GoBack"/>
      <w:bookmarkEnd w:id="0"/>
      <w:r w:rsidRPr="000A1510">
        <w:rPr>
          <w:rFonts w:ascii="Times New Roman" w:hAnsi="Times New Roman" w:cs="Times New Roman"/>
          <w:sz w:val="24"/>
          <w:szCs w:val="24"/>
        </w:rPr>
        <w:t xml:space="preserve"> collaborates with OECD that develops a project on ADIMA database. This cooperation can be mutually beneficial in the future, when ADIMA will reach certain level of maturity.</w:t>
      </w:r>
    </w:p>
    <w:p w14:paraId="0C9CE803" w14:textId="2CBB8B93" w:rsidR="000A1510" w:rsidRPr="000A1510" w:rsidRDefault="000A1510" w:rsidP="000A1510">
      <w:pPr>
        <w:spacing w:before="120"/>
        <w:jc w:val="both"/>
        <w:rPr>
          <w:rFonts w:ascii="Times New Roman" w:hAnsi="Times New Roman" w:cs="Times New Roman"/>
          <w:sz w:val="24"/>
          <w:szCs w:val="24"/>
        </w:rPr>
      </w:pPr>
      <w:r w:rsidRPr="000A1510">
        <w:rPr>
          <w:rFonts w:ascii="Times New Roman" w:hAnsi="Times New Roman" w:cs="Times New Roman"/>
          <w:sz w:val="24"/>
          <w:szCs w:val="24"/>
        </w:rPr>
        <w:t xml:space="preserve">Eurostat also aims at strengthening the user interaction and increase the use of the EGR by the user domains (FATS, FDI, GNI, etc.). </w:t>
      </w:r>
      <w:r>
        <w:rPr>
          <w:rFonts w:ascii="Times New Roman" w:hAnsi="Times New Roman" w:cs="Times New Roman"/>
          <w:sz w:val="24"/>
          <w:szCs w:val="24"/>
        </w:rPr>
        <w:t>Eurostat proposed grants for countries trying to promote more and more communication in the NSIs, as well as between NSIs and NCBs.</w:t>
      </w:r>
    </w:p>
    <w:p w14:paraId="08377E0A" w14:textId="7CCEE0E6" w:rsidR="000A1510" w:rsidRDefault="000A1510" w:rsidP="000A1510">
      <w:pPr>
        <w:spacing w:before="120"/>
        <w:jc w:val="both"/>
        <w:rPr>
          <w:rFonts w:ascii="Times New Roman" w:hAnsi="Times New Roman" w:cs="Times New Roman"/>
          <w:sz w:val="24"/>
          <w:szCs w:val="24"/>
        </w:rPr>
      </w:pPr>
      <w:r w:rsidRPr="000A1510">
        <w:rPr>
          <w:rFonts w:ascii="Times New Roman" w:hAnsi="Times New Roman" w:cs="Times New Roman"/>
          <w:sz w:val="24"/>
          <w:szCs w:val="24"/>
        </w:rPr>
        <w:t xml:space="preserve">Despite growing interest in the structure of </w:t>
      </w:r>
      <w:r>
        <w:rPr>
          <w:rFonts w:ascii="Times New Roman" w:hAnsi="Times New Roman" w:cs="Times New Roman"/>
          <w:sz w:val="24"/>
          <w:szCs w:val="24"/>
        </w:rPr>
        <w:t>MNE</w:t>
      </w:r>
      <w:r w:rsidRPr="000A1510">
        <w:rPr>
          <w:rFonts w:ascii="Times New Roman" w:hAnsi="Times New Roman" w:cs="Times New Roman"/>
          <w:sz w:val="24"/>
          <w:szCs w:val="24"/>
        </w:rPr>
        <w:t xml:space="preserve"> groups, Eurostat does not yet publish any</w:t>
      </w:r>
      <w:r>
        <w:rPr>
          <w:rFonts w:ascii="Times New Roman" w:hAnsi="Times New Roman" w:cs="Times New Roman"/>
          <w:sz w:val="24"/>
          <w:szCs w:val="24"/>
        </w:rPr>
        <w:t xml:space="preserve"> official</w:t>
      </w:r>
      <w:r w:rsidRPr="000A1510">
        <w:rPr>
          <w:rFonts w:ascii="Times New Roman" w:hAnsi="Times New Roman" w:cs="Times New Roman"/>
          <w:sz w:val="24"/>
          <w:szCs w:val="24"/>
        </w:rPr>
        <w:t xml:space="preserve"> European statistics on that topic. To meet this information need, Eurostat now publishes experimental statistics on structure of multinational enterprise groups in Europe  based on the EGR data.</w:t>
      </w:r>
    </w:p>
    <w:p w14:paraId="4097078C" w14:textId="513E2176" w:rsidR="00845B24" w:rsidRPr="008D1D20" w:rsidRDefault="00845B24" w:rsidP="00DB2A70">
      <w:pPr>
        <w:spacing w:before="120"/>
        <w:jc w:val="both"/>
        <w:rPr>
          <w:rFonts w:ascii="Times New Roman" w:hAnsi="Times New Roman" w:cs="Times New Roman"/>
          <w:b/>
          <w:sz w:val="28"/>
          <w:szCs w:val="24"/>
        </w:rPr>
      </w:pPr>
      <w:r w:rsidRPr="008D1D20">
        <w:rPr>
          <w:rFonts w:ascii="Times New Roman" w:hAnsi="Times New Roman" w:cs="Times New Roman"/>
          <w:b/>
          <w:sz w:val="28"/>
          <w:szCs w:val="24"/>
        </w:rPr>
        <w:t>Experimental statistics</w:t>
      </w:r>
    </w:p>
    <w:p w14:paraId="0AE1DFDF" w14:textId="77777777" w:rsidR="002833BD" w:rsidRPr="002833BD" w:rsidRDefault="002833BD" w:rsidP="002833BD">
      <w:pPr>
        <w:spacing w:before="120"/>
        <w:jc w:val="both"/>
        <w:rPr>
          <w:rFonts w:ascii="Times New Roman" w:hAnsi="Times New Roman" w:cs="Times New Roman"/>
          <w:sz w:val="24"/>
          <w:szCs w:val="24"/>
        </w:rPr>
      </w:pPr>
      <w:r w:rsidRPr="002833BD">
        <w:rPr>
          <w:rFonts w:ascii="Times New Roman" w:hAnsi="Times New Roman" w:cs="Times New Roman"/>
          <w:sz w:val="24"/>
          <w:szCs w:val="24"/>
        </w:rPr>
        <w:t xml:space="preserve">In an effort to better respond to users' needs Eurostat publishes experimental statistics on the related Eurostat website based on the EGR data. </w:t>
      </w:r>
    </w:p>
    <w:p w14:paraId="16562F80" w14:textId="77777777" w:rsidR="002833BD" w:rsidRPr="002833BD" w:rsidRDefault="002833BD" w:rsidP="002833BD">
      <w:pPr>
        <w:spacing w:before="120"/>
        <w:jc w:val="both"/>
        <w:rPr>
          <w:rFonts w:ascii="Times New Roman" w:hAnsi="Times New Roman" w:cs="Times New Roman"/>
          <w:sz w:val="24"/>
          <w:szCs w:val="24"/>
        </w:rPr>
      </w:pPr>
      <w:r w:rsidRPr="002833BD">
        <w:rPr>
          <w:rFonts w:ascii="Times New Roman" w:hAnsi="Times New Roman" w:cs="Times New Roman"/>
          <w:sz w:val="24"/>
          <w:szCs w:val="24"/>
        </w:rPr>
        <w:t>The EGR experimental statistics article focuses on the population of the active multinational enterprise groups in the EU and EFTA countries.</w:t>
      </w:r>
    </w:p>
    <w:p w14:paraId="46198B81" w14:textId="77777777" w:rsidR="002833BD" w:rsidRDefault="002833BD" w:rsidP="002833BD">
      <w:pPr>
        <w:spacing w:before="120"/>
        <w:jc w:val="both"/>
        <w:rPr>
          <w:rFonts w:ascii="Times New Roman" w:hAnsi="Times New Roman" w:cs="Times New Roman"/>
          <w:sz w:val="24"/>
          <w:szCs w:val="24"/>
        </w:rPr>
      </w:pPr>
      <w:r w:rsidRPr="002833BD">
        <w:rPr>
          <w:rFonts w:ascii="Times New Roman" w:hAnsi="Times New Roman" w:cs="Times New Roman"/>
          <w:sz w:val="24"/>
          <w:szCs w:val="24"/>
        </w:rPr>
        <w:t xml:space="preserve">The EGR defines an multinational enterprise group a group that has </w:t>
      </w:r>
      <w:r>
        <w:rPr>
          <w:rFonts w:ascii="Times New Roman" w:hAnsi="Times New Roman" w:cs="Times New Roman"/>
          <w:sz w:val="24"/>
          <w:szCs w:val="24"/>
        </w:rPr>
        <w:t>legal units or enterprises</w:t>
      </w:r>
      <w:r w:rsidRPr="002833BD">
        <w:rPr>
          <w:rFonts w:ascii="Times New Roman" w:hAnsi="Times New Roman" w:cs="Times New Roman"/>
          <w:sz w:val="24"/>
          <w:szCs w:val="24"/>
        </w:rPr>
        <w:t xml:space="preserve"> in two or more countries, at least one of them in the EU or EFTA. According to the EGR, 162 466 MNE groups were registered in the EU in 2017, 116 497 of which are from the EU (i.e. their global decision centres were located in the EU Member States). </w:t>
      </w:r>
    </w:p>
    <w:p w14:paraId="2AFC7FE8" w14:textId="59E782A9" w:rsidR="002833BD" w:rsidRDefault="002833BD" w:rsidP="002833BD">
      <w:pPr>
        <w:spacing w:before="120"/>
        <w:jc w:val="both"/>
        <w:rPr>
          <w:rFonts w:ascii="Times New Roman" w:hAnsi="Times New Roman" w:cs="Times New Roman"/>
          <w:b/>
          <w:sz w:val="24"/>
          <w:szCs w:val="24"/>
        </w:rPr>
      </w:pPr>
      <w:r w:rsidRPr="002833BD">
        <w:rPr>
          <w:rFonts w:ascii="Times New Roman" w:hAnsi="Times New Roman" w:cs="Times New Roman"/>
          <w:sz w:val="24"/>
          <w:szCs w:val="24"/>
        </w:rPr>
        <w:t xml:space="preserve">The remaining EGR MNE groups are from non EU countries, mostly from Switzerland (10 122), the United States (7 614), Turkey (2 933), Canada (2 900) and Norway (2 063). The </w:t>
      </w:r>
      <w:r w:rsidRPr="002833BD">
        <w:rPr>
          <w:rFonts w:ascii="Times New Roman" w:hAnsi="Times New Roman" w:cs="Times New Roman"/>
          <w:sz w:val="24"/>
          <w:szCs w:val="24"/>
        </w:rPr>
        <w:lastRenderedPageBreak/>
        <w:t>EGR is a very rich data source, Eurostat and the NSIs are continuously working to improve its quality. Having sufficient quality level in the future, the EGR can be the source of very relevant and valuable European official statistics.</w:t>
      </w:r>
      <w:r w:rsidRPr="002833BD">
        <w:rPr>
          <w:rFonts w:ascii="Times New Roman" w:hAnsi="Times New Roman" w:cs="Times New Roman"/>
          <w:b/>
          <w:sz w:val="24"/>
          <w:szCs w:val="24"/>
        </w:rPr>
        <w:t xml:space="preserve"> </w:t>
      </w:r>
    </w:p>
    <w:p w14:paraId="218C7C97" w14:textId="1334FBF6" w:rsidR="002833BD" w:rsidRDefault="002833BD" w:rsidP="000A1510">
      <w:pPr>
        <w:spacing w:before="120"/>
        <w:jc w:val="cente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75CAD491" wp14:editId="393394C4">
            <wp:extent cx="5363981" cy="7288558"/>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national enterprises_2017data-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66887" cy="7292507"/>
                    </a:xfrm>
                    <a:prstGeom prst="rect">
                      <a:avLst/>
                    </a:prstGeom>
                  </pic:spPr>
                </pic:pic>
              </a:graphicData>
            </a:graphic>
          </wp:inline>
        </w:drawing>
      </w:r>
    </w:p>
    <w:p w14:paraId="2D531FA0" w14:textId="1CBA0A47" w:rsidR="002833BD" w:rsidRPr="008D1D20" w:rsidRDefault="002833BD" w:rsidP="002833BD">
      <w:pPr>
        <w:spacing w:before="120"/>
        <w:jc w:val="center"/>
        <w:rPr>
          <w:rFonts w:ascii="Times New Roman" w:hAnsi="Times New Roman" w:cs="Times New Roman"/>
          <w:sz w:val="24"/>
          <w:szCs w:val="24"/>
        </w:rPr>
      </w:pPr>
      <w:r w:rsidRPr="008D1D20">
        <w:rPr>
          <w:rFonts w:ascii="Times New Roman" w:hAnsi="Times New Roman" w:cs="Times New Roman"/>
          <w:sz w:val="24"/>
          <w:szCs w:val="24"/>
        </w:rPr>
        <w:t xml:space="preserve">Figure </w:t>
      </w:r>
      <w:r>
        <w:rPr>
          <w:rFonts w:ascii="Times New Roman" w:hAnsi="Times New Roman" w:cs="Times New Roman"/>
          <w:sz w:val="24"/>
          <w:szCs w:val="24"/>
        </w:rPr>
        <w:t>3</w:t>
      </w:r>
      <w:r w:rsidRPr="008D1D20">
        <w:rPr>
          <w:rFonts w:ascii="Times New Roman" w:hAnsi="Times New Roman" w:cs="Times New Roman"/>
          <w:sz w:val="24"/>
          <w:szCs w:val="24"/>
        </w:rPr>
        <w:t xml:space="preserve">: </w:t>
      </w:r>
      <w:r>
        <w:rPr>
          <w:rFonts w:ascii="Times New Roman" w:hAnsi="Times New Roman" w:cs="Times New Roman"/>
          <w:sz w:val="24"/>
          <w:szCs w:val="24"/>
        </w:rPr>
        <w:t>T</w:t>
      </w:r>
      <w:r w:rsidRPr="008D1D20">
        <w:rPr>
          <w:rFonts w:ascii="Times New Roman" w:hAnsi="Times New Roman" w:cs="Times New Roman"/>
          <w:sz w:val="24"/>
          <w:szCs w:val="24"/>
        </w:rPr>
        <w:t xml:space="preserve">he EGR </w:t>
      </w:r>
      <w:r>
        <w:rPr>
          <w:rFonts w:ascii="Times New Roman" w:hAnsi="Times New Roman" w:cs="Times New Roman"/>
          <w:sz w:val="24"/>
          <w:szCs w:val="24"/>
        </w:rPr>
        <w:t>experimental statistics infographics</w:t>
      </w:r>
    </w:p>
    <w:p w14:paraId="72B2CF80" w14:textId="77777777" w:rsidR="002833BD" w:rsidRDefault="002833BD" w:rsidP="002833BD">
      <w:pPr>
        <w:spacing w:before="120"/>
        <w:jc w:val="both"/>
        <w:rPr>
          <w:rFonts w:ascii="Times New Roman" w:hAnsi="Times New Roman" w:cs="Times New Roman"/>
          <w:b/>
          <w:sz w:val="24"/>
          <w:szCs w:val="24"/>
        </w:rPr>
      </w:pPr>
    </w:p>
    <w:p w14:paraId="179B1F03" w14:textId="5A05C8FD" w:rsidR="008D1D20" w:rsidRPr="008D1D20" w:rsidRDefault="008D1D20" w:rsidP="002833BD">
      <w:pPr>
        <w:spacing w:before="120"/>
        <w:jc w:val="both"/>
        <w:rPr>
          <w:rFonts w:ascii="Times New Roman" w:hAnsi="Times New Roman" w:cs="Times New Roman"/>
          <w:b/>
          <w:sz w:val="28"/>
          <w:szCs w:val="24"/>
        </w:rPr>
      </w:pPr>
      <w:r>
        <w:rPr>
          <w:rFonts w:ascii="Times New Roman" w:hAnsi="Times New Roman" w:cs="Times New Roman"/>
          <w:b/>
          <w:sz w:val="28"/>
          <w:szCs w:val="24"/>
        </w:rPr>
        <w:t>Way forward</w:t>
      </w:r>
    </w:p>
    <w:p w14:paraId="08109B3A" w14:textId="77777777" w:rsidR="002833BD" w:rsidRPr="002833BD" w:rsidRDefault="002833BD" w:rsidP="002833BD">
      <w:pPr>
        <w:spacing w:before="120"/>
        <w:jc w:val="both"/>
        <w:rPr>
          <w:rFonts w:ascii="Times New Roman" w:hAnsi="Times New Roman" w:cs="Times New Roman"/>
          <w:sz w:val="24"/>
          <w:szCs w:val="24"/>
        </w:rPr>
      </w:pPr>
      <w:r w:rsidRPr="002833BD">
        <w:rPr>
          <w:rFonts w:ascii="Times New Roman" w:hAnsi="Times New Roman" w:cs="Times New Roman"/>
          <w:sz w:val="24"/>
          <w:szCs w:val="24"/>
        </w:rPr>
        <w:t xml:space="preserve">Eurostat and the NSIs are continuously working to improve the quality of EGR. Further improvements are planned on the EGR processes, on its coverage, accuracy and timeliness. Additional data sources will be analysed and used in the future. </w:t>
      </w:r>
    </w:p>
    <w:p w14:paraId="3855ADB8" w14:textId="6F5E453E" w:rsidR="00845B24" w:rsidRPr="002766C8" w:rsidRDefault="002833BD" w:rsidP="002766C8">
      <w:pPr>
        <w:spacing w:before="120"/>
        <w:jc w:val="both"/>
        <w:rPr>
          <w:rFonts w:ascii="Times New Roman" w:hAnsi="Times New Roman" w:cs="Times New Roman"/>
          <w:sz w:val="24"/>
          <w:szCs w:val="24"/>
        </w:rPr>
      </w:pPr>
      <w:r w:rsidRPr="002833BD">
        <w:rPr>
          <w:rFonts w:ascii="Times New Roman" w:hAnsi="Times New Roman" w:cs="Times New Roman"/>
          <w:sz w:val="24"/>
          <w:szCs w:val="24"/>
        </w:rPr>
        <w:t>The main goal of Eurostat is to enhance the use of EGR in official statistics. Statistical compilers of the EU and EFTA countries can use EGR as coordinated frame population of multinational enterprise groups and their units to derive consistent statistical output when measuring activities related to globalisation.</w:t>
      </w:r>
    </w:p>
    <w:sectPr w:rsidR="00845B24" w:rsidRPr="002766C8" w:rsidSect="00D608CB">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5DD9" w14:textId="77777777" w:rsidR="00D35096" w:rsidRDefault="00D35096" w:rsidP="00D35096">
      <w:pPr>
        <w:spacing w:after="0" w:line="240" w:lineRule="auto"/>
      </w:pPr>
      <w:r>
        <w:separator/>
      </w:r>
    </w:p>
  </w:endnote>
  <w:endnote w:type="continuationSeparator" w:id="0">
    <w:p w14:paraId="2BD45B79" w14:textId="77777777" w:rsidR="00D35096" w:rsidRDefault="00D35096" w:rsidP="00D3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BF4E" w14:textId="77777777" w:rsidR="000A1510" w:rsidRDefault="000A1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85708"/>
      <w:docPartObj>
        <w:docPartGallery w:val="Page Numbers (Bottom of Page)"/>
        <w:docPartUnique/>
      </w:docPartObj>
    </w:sdtPr>
    <w:sdtEndPr>
      <w:rPr>
        <w:noProof/>
      </w:rPr>
    </w:sdtEndPr>
    <w:sdtContent>
      <w:p w14:paraId="32D958CB" w14:textId="7E885B44" w:rsidR="000A1510" w:rsidRDefault="000A1510">
        <w:pPr>
          <w:pStyle w:val="Footer"/>
          <w:jc w:val="center"/>
        </w:pPr>
        <w:r>
          <w:fldChar w:fldCharType="begin"/>
        </w:r>
        <w:r>
          <w:instrText xml:space="preserve"> PAGE   \* MERGEFORMAT </w:instrText>
        </w:r>
        <w:r>
          <w:fldChar w:fldCharType="separate"/>
        </w:r>
        <w:r w:rsidR="00E0505A">
          <w:rPr>
            <w:noProof/>
          </w:rPr>
          <w:t>7</w:t>
        </w:r>
        <w:r>
          <w:rPr>
            <w:noProof/>
          </w:rPr>
          <w:fldChar w:fldCharType="end"/>
        </w:r>
      </w:p>
    </w:sdtContent>
  </w:sdt>
  <w:p w14:paraId="0887A1C8" w14:textId="77777777" w:rsidR="000A1510" w:rsidRDefault="000A1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366D" w14:textId="77777777" w:rsidR="000A1510" w:rsidRDefault="000A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5B21" w14:textId="77777777" w:rsidR="00D35096" w:rsidRDefault="00D35096" w:rsidP="00D35096">
      <w:pPr>
        <w:spacing w:after="0" w:line="240" w:lineRule="auto"/>
      </w:pPr>
      <w:r>
        <w:separator/>
      </w:r>
    </w:p>
  </w:footnote>
  <w:footnote w:type="continuationSeparator" w:id="0">
    <w:p w14:paraId="46B66A09" w14:textId="77777777" w:rsidR="00D35096" w:rsidRDefault="00D35096" w:rsidP="00D3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BB86" w14:textId="77777777" w:rsidR="000A1510" w:rsidRDefault="000A1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8F8A" w14:textId="17593C0B" w:rsidR="00D35096" w:rsidRPr="00B448BA" w:rsidRDefault="00D35096" w:rsidP="00D35096">
    <w:pPr>
      <w:jc w:val="center"/>
      <w:rPr>
        <w:rFonts w:ascii="Times New Roman" w:hAnsi="Times New Roman"/>
      </w:rPr>
    </w:pPr>
    <w:r w:rsidRPr="00B448BA">
      <w:rPr>
        <w:rFonts w:ascii="Times New Roman" w:hAnsi="Times New Roman"/>
        <w:noProof/>
        <w:lang w:eastAsia="en-GB"/>
      </w:rPr>
      <w:drawing>
        <wp:inline distT="0" distB="0" distL="0" distR="0" wp14:anchorId="074C9C1E" wp14:editId="568DC206">
          <wp:extent cx="688975" cy="634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34365"/>
                  </a:xfrm>
                  <a:prstGeom prst="rect">
                    <a:avLst/>
                  </a:prstGeom>
                  <a:noFill/>
                  <a:ln>
                    <a:noFill/>
                  </a:ln>
                </pic:spPr>
              </pic:pic>
            </a:graphicData>
          </a:graphic>
        </wp:inline>
      </w:drawing>
    </w:r>
    <w:r>
      <w:rPr>
        <w:rFonts w:ascii="Times New Roman" w:hAnsi="Times New Roman"/>
      </w:rPr>
      <w:t xml:space="preserve">                                       </w:t>
    </w:r>
    <w:r w:rsidRPr="00B448BA">
      <w:rPr>
        <w:rFonts w:ascii="Times New Roman" w:hAnsi="Times New Roman"/>
        <w:noProof/>
        <w:lang w:eastAsia="en-GB"/>
      </w:rPr>
      <w:drawing>
        <wp:inline distT="0" distB="0" distL="0" distR="0" wp14:anchorId="210DE5B8" wp14:editId="5BA8B864">
          <wp:extent cx="955040" cy="6413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r>
      <w:rPr>
        <w:rFonts w:ascii="Times New Roman" w:hAnsi="Times New Roman"/>
      </w:rPr>
      <w:t xml:space="preserve">                                              </w:t>
    </w:r>
    <w:r w:rsidRPr="00B448BA">
      <w:rPr>
        <w:rFonts w:ascii="Times New Roman" w:hAnsi="Times New Roman"/>
        <w:noProof/>
        <w:lang w:eastAsia="en-GB"/>
      </w:rPr>
      <w:drawing>
        <wp:inline distT="0" distB="0" distL="0" distR="0" wp14:anchorId="2D328DE0" wp14:editId="50AD4EC2">
          <wp:extent cx="628015" cy="600710"/>
          <wp:effectExtent l="0" t="0" r="63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55192D13" w14:textId="77777777" w:rsidR="00D35096" w:rsidRPr="00D35096" w:rsidRDefault="00D35096" w:rsidP="00D3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90D6" w14:textId="77777777" w:rsidR="000A1510" w:rsidRDefault="000A1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022"/>
    <w:multiLevelType w:val="hybridMultilevel"/>
    <w:tmpl w:val="3546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345A"/>
    <w:multiLevelType w:val="hybridMultilevel"/>
    <w:tmpl w:val="57D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60B5C"/>
    <w:multiLevelType w:val="hybridMultilevel"/>
    <w:tmpl w:val="D70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14C4A"/>
    <w:multiLevelType w:val="hybridMultilevel"/>
    <w:tmpl w:val="F14A310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0DD0D18"/>
    <w:multiLevelType w:val="hybridMultilevel"/>
    <w:tmpl w:val="F014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A58D7"/>
    <w:multiLevelType w:val="hybridMultilevel"/>
    <w:tmpl w:val="DEDC1B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77C47C3C"/>
    <w:multiLevelType w:val="hybridMultilevel"/>
    <w:tmpl w:val="A7D2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1"/>
    <w:rsid w:val="000A1510"/>
    <w:rsid w:val="0018085B"/>
    <w:rsid w:val="001D3833"/>
    <w:rsid w:val="001D4BF0"/>
    <w:rsid w:val="002548D4"/>
    <w:rsid w:val="002766C8"/>
    <w:rsid w:val="002833BD"/>
    <w:rsid w:val="002A74D9"/>
    <w:rsid w:val="003235B7"/>
    <w:rsid w:val="00340999"/>
    <w:rsid w:val="00357FE1"/>
    <w:rsid w:val="00551874"/>
    <w:rsid w:val="008016A7"/>
    <w:rsid w:val="00845B24"/>
    <w:rsid w:val="008D1D20"/>
    <w:rsid w:val="008F5260"/>
    <w:rsid w:val="008F7081"/>
    <w:rsid w:val="00A44EBE"/>
    <w:rsid w:val="00B66BBC"/>
    <w:rsid w:val="00CE640F"/>
    <w:rsid w:val="00D35096"/>
    <w:rsid w:val="00D608CB"/>
    <w:rsid w:val="00DB2A70"/>
    <w:rsid w:val="00DD19F6"/>
    <w:rsid w:val="00E0505A"/>
    <w:rsid w:val="00F10DCB"/>
    <w:rsid w:val="00FE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E972"/>
  <w15:chartTrackingRefBased/>
  <w15:docId w15:val="{07675FE0-FEFB-41CF-B7C5-F678F006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33"/>
    <w:pPr>
      <w:ind w:left="720"/>
      <w:contextualSpacing/>
    </w:pPr>
  </w:style>
  <w:style w:type="paragraph" w:styleId="BalloonText">
    <w:name w:val="Balloon Text"/>
    <w:basedOn w:val="Normal"/>
    <w:link w:val="BalloonTextChar"/>
    <w:uiPriority w:val="99"/>
    <w:semiHidden/>
    <w:unhideWhenUsed/>
    <w:rsid w:val="00F10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CB"/>
    <w:rPr>
      <w:rFonts w:ascii="Segoe UI" w:hAnsi="Segoe UI" w:cs="Segoe UI"/>
      <w:sz w:val="18"/>
      <w:szCs w:val="18"/>
    </w:rPr>
  </w:style>
  <w:style w:type="character" w:styleId="CommentReference">
    <w:name w:val="annotation reference"/>
    <w:basedOn w:val="DefaultParagraphFont"/>
    <w:uiPriority w:val="99"/>
    <w:semiHidden/>
    <w:unhideWhenUsed/>
    <w:rsid w:val="00F10DCB"/>
    <w:rPr>
      <w:sz w:val="16"/>
      <w:szCs w:val="16"/>
    </w:rPr>
  </w:style>
  <w:style w:type="paragraph" w:styleId="CommentText">
    <w:name w:val="annotation text"/>
    <w:basedOn w:val="Normal"/>
    <w:link w:val="CommentTextChar"/>
    <w:uiPriority w:val="99"/>
    <w:semiHidden/>
    <w:unhideWhenUsed/>
    <w:rsid w:val="00F10DCB"/>
    <w:pPr>
      <w:spacing w:line="240" w:lineRule="auto"/>
    </w:pPr>
    <w:rPr>
      <w:sz w:val="20"/>
      <w:szCs w:val="20"/>
    </w:rPr>
  </w:style>
  <w:style w:type="character" w:customStyle="1" w:styleId="CommentTextChar">
    <w:name w:val="Comment Text Char"/>
    <w:basedOn w:val="DefaultParagraphFont"/>
    <w:link w:val="CommentText"/>
    <w:uiPriority w:val="99"/>
    <w:semiHidden/>
    <w:rsid w:val="00F10DCB"/>
    <w:rPr>
      <w:sz w:val="20"/>
      <w:szCs w:val="20"/>
    </w:rPr>
  </w:style>
  <w:style w:type="paragraph" w:styleId="CommentSubject">
    <w:name w:val="annotation subject"/>
    <w:basedOn w:val="CommentText"/>
    <w:next w:val="CommentText"/>
    <w:link w:val="CommentSubjectChar"/>
    <w:uiPriority w:val="99"/>
    <w:semiHidden/>
    <w:unhideWhenUsed/>
    <w:rsid w:val="00F10DCB"/>
    <w:rPr>
      <w:b/>
      <w:bCs/>
    </w:rPr>
  </w:style>
  <w:style w:type="character" w:customStyle="1" w:styleId="CommentSubjectChar">
    <w:name w:val="Comment Subject Char"/>
    <w:basedOn w:val="CommentTextChar"/>
    <w:link w:val="CommentSubject"/>
    <w:uiPriority w:val="99"/>
    <w:semiHidden/>
    <w:rsid w:val="00F10DCB"/>
    <w:rPr>
      <w:b/>
      <w:bCs/>
      <w:sz w:val="20"/>
      <w:szCs w:val="20"/>
    </w:rPr>
  </w:style>
  <w:style w:type="paragraph" w:styleId="Revision">
    <w:name w:val="Revision"/>
    <w:hidden/>
    <w:uiPriority w:val="99"/>
    <w:semiHidden/>
    <w:rsid w:val="002A74D9"/>
    <w:pPr>
      <w:spacing w:after="0" w:line="240" w:lineRule="auto"/>
    </w:pPr>
  </w:style>
  <w:style w:type="paragraph" w:styleId="Header">
    <w:name w:val="header"/>
    <w:basedOn w:val="Normal"/>
    <w:link w:val="HeaderChar"/>
    <w:uiPriority w:val="99"/>
    <w:unhideWhenUsed/>
    <w:rsid w:val="00D3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096"/>
  </w:style>
  <w:style w:type="paragraph" w:styleId="Footer">
    <w:name w:val="footer"/>
    <w:basedOn w:val="Normal"/>
    <w:link w:val="FooterChar"/>
    <w:uiPriority w:val="99"/>
    <w:unhideWhenUsed/>
    <w:rsid w:val="00D3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NET1.cec.eu.int\HOMES\048\bikauag\Desktop\Book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2000"/>
              <a:t>Registered EGR </a:t>
            </a:r>
            <a:r>
              <a:rPr lang="en-GB" sz="2000" baseline="0"/>
              <a:t>users and producers</a:t>
            </a:r>
            <a:endParaRPr lang="en-GB" sz="20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Sheet1!$C$34</c:f>
              <c:strCache>
                <c:ptCount val="1"/>
                <c:pt idx="0">
                  <c:v>Producers</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0B24-409F-ACB2-62CB60F7ADD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Sheet1!$B$35:$B$37</c:f>
              <c:strCache>
                <c:ptCount val="3"/>
                <c:pt idx="0">
                  <c:v>NSI</c:v>
                </c:pt>
                <c:pt idx="1">
                  <c:v>NCB</c:v>
                </c:pt>
                <c:pt idx="2">
                  <c:v>Eurostat</c:v>
                </c:pt>
              </c:strCache>
            </c:strRef>
          </c:cat>
          <c:val>
            <c:numRef>
              <c:f>Sheet1!$C$35:$C$37</c:f>
              <c:numCache>
                <c:formatCode>General</c:formatCode>
                <c:ptCount val="3"/>
                <c:pt idx="0">
                  <c:v>152</c:v>
                </c:pt>
                <c:pt idx="2">
                  <c:v>15</c:v>
                </c:pt>
              </c:numCache>
            </c:numRef>
          </c:val>
          <c:extLst>
            <c:ext xmlns:c16="http://schemas.microsoft.com/office/drawing/2014/chart" uri="{C3380CC4-5D6E-409C-BE32-E72D297353CC}">
              <c16:uniqueId val="{00000002-0B24-409F-ACB2-62CB60F7ADDC}"/>
            </c:ext>
          </c:extLst>
        </c:ser>
        <c:ser>
          <c:idx val="1"/>
          <c:order val="1"/>
          <c:tx>
            <c:strRef>
              <c:f>Sheet1!$D$34</c:f>
              <c:strCache>
                <c:ptCount val="1"/>
                <c:pt idx="0">
                  <c:v>Users</c:v>
                </c:pt>
              </c:strCache>
            </c:strRef>
          </c:tx>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4-0B24-409F-ACB2-62CB60F7ADD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Sheet1!$B$35:$B$37</c:f>
              <c:strCache>
                <c:ptCount val="3"/>
                <c:pt idx="0">
                  <c:v>NSI</c:v>
                </c:pt>
                <c:pt idx="1">
                  <c:v>NCB</c:v>
                </c:pt>
                <c:pt idx="2">
                  <c:v>Eurostat</c:v>
                </c:pt>
              </c:strCache>
            </c:strRef>
          </c:cat>
          <c:val>
            <c:numRef>
              <c:f>Sheet1!$D$35:$D$37</c:f>
              <c:numCache>
                <c:formatCode>General</c:formatCode>
                <c:ptCount val="3"/>
                <c:pt idx="0">
                  <c:v>89</c:v>
                </c:pt>
                <c:pt idx="1">
                  <c:v>73</c:v>
                </c:pt>
                <c:pt idx="2">
                  <c:v>13</c:v>
                </c:pt>
              </c:numCache>
            </c:numRef>
          </c:val>
          <c:extLst>
            <c:ext xmlns:c16="http://schemas.microsoft.com/office/drawing/2014/chart" uri="{C3380CC4-5D6E-409C-BE32-E72D297353CC}">
              <c16:uniqueId val="{00000005-0B24-409F-ACB2-62CB60F7ADDC}"/>
            </c:ext>
          </c:extLst>
        </c:ser>
        <c:ser>
          <c:idx val="2"/>
          <c:order val="2"/>
          <c:tx>
            <c:strRef>
              <c:f>Sheet1!$E$34</c:f>
              <c:strCache>
                <c:ptCount val="1"/>
                <c:pt idx="0">
                  <c:v>Users and/or producers</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7-0B24-409F-ACB2-62CB60F7ADDC}"/>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7-0B24-409F-ACB2-62CB60F7AD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Sheet1!$B$35:$B$37</c:f>
              <c:strCache>
                <c:ptCount val="3"/>
                <c:pt idx="0">
                  <c:v>NSI</c:v>
                </c:pt>
                <c:pt idx="1">
                  <c:v>NCB</c:v>
                </c:pt>
                <c:pt idx="2">
                  <c:v>Eurostat</c:v>
                </c:pt>
              </c:strCache>
            </c:strRef>
          </c:cat>
          <c:val>
            <c:numRef>
              <c:f>Sheet1!$E$35:$E$37</c:f>
              <c:numCache>
                <c:formatCode>General</c:formatCode>
                <c:ptCount val="3"/>
                <c:pt idx="0">
                  <c:v>63</c:v>
                </c:pt>
              </c:numCache>
            </c:numRef>
          </c:val>
          <c:extLst>
            <c:ext xmlns:c16="http://schemas.microsoft.com/office/drawing/2014/chart" uri="{C3380CC4-5D6E-409C-BE32-E72D297353CC}">
              <c16:uniqueId val="{00000008-0B24-409F-ACB2-62CB60F7ADDC}"/>
            </c:ext>
          </c:extLst>
        </c:ser>
        <c:dLbls>
          <c:showLegendKey val="0"/>
          <c:showVal val="0"/>
          <c:showCatName val="0"/>
          <c:showSerName val="0"/>
          <c:showPercent val="0"/>
          <c:showBubbleSize val="0"/>
        </c:dLbls>
        <c:gapWidth val="150"/>
        <c:overlap val="100"/>
        <c:axId val="409600280"/>
        <c:axId val="409597328"/>
      </c:barChart>
      <c:catAx>
        <c:axId val="40960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597328"/>
        <c:crosses val="autoZero"/>
        <c:auto val="1"/>
        <c:lblAlgn val="ctr"/>
        <c:lblOffset val="100"/>
        <c:noMultiLvlLbl val="0"/>
      </c:catAx>
      <c:valAx>
        <c:axId val="40959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960028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4.0640926828590877E-2"/>
          <c:y val="0.94160734163548709"/>
          <c:w val="0.91886205196572646"/>
          <c:h val="5.83926583645129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EF5F57-6024-4BA6-814D-6A2639AFF6EC}" type="doc">
      <dgm:prSet loTypeId="urn:microsoft.com/office/officeart/2005/8/layout/arrow2" loCatId="process" qsTypeId="urn:microsoft.com/office/officeart/2005/8/quickstyle/simple1" qsCatId="simple" csTypeId="urn:microsoft.com/office/officeart/2005/8/colors/accent1_2" csCatId="accent1" phldr="1"/>
      <dgm:spPr/>
    </dgm:pt>
    <dgm:pt modelId="{E0B5AA2B-D9E9-4485-89CF-C0C50B464A54}">
      <dgm:prSet phldrT="[Text]"/>
      <dgm:spPr>
        <a:xfrm>
          <a:off x="395468" y="1599547"/>
          <a:ext cx="574325" cy="499596"/>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a:ea typeface="+mn-ea"/>
              <a:cs typeface="+mn-cs"/>
            </a:rPr>
            <a:t>2014    </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61 146 groups</a:t>
          </a:r>
        </a:p>
      </dgm:t>
    </dgm:pt>
    <dgm:pt modelId="{6B280E40-CB42-494A-B40E-18BE507BB446}" type="parTrans" cxnId="{03C2C5BD-B257-4731-A146-C41C52669263}">
      <dgm:prSet/>
      <dgm:spPr/>
      <dgm:t>
        <a:bodyPr/>
        <a:lstStyle/>
        <a:p>
          <a:pPr algn="l"/>
          <a:endParaRPr lang="en-US"/>
        </a:p>
      </dgm:t>
    </dgm:pt>
    <dgm:pt modelId="{A8F98C18-421B-432C-B573-AE45FE76E07A}" type="sibTrans" cxnId="{03C2C5BD-B257-4731-A146-C41C52669263}">
      <dgm:prSet/>
      <dgm:spPr/>
      <dgm:t>
        <a:bodyPr/>
        <a:lstStyle/>
        <a:p>
          <a:pPr algn="l"/>
          <a:endParaRPr lang="en-US"/>
        </a:p>
      </dgm:t>
    </dgm:pt>
    <dgm:pt modelId="{448F9A10-ED0E-4E0E-B41F-71EBE004FEEE}">
      <dgm:prSet phldrT="[Text]"/>
      <dgm:spPr>
        <a:xfrm>
          <a:off x="969793" y="1139835"/>
          <a:ext cx="705312" cy="959308"/>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a:ea typeface="+mn-ea"/>
              <a:cs typeface="+mn-cs"/>
            </a:rPr>
            <a:t>2015       </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79 863 groups</a:t>
          </a:r>
        </a:p>
      </dgm:t>
    </dgm:pt>
    <dgm:pt modelId="{D3DD095E-F969-4571-A2B9-DDF40EB70244}" type="parTrans" cxnId="{92A2769D-2959-4CD9-932E-A1B9F8D511E3}">
      <dgm:prSet/>
      <dgm:spPr/>
      <dgm:t>
        <a:bodyPr/>
        <a:lstStyle/>
        <a:p>
          <a:pPr algn="l"/>
          <a:endParaRPr lang="en-US"/>
        </a:p>
      </dgm:t>
    </dgm:pt>
    <dgm:pt modelId="{75328BEE-51C7-414B-953C-36E0838AD368}" type="sibTrans" cxnId="{92A2769D-2959-4CD9-932E-A1B9F8D511E3}">
      <dgm:prSet/>
      <dgm:spPr/>
      <dgm:t>
        <a:bodyPr/>
        <a:lstStyle/>
        <a:p>
          <a:pPr algn="l"/>
          <a:endParaRPr lang="en-US"/>
        </a:p>
      </dgm:t>
    </dgm:pt>
    <dgm:pt modelId="{1DC7537B-24A7-458C-99A4-EDBADE24F3B2}">
      <dgm:prSet phldrT="[Text]"/>
      <dgm:spPr>
        <a:xfrm>
          <a:off x="1688540" y="801873"/>
          <a:ext cx="705312" cy="1297270"/>
        </a:xfrm>
        <a:prstGeom prst="rect">
          <a:avLst/>
        </a:prstGeom>
        <a:noFill/>
        <a:ln>
          <a:noFill/>
        </a:ln>
        <a:effectLst/>
      </dgm:spPr>
      <dgm:t>
        <a:bodyPr/>
        <a:lstStyle/>
        <a:p>
          <a:pPr algn="l"/>
          <a:r>
            <a:rPr lang="en-US">
              <a:solidFill>
                <a:sysClr val="windowText" lastClr="000000">
                  <a:hueOff val="0"/>
                  <a:satOff val="0"/>
                  <a:lumOff val="0"/>
                  <a:alphaOff val="0"/>
                </a:sysClr>
              </a:solidFill>
              <a:latin typeface="Calibri"/>
              <a:ea typeface="+mn-ea"/>
              <a:cs typeface="+mn-cs"/>
            </a:rPr>
            <a:t>2016     </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111 508 groups</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+ 18 176 FCs</a:t>
          </a:r>
        </a:p>
      </dgm:t>
    </dgm:pt>
    <dgm:pt modelId="{744A4530-10D9-4C1F-A894-4E06571DA2DF}" type="parTrans" cxnId="{37A5325B-E836-431F-AD6A-FFE92E87A3AD}">
      <dgm:prSet/>
      <dgm:spPr/>
      <dgm:t>
        <a:bodyPr/>
        <a:lstStyle/>
        <a:p>
          <a:pPr algn="l"/>
          <a:endParaRPr lang="en-US"/>
        </a:p>
      </dgm:t>
    </dgm:pt>
    <dgm:pt modelId="{45394EAC-A752-4098-9940-B467D003F572}" type="sibTrans" cxnId="{37A5325B-E836-431F-AD6A-FFE92E87A3AD}">
      <dgm:prSet/>
      <dgm:spPr/>
      <dgm:t>
        <a:bodyPr/>
        <a:lstStyle/>
        <a:p>
          <a:pPr algn="l"/>
          <a:endParaRPr lang="en-US"/>
        </a:p>
      </dgm:t>
    </dgm:pt>
    <dgm:pt modelId="{1F92D410-D4F2-4506-89DE-D46D351999C6}">
      <dgm:prSet phldrT="[Text]"/>
      <dgm:spPr>
        <a:xfrm>
          <a:off x="2414915" y="666520"/>
          <a:ext cx="967399" cy="934884"/>
        </a:xfrm>
        <a:prstGeom prst="rect">
          <a:avLst/>
        </a:prstGeom>
        <a:noFill/>
        <a:ln>
          <a:noFill/>
        </a:ln>
        <a:effectLst/>
      </dgm:spPr>
      <dgm:t>
        <a:bodyPr/>
        <a:lstStyle/>
        <a:p>
          <a:pPr algn="l"/>
          <a:r>
            <a:rPr lang="en-US" i="0">
              <a:solidFill>
                <a:sysClr val="windowText" lastClr="000000">
                  <a:hueOff val="0"/>
                  <a:satOff val="0"/>
                  <a:lumOff val="0"/>
                  <a:alphaOff val="0"/>
                </a:sysClr>
              </a:solidFill>
              <a:latin typeface="Calibri"/>
              <a:ea typeface="+mn-ea"/>
              <a:cs typeface="+mn-cs"/>
            </a:rPr>
            <a:t>2017  </a:t>
          </a:r>
          <a:br>
            <a:rPr lang="en-US" i="0">
              <a:solidFill>
                <a:sysClr val="windowText" lastClr="000000">
                  <a:hueOff val="0"/>
                  <a:satOff val="0"/>
                  <a:lumOff val="0"/>
                  <a:alphaOff val="0"/>
                </a:sysClr>
              </a:solidFill>
              <a:latin typeface="Calibri"/>
              <a:ea typeface="+mn-ea"/>
              <a:cs typeface="+mn-cs"/>
            </a:rPr>
          </a:br>
          <a:r>
            <a:rPr lang="en-US" i="0">
              <a:solidFill>
                <a:sysClr val="windowText" lastClr="000000">
                  <a:hueOff val="0"/>
                  <a:satOff val="0"/>
                  <a:lumOff val="0"/>
                  <a:alphaOff val="0"/>
                </a:sysClr>
              </a:solidFill>
              <a:latin typeface="Calibri"/>
              <a:ea typeface="+mn-ea"/>
              <a:cs typeface="+mn-cs"/>
            </a:rPr>
            <a:t>121 298</a:t>
          </a:r>
          <a:r>
            <a:rPr lang="en-US" i="1">
              <a:solidFill>
                <a:sysClr val="windowText" lastClr="000000">
                  <a:hueOff val="0"/>
                  <a:satOff val="0"/>
                  <a:lumOff val="0"/>
                  <a:alphaOff val="0"/>
                </a:sysClr>
              </a:solidFill>
              <a:latin typeface="Calibri"/>
              <a:ea typeface="+mn-ea"/>
              <a:cs typeface="+mn-cs"/>
            </a:rPr>
            <a:t/>
          </a:r>
          <a:br>
            <a:rPr lang="en-US" i="1">
              <a:solidFill>
                <a:sysClr val="windowText" lastClr="000000">
                  <a:hueOff val="0"/>
                  <a:satOff val="0"/>
                  <a:lumOff val="0"/>
                  <a:alphaOff val="0"/>
                </a:sysClr>
              </a:solidFill>
              <a:latin typeface="Calibri"/>
              <a:ea typeface="+mn-ea"/>
              <a:cs typeface="+mn-cs"/>
            </a:rPr>
          </a:br>
          <a:r>
            <a:rPr lang="en-US" i="1">
              <a:solidFill>
                <a:sysClr val="windowText" lastClr="000000">
                  <a:hueOff val="0"/>
                  <a:satOff val="0"/>
                  <a:lumOff val="0"/>
                  <a:alphaOff val="0"/>
                </a:sysClr>
              </a:solidFill>
              <a:latin typeface="Calibri"/>
              <a:ea typeface="+mn-ea"/>
              <a:cs typeface="+mn-cs"/>
            </a:rPr>
            <a:t>groups</a:t>
          </a:r>
          <a:br>
            <a:rPr lang="en-US" i="1">
              <a:solidFill>
                <a:sysClr val="windowText" lastClr="000000">
                  <a:hueOff val="0"/>
                  <a:satOff val="0"/>
                  <a:lumOff val="0"/>
                  <a:alphaOff val="0"/>
                </a:sysClr>
              </a:solidFill>
              <a:latin typeface="Calibri"/>
              <a:ea typeface="+mn-ea"/>
              <a:cs typeface="+mn-cs"/>
            </a:rPr>
          </a:br>
          <a:r>
            <a:rPr lang="en-US" i="0">
              <a:solidFill>
                <a:sysClr val="windowText" lastClr="000000">
                  <a:hueOff val="0"/>
                  <a:satOff val="0"/>
                  <a:lumOff val="0"/>
                  <a:alphaOff val="0"/>
                </a:sysClr>
              </a:solidFill>
              <a:latin typeface="Calibri"/>
              <a:ea typeface="+mn-ea"/>
              <a:cs typeface="+mn-cs"/>
            </a:rPr>
            <a:t>+</a:t>
          </a:r>
          <a:r>
            <a:rPr lang="en-US" i="1">
              <a:solidFill>
                <a:sysClr val="windowText" lastClr="000000">
                  <a:hueOff val="0"/>
                  <a:satOff val="0"/>
                  <a:lumOff val="0"/>
                  <a:alphaOff val="0"/>
                </a:sysClr>
              </a:solidFill>
              <a:latin typeface="Calibri"/>
              <a:ea typeface="+mn-ea"/>
              <a:cs typeface="+mn-cs"/>
            </a:rPr>
            <a:t> </a:t>
          </a:r>
          <a:r>
            <a:rPr lang="en-GB"/>
            <a:t>42 699 FCs</a:t>
          </a:r>
          <a:endParaRPr lang="en-US" i="1">
            <a:solidFill>
              <a:sysClr val="windowText" lastClr="000000">
                <a:hueOff val="0"/>
                <a:satOff val="0"/>
                <a:lumOff val="0"/>
                <a:alphaOff val="0"/>
              </a:sysClr>
            </a:solidFill>
            <a:latin typeface="Calibri"/>
            <a:ea typeface="+mn-ea"/>
            <a:cs typeface="+mn-cs"/>
          </a:endParaRPr>
        </a:p>
      </dgm:t>
    </dgm:pt>
    <dgm:pt modelId="{5FBC1309-8F28-4437-90A9-100B33DC5D45}" type="parTrans" cxnId="{FBF48DE5-C7A7-42FC-82A7-E7D0DCB6F4A7}">
      <dgm:prSet/>
      <dgm:spPr/>
      <dgm:t>
        <a:bodyPr/>
        <a:lstStyle/>
        <a:p>
          <a:endParaRPr lang="en-US"/>
        </a:p>
      </dgm:t>
    </dgm:pt>
    <dgm:pt modelId="{241735F3-19D5-4461-AAC3-6D899EEC711D}" type="sibTrans" cxnId="{FBF48DE5-C7A7-42FC-82A7-E7D0DCB6F4A7}">
      <dgm:prSet/>
      <dgm:spPr/>
      <dgm:t>
        <a:bodyPr/>
        <a:lstStyle/>
        <a:p>
          <a:endParaRPr lang="en-US"/>
        </a:p>
      </dgm:t>
    </dgm:pt>
    <dgm:pt modelId="{DBA81216-BEB1-4D9A-BBF2-ACB7D057D5F2}" type="pres">
      <dgm:prSet presAssocID="{A6EF5F57-6024-4BA6-814D-6A2639AFF6EC}" presName="arrowDiagram" presStyleCnt="0">
        <dgm:presLayoutVars>
          <dgm:chMax val="5"/>
          <dgm:dir/>
          <dgm:resizeHandles val="exact"/>
        </dgm:presLayoutVars>
      </dgm:prSet>
      <dgm:spPr/>
    </dgm:pt>
    <dgm:pt modelId="{9B94DE3B-9305-40A9-B6C1-D6D7D7F6B2DB}" type="pres">
      <dgm:prSet presAssocID="{A6EF5F57-6024-4BA6-814D-6A2639AFF6EC}" presName="arrow" presStyleLbl="bgShp" presStyleIdx="0" presStyleCnt="1" custLinFactNeighborX="4221"/>
      <dgm:spPr>
        <a:xfrm>
          <a:off x="52037" y="0"/>
          <a:ext cx="3358630" cy="2099144"/>
        </a:xfrm>
        <a:prstGeom prst="swooshArrow">
          <a:avLst>
            <a:gd name="adj1" fmla="val 25000"/>
            <a:gd name="adj2" fmla="val 25000"/>
          </a:avLst>
        </a:prstGeom>
        <a:solidFill>
          <a:srgbClr val="4F81BD">
            <a:tint val="40000"/>
            <a:hueOff val="0"/>
            <a:satOff val="0"/>
            <a:lumOff val="0"/>
            <a:alphaOff val="0"/>
          </a:srgbClr>
        </a:solidFill>
        <a:ln>
          <a:noFill/>
        </a:ln>
        <a:effectLst/>
      </dgm:spPr>
      <dgm:t>
        <a:bodyPr/>
        <a:lstStyle/>
        <a:p>
          <a:endParaRPr lang="en-US"/>
        </a:p>
      </dgm:t>
    </dgm:pt>
    <dgm:pt modelId="{F01D6B31-8436-4FB0-AB8D-567EC97FF8A9}" type="pres">
      <dgm:prSet presAssocID="{A6EF5F57-6024-4BA6-814D-6A2639AFF6EC}" presName="arrowDiagram4" presStyleCnt="0"/>
      <dgm:spPr/>
    </dgm:pt>
    <dgm:pt modelId="{38BFB0E8-14AB-4130-A40A-623B12DDFFC4}" type="pres">
      <dgm:prSet presAssocID="{E0B5AA2B-D9E9-4485-89CF-C0C50B464A54}" presName="bullet4a" presStyleLbl="node1" presStyleIdx="0" presStyleCnt="4"/>
      <dgm:spPr>
        <a:xfrm>
          <a:off x="356843" y="1560923"/>
          <a:ext cx="77248" cy="772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AA55E70-3106-4C23-A69C-3D3D264F097A}" type="pres">
      <dgm:prSet presAssocID="{E0B5AA2B-D9E9-4485-89CF-C0C50B464A54}" presName="textBox4a" presStyleLbl="revTx" presStyleIdx="0" presStyleCnt="4">
        <dgm:presLayoutVars>
          <dgm:bulletEnabled val="1"/>
        </dgm:presLayoutVars>
      </dgm:prSet>
      <dgm:spPr/>
      <dgm:t>
        <a:bodyPr/>
        <a:lstStyle/>
        <a:p>
          <a:endParaRPr lang="en-US"/>
        </a:p>
      </dgm:t>
    </dgm:pt>
    <dgm:pt modelId="{18843A92-BBFB-4100-8F7B-E0C80AA4BBF6}" type="pres">
      <dgm:prSet presAssocID="{448F9A10-ED0E-4E0E-B41F-71EBE004FEEE}" presName="bullet4b" presStyleLbl="node1" presStyleIdx="1" presStyleCnt="4"/>
      <dgm:spPr>
        <a:xfrm>
          <a:off x="902621" y="1072662"/>
          <a:ext cx="134345" cy="13434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EA4A5FF-1257-41FB-9D35-57C46FEAD333}" type="pres">
      <dgm:prSet presAssocID="{448F9A10-ED0E-4E0E-B41F-71EBE004FEEE}" presName="textBox4b" presStyleLbl="revTx" presStyleIdx="1" presStyleCnt="4">
        <dgm:presLayoutVars>
          <dgm:bulletEnabled val="1"/>
        </dgm:presLayoutVars>
      </dgm:prSet>
      <dgm:spPr/>
      <dgm:t>
        <a:bodyPr/>
        <a:lstStyle/>
        <a:p>
          <a:endParaRPr lang="en-US"/>
        </a:p>
      </dgm:t>
    </dgm:pt>
    <dgm:pt modelId="{39E83729-8FEE-425C-AEF6-AE6773C628A9}" type="pres">
      <dgm:prSet presAssocID="{1DC7537B-24A7-458C-99A4-EDBADE24F3B2}" presName="bullet4c" presStyleLbl="node1" presStyleIdx="2" presStyleCnt="4"/>
      <dgm:spPr>
        <a:xfrm>
          <a:off x="1599537" y="712869"/>
          <a:ext cx="178007" cy="17800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1900527-3C87-443F-9167-903C93FC89F9}" type="pres">
      <dgm:prSet presAssocID="{1DC7537B-24A7-458C-99A4-EDBADE24F3B2}" presName="textBox4c" presStyleLbl="revTx" presStyleIdx="2" presStyleCnt="4" custScaleX="118400">
        <dgm:presLayoutVars>
          <dgm:bulletEnabled val="1"/>
        </dgm:presLayoutVars>
      </dgm:prSet>
      <dgm:spPr/>
      <dgm:t>
        <a:bodyPr/>
        <a:lstStyle/>
        <a:p>
          <a:endParaRPr lang="en-US"/>
        </a:p>
      </dgm:t>
    </dgm:pt>
    <dgm:pt modelId="{CD8F7EAF-9A45-47F4-A7B5-21BA7A4D334F}" type="pres">
      <dgm:prSet presAssocID="{1F92D410-D4F2-4506-89DE-D46D351999C6}" presName="bullet4d" presStyleLbl="node1" presStyleIdx="3" presStyleCnt="4"/>
      <dgm:spPr>
        <a:xfrm>
          <a:off x="2358587" y="474826"/>
          <a:ext cx="238462" cy="23846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42F3149-6D70-455C-8377-11661AAC3E88}" type="pres">
      <dgm:prSet presAssocID="{1F92D410-D4F2-4506-89DE-D46D351999C6}" presName="textBox4d" presStyleLbl="revTx" presStyleIdx="3" presStyleCnt="4" custScaleX="137159" custScaleY="62115" custLinFactNeighborX="9661" custLinFactNeighborY="-14128">
        <dgm:presLayoutVars>
          <dgm:bulletEnabled val="1"/>
        </dgm:presLayoutVars>
      </dgm:prSet>
      <dgm:spPr/>
      <dgm:t>
        <a:bodyPr/>
        <a:lstStyle/>
        <a:p>
          <a:endParaRPr lang="en-US"/>
        </a:p>
      </dgm:t>
    </dgm:pt>
  </dgm:ptLst>
  <dgm:cxnLst>
    <dgm:cxn modelId="{92A2769D-2959-4CD9-932E-A1B9F8D511E3}" srcId="{A6EF5F57-6024-4BA6-814D-6A2639AFF6EC}" destId="{448F9A10-ED0E-4E0E-B41F-71EBE004FEEE}" srcOrd="1" destOrd="0" parTransId="{D3DD095E-F969-4571-A2B9-DDF40EB70244}" sibTransId="{75328BEE-51C7-414B-953C-36E0838AD368}"/>
    <dgm:cxn modelId="{0E4C9DB1-F155-4DEB-875D-D6DD26C5841A}" type="presOf" srcId="{1F92D410-D4F2-4506-89DE-D46D351999C6}" destId="{642F3149-6D70-455C-8377-11661AAC3E88}" srcOrd="0" destOrd="0" presId="urn:microsoft.com/office/officeart/2005/8/layout/arrow2"/>
    <dgm:cxn modelId="{8C128383-3F24-44BC-B280-CD23245E0B56}" type="presOf" srcId="{A6EF5F57-6024-4BA6-814D-6A2639AFF6EC}" destId="{DBA81216-BEB1-4D9A-BBF2-ACB7D057D5F2}" srcOrd="0" destOrd="0" presId="urn:microsoft.com/office/officeart/2005/8/layout/arrow2"/>
    <dgm:cxn modelId="{EF1728FC-D682-425E-9558-64D8EEC64794}" type="presOf" srcId="{E0B5AA2B-D9E9-4485-89CF-C0C50B464A54}" destId="{AAA55E70-3106-4C23-A69C-3D3D264F097A}" srcOrd="0" destOrd="0" presId="urn:microsoft.com/office/officeart/2005/8/layout/arrow2"/>
    <dgm:cxn modelId="{1632DF17-EA34-4F77-AA5D-2AD7B1317645}" type="presOf" srcId="{1DC7537B-24A7-458C-99A4-EDBADE24F3B2}" destId="{C1900527-3C87-443F-9167-903C93FC89F9}" srcOrd="0" destOrd="0" presId="urn:microsoft.com/office/officeart/2005/8/layout/arrow2"/>
    <dgm:cxn modelId="{03C2C5BD-B257-4731-A146-C41C52669263}" srcId="{A6EF5F57-6024-4BA6-814D-6A2639AFF6EC}" destId="{E0B5AA2B-D9E9-4485-89CF-C0C50B464A54}" srcOrd="0" destOrd="0" parTransId="{6B280E40-CB42-494A-B40E-18BE507BB446}" sibTransId="{A8F98C18-421B-432C-B573-AE45FE76E07A}"/>
    <dgm:cxn modelId="{FBF48DE5-C7A7-42FC-82A7-E7D0DCB6F4A7}" srcId="{A6EF5F57-6024-4BA6-814D-6A2639AFF6EC}" destId="{1F92D410-D4F2-4506-89DE-D46D351999C6}" srcOrd="3" destOrd="0" parTransId="{5FBC1309-8F28-4437-90A9-100B33DC5D45}" sibTransId="{241735F3-19D5-4461-AAC3-6D899EEC711D}"/>
    <dgm:cxn modelId="{37A5325B-E836-431F-AD6A-FFE92E87A3AD}" srcId="{A6EF5F57-6024-4BA6-814D-6A2639AFF6EC}" destId="{1DC7537B-24A7-458C-99A4-EDBADE24F3B2}" srcOrd="2" destOrd="0" parTransId="{744A4530-10D9-4C1F-A894-4E06571DA2DF}" sibTransId="{45394EAC-A752-4098-9940-B467D003F572}"/>
    <dgm:cxn modelId="{5EE79E64-DA71-42C6-93C0-114E508814C2}" type="presOf" srcId="{448F9A10-ED0E-4E0E-B41F-71EBE004FEEE}" destId="{3EA4A5FF-1257-41FB-9D35-57C46FEAD333}" srcOrd="0" destOrd="0" presId="urn:microsoft.com/office/officeart/2005/8/layout/arrow2"/>
    <dgm:cxn modelId="{C253D1F0-F14F-4C49-809A-06B41358C59E}" type="presParOf" srcId="{DBA81216-BEB1-4D9A-BBF2-ACB7D057D5F2}" destId="{9B94DE3B-9305-40A9-B6C1-D6D7D7F6B2DB}" srcOrd="0" destOrd="0" presId="urn:microsoft.com/office/officeart/2005/8/layout/arrow2"/>
    <dgm:cxn modelId="{3962F1C4-52B1-4FFE-A6D8-ED00B516FBD1}" type="presParOf" srcId="{DBA81216-BEB1-4D9A-BBF2-ACB7D057D5F2}" destId="{F01D6B31-8436-4FB0-AB8D-567EC97FF8A9}" srcOrd="1" destOrd="0" presId="urn:microsoft.com/office/officeart/2005/8/layout/arrow2"/>
    <dgm:cxn modelId="{2A420A94-2EE5-4AFD-9269-30349952C899}" type="presParOf" srcId="{F01D6B31-8436-4FB0-AB8D-567EC97FF8A9}" destId="{38BFB0E8-14AB-4130-A40A-623B12DDFFC4}" srcOrd="0" destOrd="0" presId="urn:microsoft.com/office/officeart/2005/8/layout/arrow2"/>
    <dgm:cxn modelId="{B86E25AF-8570-4A46-81AE-DC4D20762C01}" type="presParOf" srcId="{F01D6B31-8436-4FB0-AB8D-567EC97FF8A9}" destId="{AAA55E70-3106-4C23-A69C-3D3D264F097A}" srcOrd="1" destOrd="0" presId="urn:microsoft.com/office/officeart/2005/8/layout/arrow2"/>
    <dgm:cxn modelId="{5CD5DC38-A0C6-496E-A9C5-8323D4FDFA29}" type="presParOf" srcId="{F01D6B31-8436-4FB0-AB8D-567EC97FF8A9}" destId="{18843A92-BBFB-4100-8F7B-E0C80AA4BBF6}" srcOrd="2" destOrd="0" presId="urn:microsoft.com/office/officeart/2005/8/layout/arrow2"/>
    <dgm:cxn modelId="{E1A89A52-F041-475E-8821-0D5CD22593EA}" type="presParOf" srcId="{F01D6B31-8436-4FB0-AB8D-567EC97FF8A9}" destId="{3EA4A5FF-1257-41FB-9D35-57C46FEAD333}" srcOrd="3" destOrd="0" presId="urn:microsoft.com/office/officeart/2005/8/layout/arrow2"/>
    <dgm:cxn modelId="{85FDDA6D-927E-4B04-B295-DF47973A744B}" type="presParOf" srcId="{F01D6B31-8436-4FB0-AB8D-567EC97FF8A9}" destId="{39E83729-8FEE-425C-AEF6-AE6773C628A9}" srcOrd="4" destOrd="0" presId="urn:microsoft.com/office/officeart/2005/8/layout/arrow2"/>
    <dgm:cxn modelId="{69D0031B-AC6D-4837-AC58-A4F9A6AAADFC}" type="presParOf" srcId="{F01D6B31-8436-4FB0-AB8D-567EC97FF8A9}" destId="{C1900527-3C87-443F-9167-903C93FC89F9}" srcOrd="5" destOrd="0" presId="urn:microsoft.com/office/officeart/2005/8/layout/arrow2"/>
    <dgm:cxn modelId="{8F284570-92E4-4DC1-873F-9E6C5CE558B4}" type="presParOf" srcId="{F01D6B31-8436-4FB0-AB8D-567EC97FF8A9}" destId="{CD8F7EAF-9A45-47F4-A7B5-21BA7A4D334F}" srcOrd="6" destOrd="0" presId="urn:microsoft.com/office/officeart/2005/8/layout/arrow2"/>
    <dgm:cxn modelId="{E0A0D6E1-6AB7-4CF6-829F-836A9FE4F49F}" type="presParOf" srcId="{F01D6B31-8436-4FB0-AB8D-567EC97FF8A9}" destId="{642F3149-6D70-455C-8377-11661AAC3E88}" srcOrd="7"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4DE3B-9305-40A9-B6C1-D6D7D7F6B2DB}">
      <dsp:nvSpPr>
        <dsp:cNvPr id="0" name=""/>
        <dsp:cNvSpPr/>
      </dsp:nvSpPr>
      <dsp:spPr>
        <a:xfrm>
          <a:off x="52037" y="0"/>
          <a:ext cx="3358630" cy="2099144"/>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8BFB0E8-14AB-4130-A40A-623B12DDFFC4}">
      <dsp:nvSpPr>
        <dsp:cNvPr id="0" name=""/>
        <dsp:cNvSpPr/>
      </dsp:nvSpPr>
      <dsp:spPr>
        <a:xfrm>
          <a:off x="356843" y="1560923"/>
          <a:ext cx="77248" cy="7724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AA55E70-3106-4C23-A69C-3D3D264F097A}">
      <dsp:nvSpPr>
        <dsp:cNvPr id="0" name=""/>
        <dsp:cNvSpPr/>
      </dsp:nvSpPr>
      <dsp:spPr>
        <a:xfrm>
          <a:off x="395468" y="1599547"/>
          <a:ext cx="574325" cy="4995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932" tIns="0" rIns="0" bIns="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2014    </a:t>
          </a:r>
          <a:br>
            <a:rPr lang="en-US" sz="1100" kern="1200">
              <a:solidFill>
                <a:sysClr val="windowText" lastClr="000000">
                  <a:hueOff val="0"/>
                  <a:satOff val="0"/>
                  <a:lumOff val="0"/>
                  <a:alphaOff val="0"/>
                </a:sysClr>
              </a:solidFill>
              <a:latin typeface="Calibri"/>
              <a:ea typeface="+mn-ea"/>
              <a:cs typeface="+mn-cs"/>
            </a:rPr>
          </a:br>
          <a:r>
            <a:rPr lang="en-US" sz="1100" kern="1200">
              <a:solidFill>
                <a:sysClr val="windowText" lastClr="000000">
                  <a:hueOff val="0"/>
                  <a:satOff val="0"/>
                  <a:lumOff val="0"/>
                  <a:alphaOff val="0"/>
                </a:sysClr>
              </a:solidFill>
              <a:latin typeface="Calibri"/>
              <a:ea typeface="+mn-ea"/>
              <a:cs typeface="+mn-cs"/>
            </a:rPr>
            <a:t>61 146 groups</a:t>
          </a:r>
        </a:p>
      </dsp:txBody>
      <dsp:txXfrm>
        <a:off x="395468" y="1599547"/>
        <a:ext cx="574325" cy="499596"/>
      </dsp:txXfrm>
    </dsp:sp>
    <dsp:sp modelId="{18843A92-BBFB-4100-8F7B-E0C80AA4BBF6}">
      <dsp:nvSpPr>
        <dsp:cNvPr id="0" name=""/>
        <dsp:cNvSpPr/>
      </dsp:nvSpPr>
      <dsp:spPr>
        <a:xfrm>
          <a:off x="902621" y="1072662"/>
          <a:ext cx="134345" cy="13434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EA4A5FF-1257-41FB-9D35-57C46FEAD333}">
      <dsp:nvSpPr>
        <dsp:cNvPr id="0" name=""/>
        <dsp:cNvSpPr/>
      </dsp:nvSpPr>
      <dsp:spPr>
        <a:xfrm>
          <a:off x="969793" y="1139835"/>
          <a:ext cx="705312" cy="959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87" tIns="0" rIns="0" bIns="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2015       </a:t>
          </a:r>
          <a:br>
            <a:rPr lang="en-US" sz="1100" kern="1200">
              <a:solidFill>
                <a:sysClr val="windowText" lastClr="000000">
                  <a:hueOff val="0"/>
                  <a:satOff val="0"/>
                  <a:lumOff val="0"/>
                  <a:alphaOff val="0"/>
                </a:sysClr>
              </a:solidFill>
              <a:latin typeface="Calibri"/>
              <a:ea typeface="+mn-ea"/>
              <a:cs typeface="+mn-cs"/>
            </a:rPr>
          </a:br>
          <a:r>
            <a:rPr lang="en-US" sz="1100" kern="1200">
              <a:solidFill>
                <a:sysClr val="windowText" lastClr="000000">
                  <a:hueOff val="0"/>
                  <a:satOff val="0"/>
                  <a:lumOff val="0"/>
                  <a:alphaOff val="0"/>
                </a:sysClr>
              </a:solidFill>
              <a:latin typeface="Calibri"/>
              <a:ea typeface="+mn-ea"/>
              <a:cs typeface="+mn-cs"/>
            </a:rPr>
            <a:t>79 863 groups</a:t>
          </a:r>
        </a:p>
      </dsp:txBody>
      <dsp:txXfrm>
        <a:off x="969793" y="1139835"/>
        <a:ext cx="705312" cy="959308"/>
      </dsp:txXfrm>
    </dsp:sp>
    <dsp:sp modelId="{39E83729-8FEE-425C-AEF6-AE6773C628A9}">
      <dsp:nvSpPr>
        <dsp:cNvPr id="0" name=""/>
        <dsp:cNvSpPr/>
      </dsp:nvSpPr>
      <dsp:spPr>
        <a:xfrm>
          <a:off x="1599537" y="712869"/>
          <a:ext cx="178007" cy="17800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1900527-3C87-443F-9167-903C93FC89F9}">
      <dsp:nvSpPr>
        <dsp:cNvPr id="0" name=""/>
        <dsp:cNvSpPr/>
      </dsp:nvSpPr>
      <dsp:spPr>
        <a:xfrm>
          <a:off x="1623652" y="801873"/>
          <a:ext cx="835089" cy="12972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4322" tIns="0" rIns="0" bIns="0" numCol="1" spcCol="1270" anchor="t"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2016     </a:t>
          </a:r>
          <a:br>
            <a:rPr lang="en-US" sz="1100" kern="1200">
              <a:solidFill>
                <a:sysClr val="windowText" lastClr="000000">
                  <a:hueOff val="0"/>
                  <a:satOff val="0"/>
                  <a:lumOff val="0"/>
                  <a:alphaOff val="0"/>
                </a:sysClr>
              </a:solidFill>
              <a:latin typeface="Calibri"/>
              <a:ea typeface="+mn-ea"/>
              <a:cs typeface="+mn-cs"/>
            </a:rPr>
          </a:br>
          <a:r>
            <a:rPr lang="en-US" sz="1100" kern="1200">
              <a:solidFill>
                <a:sysClr val="windowText" lastClr="000000">
                  <a:hueOff val="0"/>
                  <a:satOff val="0"/>
                  <a:lumOff val="0"/>
                  <a:alphaOff val="0"/>
                </a:sysClr>
              </a:solidFill>
              <a:latin typeface="Calibri"/>
              <a:ea typeface="+mn-ea"/>
              <a:cs typeface="+mn-cs"/>
            </a:rPr>
            <a:t>111 508 groups</a:t>
          </a:r>
          <a:br>
            <a:rPr lang="en-US" sz="1100" kern="1200">
              <a:solidFill>
                <a:sysClr val="windowText" lastClr="000000">
                  <a:hueOff val="0"/>
                  <a:satOff val="0"/>
                  <a:lumOff val="0"/>
                  <a:alphaOff val="0"/>
                </a:sysClr>
              </a:solidFill>
              <a:latin typeface="Calibri"/>
              <a:ea typeface="+mn-ea"/>
              <a:cs typeface="+mn-cs"/>
            </a:rPr>
          </a:br>
          <a:r>
            <a:rPr lang="en-US" sz="1100" kern="1200">
              <a:solidFill>
                <a:sysClr val="windowText" lastClr="000000">
                  <a:hueOff val="0"/>
                  <a:satOff val="0"/>
                  <a:lumOff val="0"/>
                  <a:alphaOff val="0"/>
                </a:sysClr>
              </a:solidFill>
              <a:latin typeface="Calibri"/>
              <a:ea typeface="+mn-ea"/>
              <a:cs typeface="+mn-cs"/>
            </a:rPr>
            <a:t>+ 18 176 FCs</a:t>
          </a:r>
        </a:p>
      </dsp:txBody>
      <dsp:txXfrm>
        <a:off x="1623652" y="801873"/>
        <a:ext cx="835089" cy="1297270"/>
      </dsp:txXfrm>
    </dsp:sp>
    <dsp:sp modelId="{CD8F7EAF-9A45-47F4-A7B5-21BA7A4D334F}">
      <dsp:nvSpPr>
        <dsp:cNvPr id="0" name=""/>
        <dsp:cNvSpPr/>
      </dsp:nvSpPr>
      <dsp:spPr>
        <a:xfrm>
          <a:off x="2358587" y="474826"/>
          <a:ext cx="238462" cy="23846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42F3149-6D70-455C-8377-11661AAC3E88}">
      <dsp:nvSpPr>
        <dsp:cNvPr id="0" name=""/>
        <dsp:cNvSpPr/>
      </dsp:nvSpPr>
      <dsp:spPr>
        <a:xfrm>
          <a:off x="2414915" y="666520"/>
          <a:ext cx="967399" cy="934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6356" tIns="0" rIns="0" bIns="0" numCol="1" spcCol="1270" anchor="t" anchorCtr="0">
          <a:noAutofit/>
        </a:bodyPr>
        <a:lstStyle/>
        <a:p>
          <a:pPr lvl="0" algn="l" defTabSz="488950">
            <a:lnSpc>
              <a:spcPct val="90000"/>
            </a:lnSpc>
            <a:spcBef>
              <a:spcPct val="0"/>
            </a:spcBef>
            <a:spcAft>
              <a:spcPct val="35000"/>
            </a:spcAft>
          </a:pPr>
          <a:r>
            <a:rPr lang="en-US" sz="1100" i="0" kern="1200">
              <a:solidFill>
                <a:sysClr val="windowText" lastClr="000000">
                  <a:hueOff val="0"/>
                  <a:satOff val="0"/>
                  <a:lumOff val="0"/>
                  <a:alphaOff val="0"/>
                </a:sysClr>
              </a:solidFill>
              <a:latin typeface="Calibri"/>
              <a:ea typeface="+mn-ea"/>
              <a:cs typeface="+mn-cs"/>
            </a:rPr>
            <a:t>2017  </a:t>
          </a:r>
          <a:br>
            <a:rPr lang="en-US" sz="1100" i="0" kern="1200">
              <a:solidFill>
                <a:sysClr val="windowText" lastClr="000000">
                  <a:hueOff val="0"/>
                  <a:satOff val="0"/>
                  <a:lumOff val="0"/>
                  <a:alphaOff val="0"/>
                </a:sysClr>
              </a:solidFill>
              <a:latin typeface="Calibri"/>
              <a:ea typeface="+mn-ea"/>
              <a:cs typeface="+mn-cs"/>
            </a:rPr>
          </a:br>
          <a:r>
            <a:rPr lang="en-US" sz="1100" i="0" kern="1200">
              <a:solidFill>
                <a:sysClr val="windowText" lastClr="000000">
                  <a:hueOff val="0"/>
                  <a:satOff val="0"/>
                  <a:lumOff val="0"/>
                  <a:alphaOff val="0"/>
                </a:sysClr>
              </a:solidFill>
              <a:latin typeface="Calibri"/>
              <a:ea typeface="+mn-ea"/>
              <a:cs typeface="+mn-cs"/>
            </a:rPr>
            <a:t>121 298</a:t>
          </a:r>
          <a:r>
            <a:rPr lang="en-US" sz="1100" i="1" kern="1200">
              <a:solidFill>
                <a:sysClr val="windowText" lastClr="000000">
                  <a:hueOff val="0"/>
                  <a:satOff val="0"/>
                  <a:lumOff val="0"/>
                  <a:alphaOff val="0"/>
                </a:sysClr>
              </a:solidFill>
              <a:latin typeface="Calibri"/>
              <a:ea typeface="+mn-ea"/>
              <a:cs typeface="+mn-cs"/>
            </a:rPr>
            <a:t/>
          </a:r>
          <a:br>
            <a:rPr lang="en-US" sz="1100" i="1" kern="1200">
              <a:solidFill>
                <a:sysClr val="windowText" lastClr="000000">
                  <a:hueOff val="0"/>
                  <a:satOff val="0"/>
                  <a:lumOff val="0"/>
                  <a:alphaOff val="0"/>
                </a:sysClr>
              </a:solidFill>
              <a:latin typeface="Calibri"/>
              <a:ea typeface="+mn-ea"/>
              <a:cs typeface="+mn-cs"/>
            </a:rPr>
          </a:br>
          <a:r>
            <a:rPr lang="en-US" sz="1100" i="1" kern="1200">
              <a:solidFill>
                <a:sysClr val="windowText" lastClr="000000">
                  <a:hueOff val="0"/>
                  <a:satOff val="0"/>
                  <a:lumOff val="0"/>
                  <a:alphaOff val="0"/>
                </a:sysClr>
              </a:solidFill>
              <a:latin typeface="Calibri"/>
              <a:ea typeface="+mn-ea"/>
              <a:cs typeface="+mn-cs"/>
            </a:rPr>
            <a:t>groups</a:t>
          </a:r>
          <a:br>
            <a:rPr lang="en-US" sz="1100" i="1" kern="1200">
              <a:solidFill>
                <a:sysClr val="windowText" lastClr="000000">
                  <a:hueOff val="0"/>
                  <a:satOff val="0"/>
                  <a:lumOff val="0"/>
                  <a:alphaOff val="0"/>
                </a:sysClr>
              </a:solidFill>
              <a:latin typeface="Calibri"/>
              <a:ea typeface="+mn-ea"/>
              <a:cs typeface="+mn-cs"/>
            </a:rPr>
          </a:br>
          <a:r>
            <a:rPr lang="en-US" sz="1100" i="0" kern="1200">
              <a:solidFill>
                <a:sysClr val="windowText" lastClr="000000">
                  <a:hueOff val="0"/>
                  <a:satOff val="0"/>
                  <a:lumOff val="0"/>
                  <a:alphaOff val="0"/>
                </a:sysClr>
              </a:solidFill>
              <a:latin typeface="Calibri"/>
              <a:ea typeface="+mn-ea"/>
              <a:cs typeface="+mn-cs"/>
            </a:rPr>
            <a:t>+</a:t>
          </a:r>
          <a:r>
            <a:rPr lang="en-US" sz="1100" i="1" kern="1200">
              <a:solidFill>
                <a:sysClr val="windowText" lastClr="000000">
                  <a:hueOff val="0"/>
                  <a:satOff val="0"/>
                  <a:lumOff val="0"/>
                  <a:alphaOff val="0"/>
                </a:sysClr>
              </a:solidFill>
              <a:latin typeface="Calibri"/>
              <a:ea typeface="+mn-ea"/>
              <a:cs typeface="+mn-cs"/>
            </a:rPr>
            <a:t> </a:t>
          </a:r>
          <a:r>
            <a:rPr lang="en-GB" sz="1100" kern="1200"/>
            <a:t>42 699 FCs</a:t>
          </a:r>
          <a:endParaRPr lang="en-US" sz="1100" i="1" kern="1200">
            <a:solidFill>
              <a:sysClr val="windowText" lastClr="000000">
                <a:hueOff val="0"/>
                <a:satOff val="0"/>
                <a:lumOff val="0"/>
                <a:alphaOff val="0"/>
              </a:sysClr>
            </a:solidFill>
            <a:latin typeface="Calibri"/>
            <a:ea typeface="+mn-ea"/>
            <a:cs typeface="+mn-cs"/>
          </a:endParaRPr>
        </a:p>
      </dsp:txBody>
      <dsp:txXfrm>
        <a:off x="2414915" y="666520"/>
        <a:ext cx="967399" cy="93488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0AD258-CCE5-4199-BDA9-079551EB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9</Pages>
  <Words>2384</Words>
  <Characters>12780</Characters>
  <Application>Microsoft Office Word</Application>
  <DocSecurity>0</DocSecurity>
  <Lines>228</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BIKAUSKAITE Agne (ESTAT)</dc:creator>
  <cp:keywords/>
  <dc:description/>
  <cp:lastModifiedBy>BIKAUSKAITE Agne (ESTAT)</cp:lastModifiedBy>
  <cp:revision>10</cp:revision>
  <cp:lastPrinted>2019-08-08T20:48:00Z</cp:lastPrinted>
  <dcterms:created xsi:type="dcterms:W3CDTF">2019-04-19T10:00:00Z</dcterms:created>
  <dcterms:modified xsi:type="dcterms:W3CDTF">2019-08-30T20:30:00Z</dcterms:modified>
</cp:coreProperties>
</file>