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622" w:rsidRPr="00F475E1" w:rsidRDefault="002A2AA9" w:rsidP="00453A51">
      <w:pPr>
        <w:jc w:val="center"/>
        <w:rPr>
          <w:rFonts w:asciiTheme="majorHAnsi" w:hAnsiTheme="majorHAnsi"/>
          <w:b/>
          <w:sz w:val="32"/>
        </w:rPr>
      </w:pPr>
      <w:r w:rsidRPr="00F475E1">
        <w:rPr>
          <w:rFonts w:asciiTheme="majorHAnsi" w:hAnsiTheme="majorHAnsi"/>
          <w:b/>
          <w:sz w:val="32"/>
        </w:rPr>
        <w:t>Рынок инструментов. Р</w:t>
      </w:r>
      <w:r w:rsidR="00F30A02" w:rsidRPr="00F475E1">
        <w:rPr>
          <w:rFonts w:asciiTheme="majorHAnsi" w:hAnsiTheme="majorHAnsi"/>
          <w:b/>
          <w:sz w:val="32"/>
        </w:rPr>
        <w:t>уководство</w:t>
      </w:r>
      <w:r w:rsidR="00164622" w:rsidRPr="00F475E1">
        <w:rPr>
          <w:rFonts w:asciiTheme="majorHAnsi" w:hAnsiTheme="majorHAnsi"/>
          <w:b/>
          <w:sz w:val="32"/>
        </w:rPr>
        <w:t xml:space="preserve"> по использованию инструментов</w:t>
      </w:r>
    </w:p>
    <w:p w:rsidR="00453A51" w:rsidRPr="00F475E1" w:rsidRDefault="00453A5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674E08" w:rsidRPr="00F475E1">
        <w:tc>
          <w:tcPr>
            <w:tcW w:w="1242" w:type="dxa"/>
          </w:tcPr>
          <w:p w:rsidR="00483CF7" w:rsidRPr="00F475E1" w:rsidRDefault="00483CF7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Стенд № 1</w:t>
            </w:r>
          </w:p>
        </w:tc>
        <w:tc>
          <w:tcPr>
            <w:tcW w:w="4678" w:type="dxa"/>
          </w:tcPr>
          <w:p w:rsidR="00483CF7" w:rsidRPr="00F475E1" w:rsidRDefault="00265EB8" w:rsidP="00265EB8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483CF7" w:rsidRPr="00F475E1">
              <w:rPr>
                <w:rFonts w:asciiTheme="majorHAnsi" w:hAnsiTheme="majorHAnsi"/>
                <w:sz w:val="20"/>
              </w:rPr>
              <w:t xml:space="preserve">Деварадж де Кондаппа, SEI </w:t>
            </w:r>
            <w:r w:rsidRPr="00F475E1">
              <w:rPr>
                <w:rFonts w:asciiTheme="majorHAnsi" w:hAnsiTheme="majorHAnsi"/>
                <w:sz w:val="20"/>
              </w:rPr>
              <w:t>A</w:t>
            </w:r>
            <w:r w:rsidR="00483CF7" w:rsidRPr="00F475E1">
              <w:rPr>
                <w:rFonts w:asciiTheme="majorHAnsi" w:hAnsiTheme="majorHAnsi"/>
                <w:sz w:val="20"/>
              </w:rPr>
              <w:t>ssociate</w:t>
            </w:r>
          </w:p>
        </w:tc>
        <w:tc>
          <w:tcPr>
            <w:tcW w:w="3569" w:type="dxa"/>
          </w:tcPr>
          <w:p w:rsidR="00674E08" w:rsidRPr="00F475E1" w:rsidRDefault="00483CF7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Языки: английский и французский</w:t>
            </w:r>
          </w:p>
        </w:tc>
      </w:tr>
      <w:tr w:rsidR="008A2346" w:rsidRPr="00F475E1">
        <w:tc>
          <w:tcPr>
            <w:tcW w:w="9489" w:type="dxa"/>
            <w:gridSpan w:val="3"/>
          </w:tcPr>
          <w:p w:rsidR="00483CF7" w:rsidRPr="00F475E1" w:rsidRDefault="00483CF7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Стокгольмский институт окружающей среды </w:t>
            </w:r>
            <w:r w:rsidR="00804748" w:rsidRPr="00F475E1">
              <w:rPr>
                <w:rFonts w:asciiTheme="majorHAnsi" w:hAnsiTheme="majorHAnsi"/>
                <w:b/>
                <w:sz w:val="20"/>
              </w:rPr>
              <w:t xml:space="preserve">связывает проблемы </w:t>
            </w:r>
            <w:r w:rsidRPr="00F475E1">
              <w:rPr>
                <w:rFonts w:asciiTheme="majorHAnsi" w:hAnsiTheme="majorHAnsi"/>
                <w:b/>
                <w:sz w:val="20"/>
              </w:rPr>
              <w:t xml:space="preserve">воды, энергии и </w:t>
            </w:r>
            <w:r w:rsidR="00804748" w:rsidRPr="00F475E1">
              <w:rPr>
                <w:rFonts w:asciiTheme="majorHAnsi" w:hAnsiTheme="majorHAnsi"/>
                <w:b/>
                <w:sz w:val="20"/>
              </w:rPr>
              <w:t xml:space="preserve">средства программного обеспечения для смягчения </w:t>
            </w:r>
            <w:r w:rsidRPr="00F475E1">
              <w:rPr>
                <w:rFonts w:asciiTheme="majorHAnsi" w:hAnsiTheme="majorHAnsi"/>
                <w:b/>
                <w:sz w:val="20"/>
              </w:rPr>
              <w:t xml:space="preserve">последствий изменения климата </w:t>
            </w:r>
            <w:r w:rsidR="00804748" w:rsidRPr="00F475E1">
              <w:rPr>
                <w:rFonts w:asciiTheme="majorHAnsi" w:hAnsiTheme="majorHAnsi"/>
                <w:b/>
                <w:sz w:val="20"/>
              </w:rPr>
              <w:t xml:space="preserve">для того, </w:t>
            </w:r>
            <w:r w:rsidRPr="00F475E1">
              <w:rPr>
                <w:rFonts w:asciiTheme="majorHAnsi" w:hAnsiTheme="majorHAnsi"/>
                <w:b/>
                <w:sz w:val="20"/>
              </w:rPr>
              <w:t>чтобы помочь политикам</w:t>
            </w:r>
            <w:r w:rsidR="00164622" w:rsidRPr="00F475E1">
              <w:rPr>
                <w:rFonts w:asciiTheme="majorHAnsi" w:hAnsiTheme="majorHAnsi"/>
                <w:b/>
                <w:sz w:val="20"/>
              </w:rPr>
              <w:t xml:space="preserve"> бороться с проблемами в области взаимосвязи воды и энергии </w:t>
            </w:r>
          </w:p>
          <w:p w:rsidR="008A2346" w:rsidRPr="00F475E1" w:rsidRDefault="008A2346" w:rsidP="008A2346">
            <w:pPr>
              <w:rPr>
                <w:rFonts w:asciiTheme="majorHAnsi" w:hAnsiTheme="majorHAnsi"/>
                <w:sz w:val="20"/>
              </w:rPr>
            </w:pPr>
          </w:p>
          <w:p w:rsidR="00483CF7" w:rsidRPr="00F475E1" w:rsidRDefault="00483CF7" w:rsidP="008A2346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>Климат, вод</w:t>
            </w:r>
            <w:r w:rsidR="00F30A02" w:rsidRPr="00F475E1">
              <w:rPr>
                <w:rFonts w:asciiTheme="majorHAnsi" w:hAnsiTheme="majorHAnsi"/>
                <w:sz w:val="20"/>
              </w:rPr>
              <w:t>а</w:t>
            </w:r>
            <w:r w:rsidRPr="00F475E1">
              <w:rPr>
                <w:rFonts w:asciiTheme="majorHAnsi" w:hAnsiTheme="majorHAnsi"/>
                <w:sz w:val="20"/>
              </w:rPr>
              <w:t xml:space="preserve"> и энерги</w:t>
            </w:r>
            <w:r w:rsidR="00F30A02" w:rsidRPr="00F475E1">
              <w:rPr>
                <w:rFonts w:asciiTheme="majorHAnsi" w:hAnsiTheme="majorHAnsi"/>
                <w:sz w:val="20"/>
              </w:rPr>
              <w:t>я</w:t>
            </w:r>
            <w:r w:rsidRPr="00F475E1">
              <w:rPr>
                <w:rFonts w:asciiTheme="majorHAnsi" w:hAnsiTheme="majorHAnsi"/>
                <w:sz w:val="20"/>
              </w:rPr>
              <w:t xml:space="preserve"> неразрывно </w:t>
            </w:r>
            <w:r w:rsidR="00585E05" w:rsidRPr="00F475E1">
              <w:rPr>
                <w:rFonts w:asciiTheme="majorHAnsi" w:hAnsiTheme="majorHAnsi"/>
                <w:sz w:val="20"/>
              </w:rPr>
              <w:t>взаимосвязаны между собой</w:t>
            </w:r>
            <w:r w:rsidRPr="00F475E1">
              <w:rPr>
                <w:rFonts w:asciiTheme="majorHAnsi" w:hAnsiTheme="majorHAnsi"/>
                <w:sz w:val="20"/>
              </w:rPr>
              <w:t xml:space="preserve"> так</w:t>
            </w:r>
            <w:r w:rsidR="00585E05" w:rsidRPr="00F475E1">
              <w:rPr>
                <w:rFonts w:asciiTheme="majorHAnsi" w:hAnsiTheme="majorHAnsi"/>
                <w:sz w:val="20"/>
              </w:rPr>
              <w:t>им образом,</w:t>
            </w:r>
            <w:r w:rsidRPr="00F475E1">
              <w:rPr>
                <w:rFonts w:asciiTheme="majorHAnsi" w:hAnsiTheme="majorHAnsi"/>
                <w:sz w:val="20"/>
              </w:rPr>
              <w:t xml:space="preserve"> что </w:t>
            </w:r>
            <w:r w:rsidR="00F30A02" w:rsidRPr="00F475E1">
              <w:rPr>
                <w:rFonts w:asciiTheme="majorHAnsi" w:hAnsiTheme="majorHAnsi"/>
                <w:sz w:val="20"/>
              </w:rPr>
              <w:t>использование возможностей выбора</w:t>
            </w:r>
            <w:r w:rsidRPr="00F475E1">
              <w:rPr>
                <w:rFonts w:asciiTheme="majorHAnsi" w:hAnsiTheme="majorHAnsi"/>
                <w:sz w:val="20"/>
              </w:rPr>
              <w:t xml:space="preserve"> в одном секторе </w:t>
            </w:r>
            <w:r w:rsidR="00F30A02" w:rsidRPr="00F475E1">
              <w:rPr>
                <w:rFonts w:asciiTheme="majorHAnsi" w:hAnsiTheme="majorHAnsi"/>
                <w:sz w:val="20"/>
              </w:rPr>
              <w:t>мо</w:t>
            </w:r>
            <w:r w:rsidR="00585E05" w:rsidRPr="00F475E1">
              <w:rPr>
                <w:rFonts w:asciiTheme="majorHAnsi" w:hAnsiTheme="majorHAnsi"/>
                <w:sz w:val="20"/>
              </w:rPr>
              <w:t>жет</w:t>
            </w:r>
            <w:r w:rsidRPr="00F475E1">
              <w:rPr>
                <w:rFonts w:asciiTheme="majorHAnsi" w:hAnsiTheme="majorHAnsi"/>
                <w:sz w:val="20"/>
              </w:rPr>
              <w:t>часто отража</w:t>
            </w:r>
            <w:r w:rsidR="00585E05" w:rsidRPr="00F475E1">
              <w:rPr>
                <w:rFonts w:asciiTheme="majorHAnsi" w:hAnsiTheme="majorHAnsi"/>
                <w:sz w:val="20"/>
              </w:rPr>
              <w:t>ться</w:t>
            </w:r>
            <w:r w:rsidR="00F30A02" w:rsidRPr="00F475E1">
              <w:rPr>
                <w:rFonts w:asciiTheme="majorHAnsi" w:hAnsiTheme="majorHAnsi"/>
                <w:sz w:val="20"/>
              </w:rPr>
              <w:t>в других секторах</w:t>
            </w:r>
            <w:r w:rsidRPr="00F475E1">
              <w:rPr>
                <w:rFonts w:asciiTheme="majorHAnsi" w:hAnsiTheme="majorHAnsi"/>
                <w:sz w:val="20"/>
              </w:rPr>
              <w:t xml:space="preserve">. В регионах, которые сильно зависят от гидроэнергетики, энергетическая безопасность зависит от наличия воды. </w:t>
            </w:r>
            <w:r w:rsidR="00585E05" w:rsidRPr="00F475E1">
              <w:rPr>
                <w:rFonts w:asciiTheme="majorHAnsi" w:hAnsiTheme="majorHAnsi"/>
                <w:sz w:val="20"/>
              </w:rPr>
              <w:t>В</w:t>
            </w:r>
            <w:r w:rsidRPr="00F475E1">
              <w:rPr>
                <w:rFonts w:asciiTheme="majorHAnsi" w:hAnsiTheme="majorHAnsi"/>
                <w:sz w:val="20"/>
              </w:rPr>
              <w:t>одный сектор</w:t>
            </w:r>
            <w:r w:rsidR="00585E05" w:rsidRPr="00F475E1">
              <w:rPr>
                <w:rFonts w:asciiTheme="majorHAnsi" w:hAnsiTheme="majorHAnsi"/>
                <w:sz w:val="20"/>
              </w:rPr>
              <w:t xml:space="preserve"> также</w:t>
            </w:r>
            <w:r w:rsidRPr="00F475E1">
              <w:rPr>
                <w:rFonts w:asciiTheme="majorHAnsi" w:hAnsiTheme="majorHAnsi"/>
                <w:sz w:val="20"/>
              </w:rPr>
              <w:t xml:space="preserve"> требует энергии для </w:t>
            </w:r>
            <w:r w:rsidR="00585E05" w:rsidRPr="00F475E1">
              <w:rPr>
                <w:rFonts w:asciiTheme="majorHAnsi" w:hAnsiTheme="majorHAnsi"/>
                <w:sz w:val="20"/>
              </w:rPr>
              <w:t>обогащения</w:t>
            </w:r>
            <w:r w:rsidRPr="00F475E1">
              <w:rPr>
                <w:rFonts w:asciiTheme="majorHAnsi" w:hAnsiTheme="majorHAnsi"/>
                <w:sz w:val="20"/>
              </w:rPr>
              <w:t xml:space="preserve"> и </w:t>
            </w:r>
            <w:r w:rsidR="00585E05" w:rsidRPr="00F475E1">
              <w:rPr>
                <w:rFonts w:asciiTheme="majorHAnsi" w:hAnsiTheme="majorHAnsi"/>
                <w:sz w:val="20"/>
              </w:rPr>
              <w:t>перемещения воды</w:t>
            </w:r>
            <w:r w:rsidRPr="00F475E1">
              <w:rPr>
                <w:rFonts w:asciiTheme="majorHAnsi" w:hAnsiTheme="majorHAnsi"/>
                <w:sz w:val="20"/>
              </w:rPr>
              <w:t xml:space="preserve">. Политики должны </w:t>
            </w:r>
            <w:r w:rsidR="008B0A8C" w:rsidRPr="00F475E1">
              <w:rPr>
                <w:rFonts w:asciiTheme="majorHAnsi" w:hAnsiTheme="majorHAnsi"/>
                <w:sz w:val="20"/>
              </w:rPr>
              <w:t>принимать во внимание</w:t>
            </w:r>
            <w:r w:rsidRPr="00F475E1">
              <w:rPr>
                <w:rFonts w:asciiTheme="majorHAnsi" w:hAnsiTheme="majorHAnsi"/>
                <w:sz w:val="20"/>
              </w:rPr>
              <w:t xml:space="preserve"> меняющуюся динамику в каждом секторе, а также</w:t>
            </w:r>
            <w:r w:rsidR="008B0A8C" w:rsidRPr="00F475E1">
              <w:rPr>
                <w:rFonts w:asciiTheme="majorHAnsi" w:hAnsiTheme="majorHAnsi"/>
                <w:sz w:val="20"/>
              </w:rPr>
              <w:t xml:space="preserve"> в сфере</w:t>
            </w:r>
            <w:r w:rsidR="0096602E" w:rsidRPr="0096602E">
              <w:rPr>
                <w:rFonts w:asciiTheme="majorHAnsi" w:hAnsiTheme="majorHAnsi"/>
                <w:sz w:val="20"/>
              </w:rPr>
              <w:t xml:space="preserve"> </w:t>
            </w:r>
            <w:r w:rsidRPr="00F475E1">
              <w:rPr>
                <w:rFonts w:asciiTheme="majorHAnsi" w:hAnsiTheme="majorHAnsi"/>
                <w:sz w:val="20"/>
              </w:rPr>
              <w:t>межсекторального взаимодействия и компромисса - так называемая «</w:t>
            </w:r>
            <w:r w:rsidR="008B0A8C" w:rsidRPr="00F475E1">
              <w:rPr>
                <w:rFonts w:asciiTheme="majorHAnsi" w:hAnsiTheme="majorHAnsi"/>
                <w:sz w:val="20"/>
              </w:rPr>
              <w:t>Взаимосвязь воды и энергии</w:t>
            </w:r>
            <w:r w:rsidRPr="00F475E1">
              <w:rPr>
                <w:rFonts w:asciiTheme="majorHAnsi" w:hAnsiTheme="majorHAnsi"/>
                <w:sz w:val="20"/>
              </w:rPr>
              <w:t>". Стокгольмский институт окружающей среды работает на</w:t>
            </w:r>
            <w:r w:rsidR="008B0A8C" w:rsidRPr="00F475E1">
              <w:rPr>
                <w:rFonts w:asciiTheme="majorHAnsi" w:hAnsiTheme="majorHAnsi"/>
                <w:sz w:val="20"/>
              </w:rPr>
              <w:t>д</w:t>
            </w:r>
            <w:r w:rsidR="00405C53" w:rsidRPr="00F475E1">
              <w:rPr>
                <w:rFonts w:asciiTheme="majorHAnsi" w:hAnsiTheme="majorHAnsi"/>
                <w:sz w:val="20"/>
              </w:rPr>
              <w:t>разработкой платформы</w:t>
            </w:r>
            <w:r w:rsidRPr="00F475E1">
              <w:rPr>
                <w:rFonts w:asciiTheme="majorHAnsi" w:hAnsiTheme="majorHAnsi"/>
                <w:sz w:val="20"/>
              </w:rPr>
              <w:t xml:space="preserve">количественного моделирования "WEAP - </w:t>
            </w:r>
            <w:r w:rsidR="00405C53" w:rsidRPr="00F475E1">
              <w:rPr>
                <w:rFonts w:asciiTheme="majorHAnsi" w:hAnsiTheme="majorHAnsi"/>
                <w:sz w:val="20"/>
              </w:rPr>
              <w:t>LEAP</w:t>
            </w:r>
            <w:r w:rsidRPr="00F475E1">
              <w:rPr>
                <w:rFonts w:asciiTheme="majorHAnsi" w:hAnsiTheme="majorHAnsi"/>
                <w:sz w:val="20"/>
              </w:rPr>
              <w:t xml:space="preserve">", </w:t>
            </w:r>
            <w:r w:rsidR="00405C53" w:rsidRPr="00F475E1">
              <w:rPr>
                <w:rFonts w:asciiTheme="majorHAnsi" w:hAnsiTheme="majorHAnsi"/>
                <w:sz w:val="20"/>
              </w:rPr>
              <w:t>с целью применения на практике концепции взаимосвязи</w:t>
            </w:r>
            <w:r w:rsidRPr="00F475E1">
              <w:rPr>
                <w:rFonts w:asciiTheme="majorHAnsi" w:hAnsiTheme="majorHAnsi"/>
                <w:sz w:val="20"/>
              </w:rPr>
              <w:t>.</w:t>
            </w:r>
          </w:p>
          <w:p w:rsidR="00483CF7" w:rsidRPr="00F475E1" w:rsidRDefault="00483CF7" w:rsidP="008A2346">
            <w:pPr>
              <w:rPr>
                <w:rFonts w:asciiTheme="majorHAnsi" w:hAnsiTheme="majorHAnsi"/>
                <w:sz w:val="20"/>
              </w:rPr>
            </w:pPr>
          </w:p>
          <w:p w:rsidR="004F0817" w:rsidRPr="00F475E1" w:rsidRDefault="004F0817" w:rsidP="00B902C3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Система оценки водных ресурсов и планирования используется в 170 странах для комплексного планирования водных ресурсов. </w:t>
            </w:r>
            <w:r w:rsidR="00085CE8" w:rsidRPr="00F475E1">
              <w:rPr>
                <w:rFonts w:asciiTheme="majorHAnsi" w:hAnsiTheme="majorHAnsi"/>
                <w:sz w:val="20"/>
              </w:rPr>
              <w:t>Обе м</w:t>
            </w:r>
            <w:r w:rsidRPr="00F475E1">
              <w:rPr>
                <w:rFonts w:asciiTheme="majorHAnsi" w:hAnsiTheme="majorHAnsi"/>
                <w:sz w:val="20"/>
              </w:rPr>
              <w:t>одели WEAP</w:t>
            </w:r>
            <w:r w:rsidR="00F16096" w:rsidRPr="00F475E1">
              <w:rPr>
                <w:rFonts w:asciiTheme="majorHAnsi" w:hAnsiTheme="majorHAnsi"/>
                <w:sz w:val="20"/>
              </w:rPr>
              <w:t>,</w:t>
            </w:r>
            <w:r w:rsidR="0096602E" w:rsidRPr="0096602E">
              <w:rPr>
                <w:rFonts w:asciiTheme="majorHAnsi" w:hAnsiTheme="majorHAnsi"/>
                <w:sz w:val="20"/>
              </w:rPr>
              <w:t xml:space="preserve"> </w:t>
            </w:r>
            <w:r w:rsidR="00085CE8" w:rsidRPr="00F475E1">
              <w:rPr>
                <w:rFonts w:asciiTheme="majorHAnsi" w:hAnsiTheme="majorHAnsi"/>
                <w:sz w:val="20"/>
              </w:rPr>
              <w:t xml:space="preserve">как </w:t>
            </w:r>
            <w:r w:rsidRPr="00F475E1">
              <w:rPr>
                <w:rFonts w:asciiTheme="majorHAnsi" w:hAnsiTheme="majorHAnsi"/>
                <w:sz w:val="20"/>
              </w:rPr>
              <w:t>водопотребности</w:t>
            </w:r>
            <w:r w:rsidR="00085CE8" w:rsidRPr="00F475E1">
              <w:rPr>
                <w:rFonts w:asciiTheme="majorHAnsi" w:hAnsiTheme="majorHAnsi"/>
                <w:sz w:val="20"/>
              </w:rPr>
              <w:t xml:space="preserve"> так</w:t>
            </w:r>
            <w:r w:rsidRPr="00F475E1">
              <w:rPr>
                <w:rFonts w:asciiTheme="majorHAnsi" w:hAnsiTheme="majorHAnsi"/>
                <w:sz w:val="20"/>
              </w:rPr>
              <w:t xml:space="preserve"> и водоснабжения</w:t>
            </w:r>
            <w:r w:rsidR="00F16096" w:rsidRPr="00F475E1">
              <w:rPr>
                <w:rFonts w:asciiTheme="majorHAnsi" w:hAnsiTheme="majorHAnsi"/>
                <w:sz w:val="20"/>
              </w:rPr>
              <w:t>,</w:t>
            </w:r>
            <w:r w:rsidRPr="00F475E1">
              <w:rPr>
                <w:rFonts w:asciiTheme="majorHAnsi" w:hAnsiTheme="majorHAnsi"/>
                <w:sz w:val="20"/>
              </w:rPr>
              <w:t xml:space="preserve"> имитируют </w:t>
            </w:r>
            <w:r w:rsidR="00085CE8" w:rsidRPr="00F475E1">
              <w:rPr>
                <w:rFonts w:asciiTheme="majorHAnsi" w:hAnsiTheme="majorHAnsi"/>
                <w:sz w:val="20"/>
              </w:rPr>
              <w:t>реальную политику, приоритеты и предпочтения.</w:t>
            </w:r>
            <w:r w:rsidR="00A83E7E" w:rsidRPr="00F475E1">
              <w:rPr>
                <w:rFonts w:asciiTheme="majorHAnsi" w:hAnsiTheme="majorHAnsi"/>
                <w:sz w:val="20"/>
              </w:rPr>
              <w:t xml:space="preserve"> Система долгосрочного планирования энергетических альтернатив (LEAP) используется более чем в 190 странах мира, представляет собой мощное, универсальное программное обеспечение для </w:t>
            </w:r>
            <w:r w:rsidR="0024109C" w:rsidRPr="00F475E1">
              <w:rPr>
                <w:rFonts w:asciiTheme="majorHAnsi" w:hAnsiTheme="majorHAnsi"/>
                <w:sz w:val="20"/>
              </w:rPr>
              <w:t>интегрированной</w:t>
            </w:r>
            <w:r w:rsidR="00A83E7E" w:rsidRPr="00F475E1">
              <w:rPr>
                <w:rFonts w:asciiTheme="majorHAnsi" w:hAnsiTheme="majorHAnsi"/>
                <w:sz w:val="20"/>
              </w:rPr>
              <w:t xml:space="preserve"> энергет</w:t>
            </w:r>
            <w:r w:rsidR="0024109C" w:rsidRPr="00F475E1">
              <w:rPr>
                <w:rFonts w:asciiTheme="majorHAnsi" w:hAnsiTheme="majorHAnsi"/>
                <w:sz w:val="20"/>
              </w:rPr>
              <w:t>ики</w:t>
            </w:r>
            <w:r w:rsidR="00A83E7E" w:rsidRPr="00F475E1">
              <w:rPr>
                <w:rFonts w:asciiTheme="majorHAnsi" w:hAnsiTheme="majorHAnsi"/>
                <w:sz w:val="20"/>
              </w:rPr>
              <w:t xml:space="preserve"> и </w:t>
            </w:r>
            <w:r w:rsidR="0024109C" w:rsidRPr="00F475E1">
              <w:rPr>
                <w:rFonts w:asciiTheme="majorHAnsi" w:hAnsiTheme="majorHAnsi"/>
                <w:sz w:val="20"/>
              </w:rPr>
              <w:t xml:space="preserve">планирования </w:t>
            </w:r>
            <w:r w:rsidR="00A83E7E" w:rsidRPr="00F475E1">
              <w:rPr>
                <w:rFonts w:asciiTheme="majorHAnsi" w:hAnsiTheme="majorHAnsi"/>
                <w:sz w:val="20"/>
              </w:rPr>
              <w:t>уменьшения выбросов парниковых газов.</w:t>
            </w:r>
            <w:r w:rsidR="00B902C3" w:rsidRPr="00F475E1">
              <w:rPr>
                <w:rFonts w:asciiTheme="majorHAnsi" w:hAnsiTheme="majorHAnsi"/>
                <w:sz w:val="20"/>
              </w:rPr>
              <w:t>Она широко используется для оценки энергетических ресурсов и стратегии развития при низком уровне выбросов (LEDs),</w:t>
            </w:r>
            <w:r w:rsidR="00F15FFD" w:rsidRPr="00F475E1">
              <w:rPr>
                <w:rFonts w:asciiTheme="majorHAnsi" w:hAnsiTheme="majorHAnsi"/>
                <w:sz w:val="20"/>
              </w:rPr>
              <w:t xml:space="preserve"> и применяется в десятках Национальных Сообщениях по изменению климата Организации Объединенных Наций</w:t>
            </w:r>
            <w:r w:rsidR="00995FF4" w:rsidRPr="00F475E1">
              <w:rPr>
                <w:rFonts w:asciiTheme="majorHAnsi" w:hAnsiTheme="majorHAnsi"/>
                <w:sz w:val="20"/>
              </w:rPr>
              <w:t>.</w:t>
            </w:r>
          </w:p>
          <w:p w:rsidR="008A2346" w:rsidRPr="00F475E1" w:rsidRDefault="008A2346" w:rsidP="008A2346">
            <w:pPr>
              <w:rPr>
                <w:rFonts w:asciiTheme="majorHAnsi" w:hAnsiTheme="majorHAnsi"/>
                <w:b/>
                <w:sz w:val="20"/>
              </w:rPr>
            </w:pPr>
          </w:p>
        </w:tc>
      </w:tr>
    </w:tbl>
    <w:p w:rsidR="008A2346" w:rsidRPr="00F475E1" w:rsidRDefault="008A2346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974341" w:rsidRPr="00F475E1" w:rsidRDefault="00974341" w:rsidP="007B706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Стенд № </w:t>
            </w:r>
            <w:r w:rsidR="007B7066" w:rsidRPr="00F475E1">
              <w:rPr>
                <w:rFonts w:asciiTheme="majorHAnsi" w:hAnsiTheme="majorHAnsi"/>
                <w:b/>
                <w:sz w:val="20"/>
              </w:rPr>
              <w:t>2</w:t>
            </w:r>
          </w:p>
        </w:tc>
        <w:tc>
          <w:tcPr>
            <w:tcW w:w="4678" w:type="dxa"/>
          </w:tcPr>
          <w:p w:rsidR="00974341" w:rsidRPr="00F475E1" w:rsidRDefault="00265EB8" w:rsidP="0057593C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974341" w:rsidRPr="00F475E1">
              <w:rPr>
                <w:rFonts w:asciiTheme="majorHAnsi" w:hAnsiTheme="majorHAnsi"/>
                <w:b/>
                <w:sz w:val="20"/>
              </w:rPr>
              <w:t>Томмасо</w:t>
            </w:r>
            <w:r w:rsidR="0096602E" w:rsidRPr="0096602E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974341" w:rsidRPr="00F475E1">
              <w:rPr>
                <w:rFonts w:asciiTheme="majorHAnsi" w:hAnsiTheme="majorHAnsi"/>
                <w:b/>
                <w:sz w:val="20"/>
              </w:rPr>
              <w:t>Абрате (ВМО)</w:t>
            </w:r>
          </w:p>
        </w:tc>
        <w:tc>
          <w:tcPr>
            <w:tcW w:w="3569" w:type="dxa"/>
          </w:tcPr>
          <w:p w:rsidR="00725111" w:rsidRPr="00F475E1" w:rsidRDefault="00974341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Языки: русский и испанский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207C5A" w:rsidRPr="00F475E1" w:rsidRDefault="00995FF4" w:rsidP="00207C5A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Глобальная рамочная основа для климатического обслуживания</w:t>
            </w:r>
          </w:p>
          <w:p w:rsidR="00995FF4" w:rsidRPr="00F475E1" w:rsidRDefault="00995FF4" w:rsidP="00207C5A">
            <w:pPr>
              <w:rPr>
                <w:rFonts w:asciiTheme="majorHAnsi" w:hAnsiTheme="majorHAnsi"/>
                <w:b/>
                <w:sz w:val="20"/>
              </w:rPr>
            </w:pPr>
          </w:p>
          <w:p w:rsidR="006F5130" w:rsidRPr="00F475E1" w:rsidRDefault="00995FF4" w:rsidP="006F5130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Глобальная рамочная основа для климатического обслуживания (ГОКО) </w:t>
            </w:r>
            <w:r w:rsidR="006F5130" w:rsidRPr="00F475E1">
              <w:rPr>
                <w:rFonts w:asciiTheme="majorHAnsi" w:hAnsiTheme="majorHAnsi"/>
                <w:sz w:val="20"/>
              </w:rPr>
              <w:t>представляет собой глобальное партнерство правительств и организаций, которые производят и используют климатическую информацию и обслуживание. Она призвана дать возможность исследователям, а также производителям и пользователям информации объединить свои усилия для улучшения качества и количества климатического обслуживания по всему миру, и особенно в развивающихся странах.</w:t>
            </w:r>
          </w:p>
          <w:p w:rsidR="006D374C" w:rsidRPr="00F475E1" w:rsidRDefault="00207C5A" w:rsidP="00207C5A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br/>
            </w:r>
            <w:r w:rsidR="006D374C" w:rsidRPr="00F475E1">
              <w:rPr>
                <w:rFonts w:asciiTheme="majorHAnsi" w:hAnsiTheme="majorHAnsi"/>
                <w:sz w:val="20"/>
              </w:rPr>
              <w:t>Целями ГОКО являются:</w:t>
            </w:r>
          </w:p>
          <w:p w:rsidR="006D374C" w:rsidRPr="00F475E1" w:rsidRDefault="006D374C" w:rsidP="00207C5A">
            <w:pPr>
              <w:rPr>
                <w:rFonts w:asciiTheme="majorHAnsi" w:hAnsiTheme="majorHAnsi"/>
                <w:sz w:val="20"/>
              </w:rPr>
            </w:pPr>
          </w:p>
          <w:p w:rsidR="006D374C" w:rsidRPr="00F475E1" w:rsidRDefault="006D374C" w:rsidP="00861077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Снижение уязвимости общества</w:t>
            </w:r>
            <w:r w:rsidR="00861077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кклиматически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опасным явлениям посредством улучшения климатического обслуживания</w:t>
            </w:r>
            <w:r w:rsidR="00861077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;</w:t>
            </w:r>
          </w:p>
          <w:p w:rsidR="006D374C" w:rsidRPr="00F475E1" w:rsidRDefault="006D374C" w:rsidP="006D374C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Продвижение ключевых глобальных целей в области развития посредством улучшения климатического обслуживания;</w:t>
            </w:r>
          </w:p>
          <w:p w:rsidR="00861077" w:rsidRPr="00F475E1" w:rsidRDefault="00861077" w:rsidP="00861077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Актуализация использования климатической информации в принятии решений. Содействие более качественному получению, пониманию и осознанию потребности в климатической информации</w:t>
            </w:r>
            <w:r w:rsidR="000508E8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и климатического обслуживания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;</w:t>
            </w:r>
            <w:r w:rsidR="003C2FF0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представление пользы услуг с социально-экономической точки зрения, безопасности и с точки зрения устойчивости;</w:t>
            </w:r>
          </w:p>
          <w:p w:rsidR="003C2FF0" w:rsidRPr="00F475E1" w:rsidRDefault="003C2FF0" w:rsidP="003C2FF0">
            <w:pPr>
              <w:pStyle w:val="a8"/>
              <w:numPr>
                <w:ilvl w:val="0"/>
                <w:numId w:val="5"/>
              </w:numPr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Укрепление взаимодействия поставщиков и пользователей климатического обслуживания. Построение отношений между поставщиками и пользователями климатического обслуживания</w:t>
            </w:r>
            <w:r w:rsidR="007B7066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,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как на техническом уровне, так и на уровне принятия решений; а также</w:t>
            </w:r>
          </w:p>
          <w:p w:rsidR="00725111" w:rsidRPr="00F475E1" w:rsidRDefault="000508E8" w:rsidP="004C5405">
            <w:pPr>
              <w:pStyle w:val="a8"/>
              <w:numPr>
                <w:ilvl w:val="0"/>
                <w:numId w:val="5"/>
              </w:numPr>
              <w:rPr>
                <w:rFonts w:asciiTheme="majorHAnsi" w:hAnsiTheme="majorHAnsi"/>
                <w:color w:val="000000"/>
                <w:sz w:val="20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Повышение </w:t>
            </w:r>
            <w:r w:rsidR="0088469B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эффективности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существующей инфраструктуры климатического обсл</w:t>
            </w:r>
            <w:r w:rsidR="003C2FF0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уживания. Улучшение координации, 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укреплени</w:t>
            </w:r>
            <w:r w:rsidR="003C2FF0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е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и создани</w:t>
            </w:r>
            <w:r w:rsidR="003C2FF0"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е</w:t>
            </w: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 xml:space="preserve"> такой инфраструктурыпри необходимости</w:t>
            </w: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88469B" w:rsidRPr="00F475E1" w:rsidRDefault="0088469B" w:rsidP="007B706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Стенд № </w:t>
            </w:r>
            <w:r w:rsidR="007B7066" w:rsidRPr="00F475E1">
              <w:rPr>
                <w:rFonts w:asciiTheme="majorHAnsi" w:hAnsiTheme="majorHAnsi"/>
                <w:b/>
                <w:sz w:val="20"/>
              </w:rPr>
              <w:t>3</w:t>
            </w:r>
          </w:p>
        </w:tc>
        <w:tc>
          <w:tcPr>
            <w:tcW w:w="4678" w:type="dxa"/>
          </w:tcPr>
          <w:p w:rsidR="0088469B" w:rsidRPr="00F475E1" w:rsidRDefault="00265EB8" w:rsidP="0057593C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88469B" w:rsidRPr="00F475E1">
              <w:rPr>
                <w:rFonts w:asciiTheme="majorHAnsi" w:hAnsiTheme="majorHAnsi"/>
                <w:b/>
                <w:sz w:val="20"/>
              </w:rPr>
              <w:t>Кэролайн Салливан, SouthernCrossUniversity, NSW Australia</w:t>
            </w:r>
          </w:p>
        </w:tc>
        <w:tc>
          <w:tcPr>
            <w:tcW w:w="3569" w:type="dxa"/>
          </w:tcPr>
          <w:p w:rsidR="00725111" w:rsidRPr="00F475E1" w:rsidRDefault="0088469B" w:rsidP="0088469B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Язык: английский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F716E3" w:rsidRPr="00F475E1" w:rsidRDefault="00653EE0" w:rsidP="00F716E3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Индекс климатической уязвимости (</w:t>
            </w:r>
            <w:r w:rsidR="007B7066" w:rsidRPr="00F475E1">
              <w:rPr>
                <w:rFonts w:asciiTheme="majorHAnsi" w:hAnsiTheme="majorHAnsi"/>
                <w:b/>
                <w:sz w:val="20"/>
              </w:rPr>
              <w:t>ИКУ</w:t>
            </w:r>
            <w:r w:rsidRPr="00F475E1">
              <w:rPr>
                <w:rFonts w:asciiTheme="majorHAnsi" w:hAnsiTheme="majorHAnsi"/>
                <w:b/>
                <w:sz w:val="20"/>
              </w:rPr>
              <w:t>)</w:t>
            </w:r>
          </w:p>
          <w:p w:rsidR="007B7066" w:rsidRPr="00F475E1" w:rsidRDefault="007B7066" w:rsidP="00F716E3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</w:p>
          <w:p w:rsidR="00653EE0" w:rsidRPr="00F475E1" w:rsidRDefault="00653EE0" w:rsidP="00F716E3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>Климат Земли тесно связан с и ее гидрологическим циклом. Индекс климатической уязвимости (</w:t>
            </w:r>
            <w:r w:rsidR="0088469B" w:rsidRPr="00F475E1">
              <w:rPr>
                <w:rFonts w:asciiTheme="majorHAnsi" w:hAnsiTheme="majorHAnsi"/>
                <w:sz w:val="20"/>
              </w:rPr>
              <w:t>Sullivanand</w:t>
            </w:r>
            <w:r w:rsidR="0096602E" w:rsidRPr="0096602E">
              <w:rPr>
                <w:rFonts w:asciiTheme="majorHAnsi" w:hAnsiTheme="majorHAnsi"/>
                <w:sz w:val="20"/>
              </w:rPr>
              <w:t xml:space="preserve"> </w:t>
            </w:r>
            <w:r w:rsidR="0088469B" w:rsidRPr="00F475E1">
              <w:rPr>
                <w:rFonts w:asciiTheme="majorHAnsi" w:hAnsiTheme="majorHAnsi"/>
                <w:sz w:val="20"/>
              </w:rPr>
              <w:t>Meigh, 2005</w:t>
            </w:r>
            <w:r w:rsidRPr="00F475E1">
              <w:rPr>
                <w:rFonts w:asciiTheme="majorHAnsi" w:hAnsiTheme="majorHAnsi"/>
                <w:sz w:val="20"/>
              </w:rPr>
              <w:t xml:space="preserve">)представляет собой целостный и междисциплинарный инструмент, разработанный для обеспечения более четкого понимания того, как воздействие климата на </w:t>
            </w:r>
            <w:r w:rsidR="0088469B" w:rsidRPr="00F475E1">
              <w:rPr>
                <w:rFonts w:asciiTheme="majorHAnsi" w:hAnsiTheme="majorHAnsi"/>
                <w:sz w:val="20"/>
              </w:rPr>
              <w:t>водные ресурсы, вероятно, влияет</w:t>
            </w:r>
            <w:r w:rsidRPr="00F475E1">
              <w:rPr>
                <w:rFonts w:asciiTheme="majorHAnsi" w:hAnsiTheme="majorHAnsi"/>
                <w:sz w:val="20"/>
              </w:rPr>
              <w:t xml:space="preserve"> на человеческое население.</w:t>
            </w:r>
          </w:p>
          <w:p w:rsidR="009A4DF5" w:rsidRPr="00F475E1" w:rsidRDefault="009A4DF5" w:rsidP="00F716E3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>Индекс климатической уязвимости (ИКУ) разработан как простой в использовании инструмент, который может быть получен в основном из существующих данных. Структурирован как сводный индекс, он обеспечивает средства, с помощью</w:t>
            </w:r>
            <w:r w:rsidR="007B7066" w:rsidRPr="00F475E1">
              <w:rPr>
                <w:rFonts w:asciiTheme="majorHAnsi" w:hAnsiTheme="majorHAnsi"/>
                <w:sz w:val="20"/>
              </w:rPr>
              <w:t xml:space="preserve"> которых</w:t>
            </w:r>
            <w:r w:rsidRPr="00F475E1">
              <w:rPr>
                <w:rFonts w:asciiTheme="majorHAnsi" w:hAnsiTheme="majorHAnsi"/>
                <w:sz w:val="20"/>
              </w:rPr>
              <w:t xml:space="preserve"> может быть отображено распределение воздействий климата связанных с водой на людей.</w:t>
            </w:r>
            <w:r w:rsidR="007B7066" w:rsidRPr="00F475E1">
              <w:rPr>
                <w:rFonts w:asciiTheme="majorHAnsi" w:hAnsiTheme="majorHAnsi"/>
                <w:sz w:val="20"/>
              </w:rPr>
              <w:t xml:space="preserve"> Это означает, что ресурсы могут быть направлены на те области, где меры по адаптации наиболее необходимы, и, вероятно, оказывают самое большое влияние.</w:t>
            </w:r>
          </w:p>
          <w:p w:rsidR="009A4DF5" w:rsidRPr="00F475E1" w:rsidRDefault="009A4DF5" w:rsidP="00F716E3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>Индекс климатической уязвимости</w:t>
            </w:r>
            <w:r w:rsidR="00214B12" w:rsidRPr="00F475E1">
              <w:rPr>
                <w:rFonts w:asciiTheme="majorHAnsi" w:hAnsiTheme="majorHAnsi"/>
                <w:sz w:val="20"/>
              </w:rPr>
              <w:t xml:space="preserve"> учитывает широкий спектр соответствующих факторов объединенных в кластеры по 6 основных компонентов, которые</w:t>
            </w:r>
            <w:r w:rsidR="00F16096" w:rsidRPr="00F475E1">
              <w:rPr>
                <w:rFonts w:asciiTheme="majorHAnsi" w:hAnsiTheme="majorHAnsi"/>
                <w:sz w:val="20"/>
              </w:rPr>
              <w:t xml:space="preserve"> называются глобальными</w:t>
            </w:r>
            <w:r w:rsidR="00214B12" w:rsidRPr="00F475E1">
              <w:rPr>
                <w:rFonts w:asciiTheme="majorHAnsi" w:hAnsiTheme="majorHAnsi"/>
                <w:sz w:val="20"/>
              </w:rPr>
              <w:t xml:space="preserve"> фактор</w:t>
            </w:r>
            <w:r w:rsidR="00F16096" w:rsidRPr="00F475E1">
              <w:rPr>
                <w:rFonts w:asciiTheme="majorHAnsi" w:hAnsiTheme="majorHAnsi"/>
                <w:sz w:val="20"/>
              </w:rPr>
              <w:t>ами</w:t>
            </w:r>
            <w:r w:rsidR="00214B12" w:rsidRPr="00F475E1">
              <w:rPr>
                <w:rFonts w:asciiTheme="majorHAnsi" w:hAnsiTheme="majorHAnsi"/>
                <w:sz w:val="20"/>
              </w:rPr>
              <w:t xml:space="preserve"> воздействия. К ним относятся:</w:t>
            </w:r>
          </w:p>
          <w:p w:rsidR="00F716E3" w:rsidRPr="00F475E1" w:rsidRDefault="0088469B" w:rsidP="00F716E3">
            <w:pPr>
              <w:pStyle w:val="aa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Геопространственная изменчивость,</w:t>
            </w:r>
          </w:p>
          <w:p w:rsidR="00F716E3" w:rsidRPr="00F475E1" w:rsidRDefault="0088469B" w:rsidP="00F716E3">
            <w:pPr>
              <w:pStyle w:val="aa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Количественная оценка ресурсов,</w:t>
            </w:r>
          </w:p>
          <w:p w:rsidR="00F716E3" w:rsidRPr="00F475E1" w:rsidRDefault="0088469B" w:rsidP="00F716E3">
            <w:pPr>
              <w:pStyle w:val="aa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Доступность и имущественные права,</w:t>
            </w:r>
          </w:p>
          <w:p w:rsidR="00F716E3" w:rsidRPr="00F475E1" w:rsidRDefault="006D6538" w:rsidP="00F716E3">
            <w:pPr>
              <w:pStyle w:val="aa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Использование и экономическая эффективность,</w:t>
            </w:r>
          </w:p>
          <w:p w:rsidR="00F716E3" w:rsidRPr="00F475E1" w:rsidRDefault="006D6538" w:rsidP="006D6538">
            <w:pPr>
              <w:pStyle w:val="aa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Человеческий потенциал и потенциал учреждений,</w:t>
            </w:r>
          </w:p>
          <w:p w:rsidR="00F716E3" w:rsidRPr="00F475E1" w:rsidRDefault="006D6538" w:rsidP="006D6538">
            <w:pPr>
              <w:pStyle w:val="aa"/>
              <w:numPr>
                <w:ilvl w:val="0"/>
                <w:numId w:val="2"/>
              </w:num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</w:pPr>
            <w:r w:rsidRPr="00F475E1">
              <w:rPr>
                <w:rFonts w:asciiTheme="majorHAnsi" w:eastAsia="Times New Roman" w:hAnsiTheme="majorHAnsi" w:cs="Times New Roman"/>
                <w:sz w:val="20"/>
                <w:szCs w:val="24"/>
                <w:lang w:val="ru-RU" w:eastAsia="de-DE"/>
              </w:rPr>
              <w:t>Обеспечения экологической целостности.</w:t>
            </w:r>
          </w:p>
          <w:p w:rsidR="00214B12" w:rsidRPr="00F475E1" w:rsidRDefault="00214B12" w:rsidP="00F716E3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>После оценки основных данных текущих условий сценарии глобального изменения применяются для оценки потенциальных будущих условий. На этом рабочем семинаре индекс климатической уязвимости, примененный в Монголии, рассматривается в провинциальном масштабе.</w:t>
            </w:r>
          </w:p>
          <w:p w:rsidR="00214B12" w:rsidRPr="00F475E1" w:rsidRDefault="00214B12" w:rsidP="00F716E3">
            <w:pPr>
              <w:spacing w:after="120"/>
              <w:jc w:val="both"/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>Электронная почта: caroline.sullivan@scu.edu.au</w:t>
            </w: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725111" w:rsidRPr="00F475E1" w:rsidRDefault="00725111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StandNr 4</w:t>
            </w:r>
          </w:p>
          <w:p w:rsidR="007B7066" w:rsidRPr="00F475E1" w:rsidRDefault="007B7066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Стенд №4</w:t>
            </w:r>
          </w:p>
          <w:p w:rsidR="0057593C" w:rsidRPr="00F475E1" w:rsidRDefault="0057593C" w:rsidP="00674E08">
            <w:pPr>
              <w:rPr>
                <w:rFonts w:asciiTheme="majorHAnsi" w:hAnsiTheme="majorHAnsi"/>
                <w:b/>
                <w:i/>
                <w:color w:val="FF0000"/>
                <w:sz w:val="20"/>
              </w:rPr>
            </w:pPr>
          </w:p>
        </w:tc>
        <w:tc>
          <w:tcPr>
            <w:tcW w:w="4678" w:type="dxa"/>
          </w:tcPr>
          <w:p w:rsidR="0057593C" w:rsidRPr="00F475E1" w:rsidRDefault="00265EB8" w:rsidP="0057593C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Pr="00F475E1">
              <w:rPr>
                <w:rFonts w:asciiTheme="majorHAnsi" w:hAnsiTheme="majorHAnsi"/>
                <w:b/>
                <w:color w:val="000000" w:themeColor="text1"/>
                <w:sz w:val="20"/>
              </w:rPr>
              <w:t>Сара КОМБАЛБЕРТ, EPAMA</w:t>
            </w:r>
          </w:p>
        </w:tc>
        <w:tc>
          <w:tcPr>
            <w:tcW w:w="3569" w:type="dxa"/>
          </w:tcPr>
          <w:p w:rsidR="00725111" w:rsidRPr="00F475E1" w:rsidRDefault="00265EB8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Языки: английский и </w:t>
            </w:r>
            <w:r w:rsidR="007B7066" w:rsidRPr="00F475E1">
              <w:rPr>
                <w:rFonts w:asciiTheme="majorHAnsi" w:hAnsiTheme="majorHAnsi"/>
                <w:b/>
                <w:sz w:val="20"/>
              </w:rPr>
              <w:t>французский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2A2AA9" w:rsidRPr="00F475E1" w:rsidRDefault="002A2AA9" w:rsidP="00F716E3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Коммуникация в рамках проекта AMICE</w:t>
            </w:r>
          </w:p>
          <w:p w:rsidR="00265EB8" w:rsidRPr="00F475E1" w:rsidRDefault="00265EB8" w:rsidP="002A2AA9">
            <w:pPr>
              <w:pStyle w:val="aa"/>
              <w:ind w:left="0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szCs w:val="20"/>
                <w:lang w:val="ru-RU"/>
              </w:rPr>
              <w:t>Проект AMICE объединяет 17 европейских партнеров, принадлежащих до международного водосбора реки Мааса</w:t>
            </w:r>
            <w:r w:rsidR="00480263" w:rsidRPr="00F475E1">
              <w:rPr>
                <w:rFonts w:asciiTheme="majorHAnsi" w:hAnsiTheme="majorHAnsi"/>
                <w:sz w:val="20"/>
                <w:szCs w:val="20"/>
                <w:lang w:val="ru-RU"/>
              </w:rPr>
              <w:t>,</w:t>
            </w:r>
            <w:r w:rsidRPr="00F475E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и финансируется третьей программой Interreg IVB.</w:t>
            </w:r>
            <w:r w:rsidR="002A2AA9" w:rsidRPr="00F475E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Партнерские отношения и коммуникационная деятельность позволяют развивать культуру риска на всей шкале водосбора</w:t>
            </w:r>
            <w:r w:rsidR="00B70B12" w:rsidRPr="00F475E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реки Маас</w:t>
            </w:r>
            <w:r w:rsidR="002A2AA9" w:rsidRPr="00F475E1">
              <w:rPr>
                <w:rFonts w:asciiTheme="majorHAnsi" w:hAnsiTheme="majorHAnsi"/>
                <w:sz w:val="20"/>
                <w:szCs w:val="20"/>
                <w:lang w:val="ru-RU"/>
              </w:rPr>
              <w:t>.</w:t>
            </w:r>
          </w:p>
        </w:tc>
      </w:tr>
    </w:tbl>
    <w:p w:rsidR="004C5405" w:rsidRDefault="004C5405" w:rsidP="00453A51">
      <w:pPr>
        <w:jc w:val="center"/>
        <w:rPr>
          <w:rFonts w:asciiTheme="majorHAnsi" w:hAnsiTheme="majorHAnsi"/>
          <w:b/>
        </w:rPr>
      </w:pPr>
    </w:p>
    <w:p w:rsidR="004C5405" w:rsidRDefault="004C540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725111" w:rsidRPr="00F475E1" w:rsidRDefault="00725111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StandNr 5</w:t>
            </w:r>
          </w:p>
          <w:p w:rsidR="007B7066" w:rsidRPr="00F475E1" w:rsidRDefault="007B7066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Стенд № 5</w:t>
            </w:r>
          </w:p>
        </w:tc>
        <w:tc>
          <w:tcPr>
            <w:tcW w:w="4678" w:type="dxa"/>
          </w:tcPr>
          <w:p w:rsidR="0057593C" w:rsidRPr="00F475E1" w:rsidRDefault="00265EB8" w:rsidP="0057593C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57593C" w:rsidRPr="00F475E1">
              <w:rPr>
                <w:rFonts w:asciiTheme="majorHAnsi" w:hAnsiTheme="majorHAnsi"/>
                <w:b/>
                <w:sz w:val="20"/>
              </w:rPr>
              <w:t>Леся НИКОЛАЕВА, ZOI Environment</w:t>
            </w:r>
            <w:r w:rsidR="0096602E" w:rsidRPr="0096602E">
              <w:rPr>
                <w:rFonts w:asciiTheme="majorHAnsi" w:hAnsiTheme="majorHAnsi"/>
                <w:b/>
                <w:sz w:val="20"/>
              </w:rPr>
              <w:t xml:space="preserve"> </w:t>
            </w:r>
            <w:r w:rsidR="0057593C" w:rsidRPr="00F475E1">
              <w:rPr>
                <w:rFonts w:asciiTheme="majorHAnsi" w:hAnsiTheme="majorHAnsi"/>
                <w:b/>
                <w:sz w:val="20"/>
              </w:rPr>
              <w:t>Network</w:t>
            </w:r>
          </w:p>
        </w:tc>
        <w:tc>
          <w:tcPr>
            <w:tcW w:w="3569" w:type="dxa"/>
          </w:tcPr>
          <w:p w:rsidR="00725111" w:rsidRPr="00F475E1" w:rsidRDefault="0057593C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Языки: английский и русский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57593C" w:rsidRPr="00F475E1" w:rsidRDefault="0057593C" w:rsidP="00F716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475E1">
              <w:rPr>
                <w:rFonts w:asciiTheme="majorHAnsi" w:hAnsiTheme="majorHAnsi"/>
                <w:b/>
                <w:sz w:val="20"/>
                <w:szCs w:val="20"/>
              </w:rPr>
              <w:t>Геоинформационные системы и обмен информацией при наводнениях.</w:t>
            </w:r>
          </w:p>
          <w:p w:rsidR="0057593C" w:rsidRPr="00F475E1" w:rsidRDefault="0057593C" w:rsidP="00F716E3">
            <w:pPr>
              <w:rPr>
                <w:rFonts w:asciiTheme="majorHAnsi" w:hAnsiTheme="majorHAnsi"/>
                <w:sz w:val="20"/>
                <w:szCs w:val="20"/>
              </w:rPr>
            </w:pPr>
            <w:r w:rsidRPr="00F475E1">
              <w:rPr>
                <w:rFonts w:asciiTheme="majorHAnsi" w:hAnsiTheme="majorHAnsi"/>
                <w:sz w:val="20"/>
                <w:szCs w:val="20"/>
              </w:rPr>
              <w:t>Наличие и доступ к адекватно</w:t>
            </w:r>
            <w:r w:rsidR="007B7066" w:rsidRPr="00F475E1">
              <w:rPr>
                <w:rFonts w:asciiTheme="majorHAnsi" w:hAnsiTheme="majorHAnsi"/>
                <w:sz w:val="20"/>
                <w:szCs w:val="20"/>
              </w:rPr>
              <w:t xml:space="preserve">й и своевременной информации являются важными факторами 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>эффективного управления водными ресурсами и борьбы с наводнениями в бассейне, особенно в трансграничном контексте. Для улучшения доступа к жизненно важной информации со всего бассейна реки Днестр, была разработана географическая информационная система.</w:t>
            </w:r>
            <w:r w:rsidR="008C3593" w:rsidRPr="00F475E1">
              <w:rPr>
                <w:rStyle w:val="ad"/>
                <w:rFonts w:asciiTheme="majorHAnsi" w:hAnsiTheme="majorHAnsi"/>
                <w:sz w:val="20"/>
                <w:szCs w:val="20"/>
              </w:rPr>
              <w:footnoteReference w:id="2"/>
            </w:r>
            <w:r w:rsidRPr="00F475E1">
              <w:rPr>
                <w:rFonts w:asciiTheme="majorHAnsi" w:hAnsiTheme="majorHAnsi"/>
                <w:sz w:val="20"/>
                <w:szCs w:val="20"/>
              </w:rPr>
              <w:t xml:space="preserve"> На основании той же информации, первый в истории экологический атлас Днестра</w:t>
            </w:r>
            <w:r w:rsidR="008C3593" w:rsidRPr="00F475E1">
              <w:rPr>
                <w:rStyle w:val="ad"/>
                <w:rFonts w:asciiTheme="majorHAnsi" w:hAnsiTheme="majorHAnsi"/>
                <w:sz w:val="20"/>
                <w:szCs w:val="20"/>
              </w:rPr>
              <w:footnoteReference w:id="3"/>
            </w:r>
            <w:r w:rsidRPr="00F475E1">
              <w:rPr>
                <w:rFonts w:asciiTheme="majorHAnsi" w:hAnsiTheme="majorHAnsi"/>
                <w:sz w:val="20"/>
                <w:szCs w:val="20"/>
              </w:rPr>
              <w:t xml:space="preserve"> был опубликован в сотрудничестве с прибрежными государствами.</w:t>
            </w:r>
            <w:r w:rsidR="00927584" w:rsidRPr="00F475E1">
              <w:rPr>
                <w:rFonts w:asciiTheme="majorHAnsi" w:hAnsiTheme="majorHAnsi"/>
                <w:sz w:val="20"/>
                <w:szCs w:val="20"/>
              </w:rPr>
              <w:t xml:space="preserve"> Атлас является первой попыткой представить состояние окружающей среды данного трансграничного бассейна в визуальном формате. Он включает в себя более 30 тематических карт, графиков, диаграмм и фотографий.</w:t>
            </w:r>
          </w:p>
          <w:p w:rsidR="00F716E3" w:rsidRPr="00F475E1" w:rsidRDefault="00F716E3" w:rsidP="00F716E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131599" w:rsidRPr="00F475E1" w:rsidRDefault="00131599" w:rsidP="00F716E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75E1">
              <w:rPr>
                <w:rFonts w:asciiTheme="majorHAnsi" w:hAnsiTheme="majorHAnsi"/>
                <w:sz w:val="20"/>
                <w:szCs w:val="20"/>
              </w:rPr>
              <w:t>Так как автоматизированные гидрометеорологические данные активно используются странами, две автоматизированных станций мониторинга течения реки были установлены в верхней части бассейна. Станции будут собирать информац</w:t>
            </w:r>
            <w:r w:rsidR="00F475E1">
              <w:rPr>
                <w:rFonts w:asciiTheme="majorHAnsi" w:hAnsiTheme="majorHAnsi"/>
                <w:sz w:val="20"/>
                <w:szCs w:val="20"/>
              </w:rPr>
              <w:t>и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>ю и передавать ее непосредственно в</w:t>
            </w:r>
            <w:r w:rsidR="00ED41C8" w:rsidRPr="00F475E1">
              <w:rPr>
                <w:rFonts w:asciiTheme="majorHAnsi" w:hAnsiTheme="majorHAnsi"/>
                <w:sz w:val="20"/>
                <w:szCs w:val="20"/>
              </w:rPr>
              <w:t xml:space="preserve"> Украинское</w:t>
            </w:r>
            <w:r w:rsidR="0096602E" w:rsidRPr="009660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>Днестровско-Прутско</w:t>
            </w:r>
            <w:r w:rsidR="00ED41C8" w:rsidRPr="00F475E1">
              <w:rPr>
                <w:rFonts w:asciiTheme="majorHAnsi" w:hAnsiTheme="majorHAnsi"/>
                <w:sz w:val="20"/>
                <w:szCs w:val="20"/>
              </w:rPr>
              <w:t>е</w:t>
            </w:r>
            <w:r w:rsidR="0096602E" w:rsidRPr="0096602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>бассейново</w:t>
            </w:r>
            <w:r w:rsidR="00ED41C8" w:rsidRPr="00F475E1">
              <w:rPr>
                <w:rFonts w:asciiTheme="majorHAnsi" w:hAnsiTheme="majorHAnsi"/>
                <w:sz w:val="20"/>
                <w:szCs w:val="20"/>
              </w:rPr>
              <w:t>е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 xml:space="preserve"> управление водных ресурсов в Черновцах. В дальнейшем эта информация будет поступать в режиме реального времени и для друг</w:t>
            </w:r>
            <w:r w:rsidR="00ED41C8" w:rsidRPr="00F475E1">
              <w:rPr>
                <w:rFonts w:asciiTheme="majorHAnsi" w:hAnsiTheme="majorHAnsi"/>
                <w:sz w:val="20"/>
                <w:szCs w:val="20"/>
              </w:rPr>
              <w:t>их пользователей, в том числе для тех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>, которые расположены ниже по течению в Республике Молдова</w:t>
            </w:r>
            <w:r w:rsidR="00ED41C8" w:rsidRPr="00F475E1">
              <w:rPr>
                <w:rFonts w:asciiTheme="majorHAnsi" w:hAnsiTheme="majorHAnsi"/>
                <w:sz w:val="20"/>
                <w:szCs w:val="20"/>
              </w:rPr>
              <w:t>, в том числе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 xml:space="preserve"> и</w:t>
            </w:r>
            <w:r w:rsidR="00ED41C8" w:rsidRPr="00F475E1">
              <w:rPr>
                <w:rFonts w:asciiTheme="majorHAnsi" w:hAnsiTheme="majorHAnsi"/>
                <w:sz w:val="20"/>
                <w:szCs w:val="20"/>
              </w:rPr>
              <w:t xml:space="preserve"> длягорода Одессы с миллионным населениям.</w:t>
            </w:r>
          </w:p>
          <w:p w:rsidR="00F716E3" w:rsidRPr="00F475E1" w:rsidRDefault="00F716E3" w:rsidP="00F716E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F4400D" w:rsidRPr="00F475E1" w:rsidRDefault="00F4400D" w:rsidP="00F716E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F475E1">
              <w:rPr>
                <w:rFonts w:asciiTheme="majorHAnsi" w:hAnsiTheme="majorHAnsi"/>
                <w:sz w:val="20"/>
                <w:szCs w:val="20"/>
              </w:rPr>
              <w:t xml:space="preserve">Было проведено специальное исследование с целью оценки существующего потенциала, практик и информационных потоков, связанных с передачей данных при риске наводнения в Днестровском бассейне как на национальном, местном, так и на трансграничном уровнях. В исследовании рекомендуется улучшить способы </w:t>
            </w:r>
            <w:r w:rsidR="008C3593" w:rsidRPr="00F475E1">
              <w:rPr>
                <w:rFonts w:asciiTheme="majorHAnsi" w:hAnsiTheme="majorHAnsi"/>
                <w:sz w:val="20"/>
                <w:szCs w:val="20"/>
              </w:rPr>
              <w:t>предоставлении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 xml:space="preserve"> информации при риске наводнения и предупреждения населения в бассейне реки Днестр. Выводы обсуждались </w:t>
            </w:r>
            <w:r w:rsidR="008C3593" w:rsidRPr="00F475E1">
              <w:rPr>
                <w:rFonts w:asciiTheme="majorHAnsi" w:hAnsiTheme="majorHAnsi"/>
                <w:sz w:val="20"/>
                <w:szCs w:val="20"/>
              </w:rPr>
              <w:t xml:space="preserve">в ходе 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>специально</w:t>
            </w:r>
            <w:r w:rsidR="008C3593" w:rsidRPr="00F475E1">
              <w:rPr>
                <w:rFonts w:asciiTheme="majorHAnsi" w:hAnsiTheme="majorHAnsi"/>
                <w:sz w:val="20"/>
                <w:szCs w:val="20"/>
              </w:rPr>
              <w:t>го</w:t>
            </w:r>
            <w:r w:rsidRPr="00F475E1">
              <w:rPr>
                <w:rFonts w:asciiTheme="majorHAnsi" w:hAnsiTheme="majorHAnsi"/>
                <w:sz w:val="20"/>
                <w:szCs w:val="20"/>
              </w:rPr>
              <w:t xml:space="preserve"> рабо</w:t>
            </w:r>
            <w:r w:rsidR="00410875" w:rsidRPr="00F475E1">
              <w:rPr>
                <w:rFonts w:asciiTheme="majorHAnsi" w:hAnsiTheme="majorHAnsi"/>
                <w:sz w:val="20"/>
                <w:szCs w:val="20"/>
              </w:rPr>
              <w:t>че</w:t>
            </w:r>
            <w:r w:rsidR="008C3593" w:rsidRPr="00F475E1">
              <w:rPr>
                <w:rFonts w:asciiTheme="majorHAnsi" w:hAnsiTheme="majorHAnsi"/>
                <w:sz w:val="20"/>
                <w:szCs w:val="20"/>
              </w:rPr>
              <w:t>го</w:t>
            </w:r>
            <w:r w:rsidR="00410875" w:rsidRPr="00F475E1">
              <w:rPr>
                <w:rFonts w:asciiTheme="majorHAnsi" w:hAnsiTheme="majorHAnsi"/>
                <w:sz w:val="20"/>
                <w:szCs w:val="20"/>
              </w:rPr>
              <w:t xml:space="preserve"> семинар</w:t>
            </w:r>
            <w:r w:rsidR="008C3593" w:rsidRPr="00F475E1">
              <w:rPr>
                <w:rFonts w:asciiTheme="majorHAnsi" w:hAnsiTheme="majorHAnsi"/>
                <w:sz w:val="20"/>
                <w:szCs w:val="20"/>
              </w:rPr>
              <w:t>а</w:t>
            </w:r>
            <w:r w:rsidR="00410875" w:rsidRPr="00F475E1">
              <w:rPr>
                <w:rFonts w:asciiTheme="majorHAnsi" w:hAnsiTheme="majorHAnsi"/>
                <w:sz w:val="20"/>
                <w:szCs w:val="20"/>
              </w:rPr>
              <w:t xml:space="preserve"> с участи</w:t>
            </w:r>
            <w:r w:rsidR="002B4EAB" w:rsidRPr="00F475E1">
              <w:rPr>
                <w:rFonts w:asciiTheme="majorHAnsi" w:hAnsiTheme="majorHAnsi"/>
                <w:sz w:val="20"/>
                <w:szCs w:val="20"/>
              </w:rPr>
              <w:t>ем</w:t>
            </w:r>
            <w:r w:rsidR="00410875" w:rsidRPr="00F475E1">
              <w:rPr>
                <w:rFonts w:asciiTheme="majorHAnsi" w:hAnsiTheme="majorHAnsi"/>
                <w:sz w:val="20"/>
                <w:szCs w:val="20"/>
              </w:rPr>
              <w:t xml:space="preserve"> соответствующих органов Молдовы и Украины, и будут </w:t>
            </w:r>
            <w:r w:rsidR="008C3593" w:rsidRPr="00F475E1">
              <w:rPr>
                <w:rFonts w:asciiTheme="majorHAnsi" w:hAnsiTheme="majorHAnsi"/>
                <w:sz w:val="20"/>
                <w:szCs w:val="20"/>
              </w:rPr>
              <w:t>и</w:t>
            </w:r>
            <w:r w:rsidR="00410875" w:rsidRPr="00F475E1">
              <w:rPr>
                <w:rFonts w:asciiTheme="majorHAnsi" w:hAnsiTheme="majorHAnsi"/>
                <w:sz w:val="20"/>
                <w:szCs w:val="20"/>
              </w:rPr>
              <w:t>спользованы для улучшения связи при наводнении на местном и национальном уровне, и обмена информации и предупреждения о наводнении между странами.</w:t>
            </w:r>
          </w:p>
          <w:p w:rsidR="00725111" w:rsidRPr="00F475E1" w:rsidRDefault="00725111" w:rsidP="00725111">
            <w:pPr>
              <w:spacing w:after="100" w:afterAutospacing="1"/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410875" w:rsidRPr="00F475E1" w:rsidRDefault="00410875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Стенд № 6</w:t>
            </w:r>
          </w:p>
        </w:tc>
        <w:tc>
          <w:tcPr>
            <w:tcW w:w="4678" w:type="dxa"/>
          </w:tcPr>
          <w:p w:rsidR="0057593C" w:rsidRPr="00F475E1" w:rsidRDefault="00265EB8" w:rsidP="00F75D9D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410875" w:rsidRPr="00F475E1">
              <w:rPr>
                <w:rFonts w:asciiTheme="majorHAnsi" w:hAnsiTheme="majorHAnsi"/>
                <w:b/>
                <w:sz w:val="20"/>
              </w:rPr>
              <w:t>Барт Сваненфлёгель, Flood</w:t>
            </w:r>
            <w:r w:rsidR="0096602E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r w:rsidR="00410875" w:rsidRPr="00F475E1">
              <w:rPr>
                <w:rFonts w:asciiTheme="majorHAnsi" w:hAnsiTheme="majorHAnsi"/>
                <w:b/>
                <w:sz w:val="20"/>
              </w:rPr>
              <w:t>Wise</w:t>
            </w:r>
          </w:p>
        </w:tc>
        <w:tc>
          <w:tcPr>
            <w:tcW w:w="3569" w:type="dxa"/>
          </w:tcPr>
          <w:p w:rsidR="00725111" w:rsidRPr="00F475E1" w:rsidRDefault="003B0661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Язык: английский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F33C27" w:rsidRPr="00F475E1" w:rsidRDefault="003B0661" w:rsidP="00F33C27">
            <w:pPr>
              <w:pStyle w:val="a8"/>
              <w:rPr>
                <w:rFonts w:asciiTheme="majorHAnsi" w:hAnsiTheme="majorHAnsi"/>
                <w:b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b/>
                <w:sz w:val="20"/>
                <w:lang w:val="ru-RU"/>
              </w:rPr>
              <w:t>Управление рисками трансграничного наводнения – имитационная игра</w:t>
            </w:r>
          </w:p>
          <w:p w:rsidR="00F33C27" w:rsidRPr="00F475E1" w:rsidRDefault="0090715C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bookmarkStart w:id="0" w:name="_GoBack"/>
            <w:bookmarkEnd w:id="0"/>
            <w:r w:rsidRPr="00F475E1">
              <w:rPr>
                <w:rFonts w:asciiTheme="majorHAnsi" w:hAnsiTheme="majorHAnsi"/>
                <w:sz w:val="20"/>
                <w:lang w:val="ru-RU"/>
              </w:rPr>
              <w:t>Управление рисками трансграничного наводнения, как имитационная игра, сталкивает игроков с вопросами, которые могут возникнуть при управлении трансграничными рисками наводнений. В ней рассматриваются страны в верхнем и нижнем течении реки, которые разделяют один и тот же речной бассейн. При помощи имитационной игры могут быть решены две разные проблемы: 1) возможные меры по управлению рисками наводнений, 2) уровень детализации планов, необходимых для различных пользователей.</w:t>
            </w:r>
          </w:p>
          <w:p w:rsidR="0090715C" w:rsidRPr="00F475E1" w:rsidRDefault="0090715C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</w:p>
          <w:p w:rsidR="0090715C" w:rsidRPr="00F475E1" w:rsidRDefault="002B4EAB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В ролевой игре</w:t>
            </w:r>
            <w:r w:rsidR="00772301" w:rsidRPr="00F475E1">
              <w:rPr>
                <w:rFonts w:asciiTheme="majorHAnsi" w:hAnsiTheme="majorHAnsi"/>
                <w:sz w:val="20"/>
                <w:lang w:val="ru-RU"/>
              </w:rPr>
              <w:t xml:space="preserve"> могут принимать участие две команды по 10 игроков. Каждая команда представляет одну страну. Команды состоят из различных национальных заинтересованных сторон: министры, неправительственны</w:t>
            </w:r>
            <w:r w:rsidR="008C3593" w:rsidRPr="00F475E1">
              <w:rPr>
                <w:rFonts w:asciiTheme="majorHAnsi" w:hAnsiTheme="majorHAnsi"/>
                <w:sz w:val="20"/>
                <w:lang w:val="ru-RU"/>
              </w:rPr>
              <w:t>е</w:t>
            </w:r>
            <w:r w:rsidR="00772301" w:rsidRPr="00F475E1">
              <w:rPr>
                <w:rFonts w:asciiTheme="majorHAnsi" w:hAnsiTheme="majorHAnsi"/>
                <w:sz w:val="20"/>
                <w:lang w:val="ru-RU"/>
              </w:rPr>
              <w:t xml:space="preserve"> организации и местные власти. Они должны договориться о структуре совместного управления рисками наводнений совместно используемого речного бассейна.</w:t>
            </w:r>
          </w:p>
          <w:p w:rsidR="00F33C27" w:rsidRPr="00F475E1" w:rsidRDefault="00F33C27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</w:p>
          <w:p w:rsidR="00772301" w:rsidRPr="00F475E1" w:rsidRDefault="00772301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В первой части игры, команды обсудят национальные интересы, которые являются под угрозой. </w:t>
            </w:r>
            <w:r w:rsidR="008C3593" w:rsidRPr="00F475E1">
              <w:rPr>
                <w:rFonts w:asciiTheme="majorHAnsi" w:hAnsiTheme="majorHAnsi"/>
                <w:sz w:val="20"/>
                <w:lang w:val="ru-RU"/>
              </w:rPr>
              <w:t>В частности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>, они будут разраб</w:t>
            </w:r>
            <w:r w:rsidR="008C3593" w:rsidRPr="00F475E1">
              <w:rPr>
                <w:rFonts w:asciiTheme="majorHAnsi" w:hAnsiTheme="majorHAnsi"/>
                <w:sz w:val="20"/>
                <w:lang w:val="ru-RU"/>
              </w:rPr>
              <w:t>атывать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 стратегию для международных консультаций. Во второй части, игроки обеих стран / команды встретятся, имея несколько раундов, чтобы прийти к соглашению </w:t>
            </w:r>
            <w:r w:rsidR="000373DF" w:rsidRPr="00F475E1">
              <w:rPr>
                <w:rFonts w:asciiTheme="majorHAnsi" w:hAnsiTheme="majorHAnsi"/>
                <w:sz w:val="20"/>
                <w:lang w:val="ru-RU"/>
              </w:rPr>
              <w:t>в международных рамках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>.</w:t>
            </w:r>
          </w:p>
          <w:p w:rsidR="00F33C27" w:rsidRPr="00F475E1" w:rsidRDefault="00F33C27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</w:p>
          <w:p w:rsidR="000373DF" w:rsidRPr="00F475E1" w:rsidRDefault="000373DF" w:rsidP="008C3593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Игровая сессия закончится обсуждением  уроков, извлеченных в отношении трансграничного сотрудничества и управления рисками наводнений.</w:t>
            </w: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0373DF" w:rsidRPr="00F475E1" w:rsidRDefault="000373DF" w:rsidP="00674E08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Стенд № 7</w:t>
            </w:r>
          </w:p>
        </w:tc>
        <w:tc>
          <w:tcPr>
            <w:tcW w:w="4678" w:type="dxa"/>
          </w:tcPr>
          <w:p w:rsidR="0057593C" w:rsidRPr="00F475E1" w:rsidRDefault="00265EB8" w:rsidP="008C3593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0373DF" w:rsidRPr="00F475E1">
              <w:rPr>
                <w:rFonts w:asciiTheme="majorHAnsi" w:hAnsiTheme="majorHAnsi"/>
                <w:b/>
                <w:sz w:val="20"/>
              </w:rPr>
              <w:t>Ад Юкен, Deltares</w:t>
            </w:r>
          </w:p>
        </w:tc>
        <w:tc>
          <w:tcPr>
            <w:tcW w:w="3569" w:type="dxa"/>
          </w:tcPr>
          <w:p w:rsidR="00725111" w:rsidRPr="00F475E1" w:rsidRDefault="000373DF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Язык: английский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9A7B8A" w:rsidRPr="00F475E1" w:rsidRDefault="0037138E" w:rsidP="009A7B8A">
            <w:pPr>
              <w:pStyle w:val="a8"/>
              <w:rPr>
                <w:rFonts w:asciiTheme="majorHAnsi" w:hAnsiTheme="majorHAnsi"/>
                <w:b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b/>
                <w:sz w:val="20"/>
                <w:lang w:val="ru-RU"/>
              </w:rPr>
              <w:t xml:space="preserve">Адаптивное управление дельтой и </w:t>
            </w:r>
            <w:r w:rsidR="000373DF" w:rsidRPr="00F475E1">
              <w:rPr>
                <w:rFonts w:asciiTheme="majorHAnsi" w:hAnsiTheme="majorHAnsi"/>
                <w:b/>
                <w:sz w:val="20"/>
                <w:lang w:val="ru-RU"/>
              </w:rPr>
              <w:t>Метод переломного момента</w:t>
            </w:r>
          </w:p>
          <w:p w:rsidR="009A7B8A" w:rsidRPr="00F475E1" w:rsidRDefault="008C3593" w:rsidP="009A7B8A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Типичные вопросы планирования по адаптации к изменению климата:</w:t>
            </w:r>
          </w:p>
          <w:p w:rsidR="009A7B8A" w:rsidRPr="00F475E1" w:rsidRDefault="000373DF" w:rsidP="000373DF">
            <w:pPr>
              <w:pStyle w:val="a8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Как </w:t>
            </w:r>
            <w:r w:rsidR="008C3593" w:rsidRPr="00F475E1">
              <w:rPr>
                <w:rFonts w:asciiTheme="majorHAnsi" w:hAnsiTheme="majorHAnsi"/>
                <w:sz w:val="20"/>
                <w:lang w:val="ru-RU"/>
              </w:rPr>
              <w:t>можно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 установить приоритетность действий во время неопределенности и ограниченном бюджете?</w:t>
            </w:r>
          </w:p>
          <w:p w:rsidR="009A7B8A" w:rsidRPr="00F475E1" w:rsidRDefault="000373DF" w:rsidP="000373DF">
            <w:pPr>
              <w:pStyle w:val="a8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Каким образом можно убедиться, что наши инвестиции являются надежными для будущих условий и гибким</w:t>
            </w:r>
            <w:r w:rsidR="008C3593" w:rsidRPr="00F475E1">
              <w:rPr>
                <w:rFonts w:asciiTheme="majorHAnsi" w:hAnsiTheme="majorHAnsi"/>
                <w:sz w:val="20"/>
                <w:lang w:val="ru-RU"/>
              </w:rPr>
              <w:t>и для</w:t>
            </w:r>
            <w:r w:rsidR="002B4EAB" w:rsidRPr="00F475E1">
              <w:rPr>
                <w:rFonts w:asciiTheme="majorHAnsi" w:hAnsiTheme="majorHAnsi"/>
                <w:sz w:val="20"/>
                <w:lang w:val="ru-RU"/>
              </w:rPr>
              <w:t xml:space="preserve"> адаптации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 в случае необходимости?</w:t>
            </w:r>
          </w:p>
          <w:p w:rsidR="009A7B8A" w:rsidRPr="00F475E1" w:rsidRDefault="0037138E" w:rsidP="009A7B8A">
            <w:pPr>
              <w:pStyle w:val="a8"/>
              <w:numPr>
                <w:ilvl w:val="0"/>
                <w:numId w:val="7"/>
              </w:numPr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Как мы можем сохранить свободу выбора в случае</w:t>
            </w:r>
            <w:r w:rsidR="008C3593" w:rsidRPr="00F475E1">
              <w:rPr>
                <w:rFonts w:asciiTheme="majorHAnsi" w:hAnsiTheme="majorHAnsi"/>
                <w:sz w:val="20"/>
                <w:lang w:val="ru-RU"/>
              </w:rPr>
              <w:t xml:space="preserve">  адаптации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 к новым экологическим или социальным условиям и как можно воспользоваться возможностями?</w:t>
            </w:r>
          </w:p>
          <w:p w:rsidR="0037138E" w:rsidRPr="00F475E1" w:rsidRDefault="0037138E" w:rsidP="009A7B8A">
            <w:pPr>
              <w:pStyle w:val="a8"/>
              <w:ind w:left="360"/>
              <w:rPr>
                <w:rFonts w:asciiTheme="majorHAnsi" w:hAnsiTheme="majorHAnsi"/>
                <w:sz w:val="20"/>
                <w:lang w:val="ru-RU"/>
              </w:rPr>
            </w:pPr>
          </w:p>
          <w:p w:rsidR="00725111" w:rsidRPr="00F475E1" w:rsidRDefault="008C3593" w:rsidP="00480263">
            <w:pPr>
              <w:pStyle w:val="a8"/>
              <w:rPr>
                <w:rFonts w:asciiTheme="majorHAnsi" w:hAnsiTheme="majorHAnsi"/>
                <w:color w:val="000000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В ходе круглого стола будет описан способ </w:t>
            </w:r>
            <w:r w:rsidR="00480263" w:rsidRPr="00F475E1">
              <w:rPr>
                <w:rFonts w:asciiTheme="majorHAnsi" w:hAnsiTheme="majorHAnsi"/>
                <w:sz w:val="20"/>
                <w:lang w:val="ru-RU"/>
              </w:rPr>
              <w:t xml:space="preserve">разработки 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устойчивых планов управления при изменяющихся условиях. </w:t>
            </w: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37138E" w:rsidRPr="004C5405" w:rsidRDefault="0037138E" w:rsidP="004C5405">
            <w:pPr>
              <w:rPr>
                <w:rFonts w:asciiTheme="majorHAnsi" w:hAnsiTheme="majorHAnsi"/>
                <w:b/>
                <w:sz w:val="20"/>
                <w:lang w:val="fr-CH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Стенд № </w:t>
            </w:r>
            <w:r w:rsidR="004C5405">
              <w:rPr>
                <w:rFonts w:asciiTheme="majorHAnsi" w:hAnsiTheme="majorHAnsi"/>
                <w:b/>
                <w:sz w:val="20"/>
                <w:lang w:val="fr-CH"/>
              </w:rPr>
              <w:t>8</w:t>
            </w:r>
          </w:p>
        </w:tc>
        <w:tc>
          <w:tcPr>
            <w:tcW w:w="4678" w:type="dxa"/>
          </w:tcPr>
          <w:p w:rsidR="0057593C" w:rsidRPr="00F475E1" w:rsidRDefault="00265EB8" w:rsidP="00C12303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="0037138E" w:rsidRPr="00F475E1">
              <w:rPr>
                <w:rFonts w:asciiTheme="majorHAnsi" w:hAnsiTheme="majorHAnsi"/>
                <w:sz w:val="20"/>
              </w:rPr>
              <w:t xml:space="preserve">Клаудия </w:t>
            </w:r>
            <w:r w:rsidR="0037138E" w:rsidRPr="00F475E1">
              <w:rPr>
                <w:rFonts w:asciiTheme="majorHAnsi" w:hAnsiTheme="majorHAnsi"/>
                <w:b/>
                <w:sz w:val="20"/>
              </w:rPr>
              <w:t>Касаротто, SwissRe</w:t>
            </w:r>
          </w:p>
        </w:tc>
        <w:tc>
          <w:tcPr>
            <w:tcW w:w="3569" w:type="dxa"/>
          </w:tcPr>
          <w:p w:rsidR="0037138E" w:rsidRPr="00F475E1" w:rsidRDefault="0037138E" w:rsidP="00C12303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Язык: английский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37138E" w:rsidRPr="00F475E1" w:rsidRDefault="0037138E" w:rsidP="00725111">
            <w:pPr>
              <w:spacing w:after="100" w:afterAutospacing="1"/>
              <w:rPr>
                <w:rFonts w:asciiTheme="majorHAnsi" w:eastAsiaTheme="minorHAnsi" w:hAnsiTheme="majorHAnsi" w:cstheme="minorBidi"/>
                <w:b/>
                <w:color w:val="000000" w:themeColor="text1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b/>
                <w:color w:val="000000" w:themeColor="text1"/>
                <w:sz w:val="20"/>
                <w:szCs w:val="22"/>
                <w:lang w:eastAsia="en-US"/>
              </w:rPr>
              <w:t>Адаптация к изменению климата и экономика</w:t>
            </w:r>
          </w:p>
          <w:p w:rsidR="00D149DB" w:rsidRPr="00F475E1" w:rsidRDefault="00D149DB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Адаптация к изменению климата </w:t>
            </w:r>
            <w:r w:rsidR="00480263" w:rsidRPr="00F475E1">
              <w:rPr>
                <w:rFonts w:asciiTheme="majorHAnsi" w:hAnsiTheme="majorHAnsi"/>
                <w:sz w:val="20"/>
                <w:lang w:val="ru-RU"/>
              </w:rPr>
              <w:t>является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 неотложной приоритетной задачей хранителей национальной и местной экономики. Принимающие решения спрашивают: Каков потенциальный ущерб окажет изменения климата на нашу экономику и общество в течени</w:t>
            </w:r>
            <w:r w:rsidR="00640507" w:rsidRPr="00F475E1">
              <w:rPr>
                <w:rFonts w:asciiTheme="majorHAnsi" w:hAnsiTheme="majorHAnsi"/>
                <w:sz w:val="20"/>
                <w:lang w:val="ru-RU"/>
              </w:rPr>
              <w:t>и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 xml:space="preserve"> ближайших десятилетий</w:t>
            </w:r>
            <w:r w:rsidR="00640507" w:rsidRPr="00F475E1">
              <w:rPr>
                <w:rFonts w:asciiTheme="majorHAnsi" w:hAnsiTheme="majorHAnsi"/>
                <w:sz w:val="20"/>
                <w:lang w:val="ru-RU"/>
              </w:rPr>
              <w:t>? Какую часть этих потерь мы можем предотвратить</w:t>
            </w:r>
            <w:r w:rsidR="00F475E1">
              <w:rPr>
                <w:rFonts w:asciiTheme="majorHAnsi" w:hAnsiTheme="majorHAnsi"/>
                <w:sz w:val="20"/>
                <w:lang w:val="ru-RU"/>
              </w:rPr>
              <w:t>,</w:t>
            </w:r>
            <w:r w:rsidR="00640507" w:rsidRPr="00F475E1">
              <w:rPr>
                <w:rFonts w:asciiTheme="majorHAnsi" w:hAnsiTheme="majorHAnsi"/>
                <w:sz w:val="20"/>
                <w:lang w:val="ru-RU"/>
              </w:rPr>
              <w:t xml:space="preserve"> и </w:t>
            </w:r>
            <w:r w:rsidR="002B4EAB" w:rsidRPr="00F475E1">
              <w:rPr>
                <w:rFonts w:asciiTheme="majorHAnsi" w:hAnsiTheme="majorHAnsi"/>
                <w:sz w:val="20"/>
                <w:lang w:val="ru-RU"/>
              </w:rPr>
              <w:t>с</w:t>
            </w:r>
            <w:r w:rsidR="00640507" w:rsidRPr="00F475E1">
              <w:rPr>
                <w:rFonts w:asciiTheme="majorHAnsi" w:hAnsiTheme="majorHAnsi"/>
                <w:sz w:val="20"/>
                <w:lang w:val="ru-RU"/>
              </w:rPr>
              <w:t xml:space="preserve"> помощ</w:t>
            </w:r>
            <w:r w:rsidR="002B4EAB" w:rsidRPr="00F475E1">
              <w:rPr>
                <w:rFonts w:asciiTheme="majorHAnsi" w:hAnsiTheme="majorHAnsi"/>
                <w:sz w:val="20"/>
                <w:lang w:val="ru-RU"/>
              </w:rPr>
              <w:t>ью</w:t>
            </w:r>
            <w:r w:rsidR="00640507" w:rsidRPr="00F475E1">
              <w:rPr>
                <w:rFonts w:asciiTheme="majorHAnsi" w:hAnsiTheme="majorHAnsi"/>
                <w:sz w:val="20"/>
                <w:lang w:val="ru-RU"/>
              </w:rPr>
              <w:t xml:space="preserve"> каких мер? Какие инвестиции требуются для финансирования этих мер и будут ли выгоды от этих инвестиций покрывать издержки?</w:t>
            </w:r>
          </w:p>
          <w:p w:rsidR="00E43994" w:rsidRPr="00F475E1" w:rsidRDefault="00480263" w:rsidP="00E43994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Методология  экономической а</w:t>
            </w:r>
            <w:r w:rsidR="00E43994" w:rsidRPr="00F475E1">
              <w:rPr>
                <w:rFonts w:asciiTheme="majorHAnsi" w:hAnsiTheme="majorHAnsi"/>
                <w:sz w:val="20"/>
                <w:lang w:val="ru-RU"/>
              </w:rPr>
              <w:t>даптаци</w:t>
            </w:r>
            <w:r w:rsidRPr="00F475E1">
              <w:rPr>
                <w:rFonts w:asciiTheme="majorHAnsi" w:hAnsiTheme="majorHAnsi"/>
                <w:sz w:val="20"/>
                <w:lang w:val="ru-RU"/>
              </w:rPr>
              <w:t>и</w:t>
            </w:r>
            <w:r w:rsidR="00E43994" w:rsidRPr="00F475E1">
              <w:rPr>
                <w:rFonts w:asciiTheme="majorHAnsi" w:hAnsiTheme="majorHAnsi"/>
                <w:sz w:val="20"/>
                <w:lang w:val="ru-RU"/>
              </w:rPr>
              <w:t xml:space="preserve"> к изменению климата </w:t>
            </w:r>
            <w:r w:rsidR="002B4EAB" w:rsidRPr="00F475E1">
              <w:rPr>
                <w:rFonts w:asciiTheme="majorHAnsi" w:hAnsiTheme="majorHAnsi"/>
                <w:sz w:val="20"/>
                <w:lang w:val="ru-RU"/>
              </w:rPr>
              <w:t xml:space="preserve">обеспечивает </w:t>
            </w:r>
            <w:r w:rsidR="00E43994" w:rsidRPr="00F475E1">
              <w:rPr>
                <w:rFonts w:asciiTheme="majorHAnsi" w:hAnsiTheme="majorHAnsi"/>
                <w:sz w:val="20"/>
                <w:lang w:val="ru-RU"/>
              </w:rPr>
              <w:t>основ</w:t>
            </w:r>
            <w:r w:rsidR="002B4EAB" w:rsidRPr="00F475E1">
              <w:rPr>
                <w:rFonts w:asciiTheme="majorHAnsi" w:hAnsiTheme="majorHAnsi"/>
                <w:sz w:val="20"/>
                <w:lang w:val="ru-RU"/>
              </w:rPr>
              <w:t>а</w:t>
            </w:r>
            <w:r w:rsidR="00E43994" w:rsidRPr="00F475E1">
              <w:rPr>
                <w:rFonts w:asciiTheme="majorHAnsi" w:hAnsiTheme="majorHAnsi"/>
                <w:sz w:val="20"/>
                <w:lang w:val="ru-RU"/>
              </w:rPr>
              <w:t xml:space="preserve"> для активного управления рисками изменения климата, что означает:</w:t>
            </w:r>
          </w:p>
          <w:p w:rsidR="00F33C27" w:rsidRPr="00F475E1" w:rsidRDefault="00F33C27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</w:p>
          <w:p w:rsidR="00F33C27" w:rsidRPr="00F475E1" w:rsidRDefault="00E43994" w:rsidP="00E43994">
            <w:pPr>
              <w:pStyle w:val="a8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Оценка риска изменения климата;</w:t>
            </w:r>
          </w:p>
          <w:p w:rsidR="00F33C27" w:rsidRPr="00F475E1" w:rsidRDefault="00E43994" w:rsidP="00E43994">
            <w:pPr>
              <w:pStyle w:val="a8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Составление плана экономических путей развития при большой населенности</w:t>
            </w:r>
            <w:r w:rsidR="00967C00" w:rsidRPr="00F475E1">
              <w:rPr>
                <w:rFonts w:asciiTheme="majorHAnsi" w:hAnsiTheme="majorHAnsi"/>
                <w:sz w:val="20"/>
                <w:lang w:val="ru-RU"/>
              </w:rPr>
              <w:t xml:space="preserve"> и активов по риску</w:t>
            </w:r>
          </w:p>
          <w:p w:rsidR="00F33C27" w:rsidRPr="00F475E1" w:rsidRDefault="00E43994" w:rsidP="00E43994">
            <w:pPr>
              <w:pStyle w:val="a8"/>
              <w:numPr>
                <w:ilvl w:val="0"/>
                <w:numId w:val="1"/>
              </w:numPr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Рассмотрение дополнительных рисков, связанных с изменением климата.</w:t>
            </w:r>
          </w:p>
          <w:p w:rsidR="00967C00" w:rsidRPr="00F475E1" w:rsidRDefault="00967C00" w:rsidP="00F33C27">
            <w:pPr>
              <w:pStyle w:val="a8"/>
              <w:rPr>
                <w:rFonts w:asciiTheme="majorHAnsi" w:hAnsiTheme="majorHAnsi"/>
                <w:sz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lang w:val="ru-RU"/>
              </w:rPr>
              <w:t>Были проведены 17 исследований, например: риск наводнений в Гайане, риск засухи для сельского хозяйства в Мали, Индии и Китае и многоаспектный риск в Карибском море.</w:t>
            </w:r>
          </w:p>
          <w:p w:rsidR="00725111" w:rsidRPr="00F475E1" w:rsidRDefault="00725111" w:rsidP="00480263">
            <w:pPr>
              <w:pStyle w:val="a8"/>
              <w:rPr>
                <w:rFonts w:asciiTheme="majorHAnsi" w:hAnsiTheme="majorHAnsi"/>
                <w:color w:val="000000"/>
                <w:sz w:val="20"/>
                <w:lang w:val="ru-RU"/>
              </w:rPr>
            </w:pP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725111" w:rsidRPr="00F475E1">
        <w:tc>
          <w:tcPr>
            <w:tcW w:w="1242" w:type="dxa"/>
          </w:tcPr>
          <w:p w:rsidR="00265EB8" w:rsidRPr="004C5405" w:rsidRDefault="00265EB8" w:rsidP="004C5405">
            <w:pPr>
              <w:rPr>
                <w:rFonts w:asciiTheme="majorHAnsi" w:hAnsiTheme="majorHAnsi"/>
                <w:b/>
                <w:sz w:val="20"/>
                <w:lang w:val="fr-CH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Стенд № </w:t>
            </w:r>
            <w:r w:rsidR="004C5405">
              <w:rPr>
                <w:rFonts w:asciiTheme="majorHAnsi" w:hAnsiTheme="majorHAnsi"/>
                <w:b/>
                <w:sz w:val="20"/>
                <w:lang w:val="fr-CH"/>
              </w:rPr>
              <w:t>9</w:t>
            </w:r>
          </w:p>
        </w:tc>
        <w:tc>
          <w:tcPr>
            <w:tcW w:w="4678" w:type="dxa"/>
          </w:tcPr>
          <w:p w:rsidR="0057593C" w:rsidRPr="00F475E1" w:rsidRDefault="004A4510" w:rsidP="008A2346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Pr="00F475E1">
              <w:rPr>
                <w:rFonts w:asciiTheme="majorHAnsi" w:hAnsiTheme="majorHAnsi"/>
                <w:b/>
                <w:sz w:val="20"/>
              </w:rPr>
              <w:t>Джон Мэтьюс, AGWA</w:t>
            </w:r>
          </w:p>
        </w:tc>
        <w:tc>
          <w:tcPr>
            <w:tcW w:w="3569" w:type="dxa"/>
          </w:tcPr>
          <w:p w:rsidR="00725111" w:rsidRPr="00F475E1" w:rsidRDefault="004A4510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Язык: английский</w:t>
            </w:r>
          </w:p>
        </w:tc>
      </w:tr>
      <w:tr w:rsidR="00725111" w:rsidRPr="00F475E1">
        <w:tc>
          <w:tcPr>
            <w:tcW w:w="9489" w:type="dxa"/>
            <w:gridSpan w:val="3"/>
          </w:tcPr>
          <w:p w:rsidR="004A4510" w:rsidRPr="00F475E1" w:rsidRDefault="004A4510" w:rsidP="001734BC">
            <w:pPr>
              <w:pStyle w:val="a8"/>
              <w:rPr>
                <w:rFonts w:asciiTheme="majorHAnsi" w:hAnsiTheme="majorHAnsi"/>
                <w:b/>
                <w:sz w:val="20"/>
                <w:szCs w:val="20"/>
                <w:lang w:val="ru-RU"/>
              </w:rPr>
            </w:pPr>
            <w:r w:rsidRPr="00F475E1">
              <w:rPr>
                <w:rFonts w:asciiTheme="majorHAnsi" w:hAnsiTheme="majorHAnsi"/>
                <w:b/>
                <w:sz w:val="20"/>
                <w:szCs w:val="20"/>
                <w:lang w:val="ru-RU"/>
              </w:rPr>
              <w:t>От инструментов к решениям: Система поддержки принятия решений AGWA</w:t>
            </w:r>
          </w:p>
          <w:p w:rsidR="001734BC" w:rsidRPr="00F475E1" w:rsidRDefault="001734BC" w:rsidP="001734BC">
            <w:pPr>
              <w:pStyle w:val="a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A4510" w:rsidRPr="00F475E1" w:rsidRDefault="004A4510" w:rsidP="001734BC">
            <w:pPr>
              <w:pStyle w:val="a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Каким образом принимаются  решения, способствующие устойчивости к изменению климата? Процесс установления явной или потенциальной значимости изменений климата для управления водными ресурсами до недавнего времени отличался непоследовательностью и отсутствием четкого консенсуса по лучшим практикам долгосрочного управления водными ресурсами в сфере сельского хозяйства, водной инфраструктуры, энергетики и экосистем. Система поддержки принятия решений AGWA направлена на два уровня управления водными ресурсами: планировщиков (работа на бассейновом, национальном или трансграничном уровне) и менеджеров (работа на уровне суббассейнов, инфраструктуры, городского развития или охраняемых территорий).  </w:t>
            </w:r>
          </w:p>
          <w:p w:rsidR="001734BC" w:rsidRPr="00F475E1" w:rsidRDefault="001734BC" w:rsidP="001734BC">
            <w:pPr>
              <w:pStyle w:val="a8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  <w:p w:rsidR="004A4510" w:rsidRPr="00F475E1" w:rsidRDefault="004A4510" w:rsidP="001734BC">
            <w:pPr>
              <w:pStyle w:val="a8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F475E1">
              <w:rPr>
                <w:rFonts w:asciiTheme="majorHAnsi" w:hAnsiTheme="majorHAnsi"/>
                <w:sz w:val="20"/>
                <w:szCs w:val="20"/>
                <w:lang w:val="ru-RU"/>
              </w:rPr>
              <w:t>Находящаяся в процессе развития система поддержки принятия решений AGWA рассматривает адаптацию к изменению климата в рамках более общего подхода управления рисками, нацеленного на использование в качестве основы для принятия решений преимущественно данных типа «снизу-вверх», а не климатических моделей, Данная система начинает процесс с определения проблемы и затем оценивает соответствующую роль климатических изменений в ее решении. После этого система вырабатывает альтернативные стратегии, связанные с управлением и возможными финансово-экономическими ограничениями. Созданная в виде возвратного процесса, система позволяет планировщикам и менеджерам водных ресурсов принимать системные успешные решения.</w:t>
            </w:r>
          </w:p>
          <w:p w:rsidR="00725111" w:rsidRPr="00F475E1" w:rsidRDefault="00725111" w:rsidP="00725111">
            <w:pPr>
              <w:spacing w:after="100" w:afterAutospacing="1"/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</w:p>
        </w:tc>
      </w:tr>
    </w:tbl>
    <w:p w:rsidR="00725111" w:rsidRPr="00F475E1" w:rsidRDefault="00725111" w:rsidP="00453A51">
      <w:pPr>
        <w:jc w:val="center"/>
        <w:rPr>
          <w:rFonts w:asciiTheme="majorHAnsi" w:hAnsiTheme="majorHAnsi"/>
          <w:b/>
        </w:rPr>
      </w:pPr>
    </w:p>
    <w:p w:rsidR="008A2346" w:rsidRPr="00F475E1" w:rsidRDefault="008A2346" w:rsidP="00453A51">
      <w:pPr>
        <w:jc w:val="center"/>
        <w:rPr>
          <w:rFonts w:asciiTheme="majorHAnsi" w:hAnsiTheme="majorHAnsi"/>
          <w:b/>
        </w:rPr>
      </w:pPr>
    </w:p>
    <w:tbl>
      <w:tblPr>
        <w:tblStyle w:val="a7"/>
        <w:tblW w:w="0" w:type="auto"/>
        <w:tblLook w:val="00A0"/>
      </w:tblPr>
      <w:tblGrid>
        <w:gridCol w:w="1242"/>
        <w:gridCol w:w="4678"/>
        <w:gridCol w:w="3569"/>
      </w:tblGrid>
      <w:tr w:rsidR="008A2346" w:rsidRPr="00F475E1">
        <w:tc>
          <w:tcPr>
            <w:tcW w:w="1242" w:type="dxa"/>
          </w:tcPr>
          <w:p w:rsidR="00265EB8" w:rsidRPr="004C5405" w:rsidRDefault="00265EB8" w:rsidP="004C5405">
            <w:pPr>
              <w:rPr>
                <w:rFonts w:asciiTheme="majorHAnsi" w:hAnsiTheme="majorHAnsi"/>
                <w:b/>
                <w:sz w:val="20"/>
                <w:lang w:val="fr-CH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 xml:space="preserve">Стенд № </w:t>
            </w:r>
            <w:r w:rsidR="004C5405">
              <w:rPr>
                <w:rFonts w:asciiTheme="majorHAnsi" w:hAnsiTheme="majorHAnsi"/>
                <w:b/>
                <w:sz w:val="20"/>
                <w:lang w:val="fr-CH"/>
              </w:rPr>
              <w:t>10</w:t>
            </w:r>
          </w:p>
        </w:tc>
        <w:tc>
          <w:tcPr>
            <w:tcW w:w="4678" w:type="dxa"/>
          </w:tcPr>
          <w:p w:rsidR="0057593C" w:rsidRPr="00F475E1" w:rsidRDefault="004A4510" w:rsidP="00F716E3">
            <w:pPr>
              <w:rPr>
                <w:rFonts w:asciiTheme="majorHAnsi" w:hAnsiTheme="majorHAnsi"/>
                <w:sz w:val="20"/>
              </w:rPr>
            </w:pPr>
            <w:r w:rsidRPr="00F475E1">
              <w:rPr>
                <w:rFonts w:asciiTheme="majorHAnsi" w:hAnsiTheme="majorHAnsi"/>
                <w:sz w:val="20"/>
              </w:rPr>
              <w:t xml:space="preserve">Демонстратор инструмента: </w:t>
            </w:r>
            <w:r w:rsidRPr="00F475E1">
              <w:rPr>
                <w:rFonts w:asciiTheme="majorHAnsi" w:hAnsiTheme="majorHAnsi"/>
                <w:b/>
                <w:sz w:val="20"/>
              </w:rPr>
              <w:t>Рожина Манандхар, РКИК ООН</w:t>
            </w:r>
          </w:p>
        </w:tc>
        <w:tc>
          <w:tcPr>
            <w:tcW w:w="3569" w:type="dxa"/>
          </w:tcPr>
          <w:p w:rsidR="008A2346" w:rsidRPr="00F475E1" w:rsidRDefault="004A4510" w:rsidP="008A2346">
            <w:pPr>
              <w:rPr>
                <w:rFonts w:asciiTheme="majorHAnsi" w:hAnsiTheme="majorHAnsi"/>
                <w:b/>
                <w:sz w:val="20"/>
              </w:rPr>
            </w:pPr>
            <w:r w:rsidRPr="00F475E1">
              <w:rPr>
                <w:rFonts w:asciiTheme="majorHAnsi" w:hAnsiTheme="majorHAnsi"/>
                <w:b/>
                <w:sz w:val="20"/>
              </w:rPr>
              <w:t>Язык: английский</w:t>
            </w:r>
          </w:p>
        </w:tc>
      </w:tr>
      <w:tr w:rsidR="008A2346" w:rsidRPr="00F475E1">
        <w:tc>
          <w:tcPr>
            <w:tcW w:w="9489" w:type="dxa"/>
            <w:gridSpan w:val="3"/>
          </w:tcPr>
          <w:p w:rsidR="00265EB8" w:rsidRPr="00F475E1" w:rsidRDefault="00265EB8" w:rsidP="008A2346">
            <w:pPr>
              <w:spacing w:after="100" w:afterAutospacing="1"/>
              <w:rPr>
                <w:rFonts w:asciiTheme="majorHAnsi" w:eastAsiaTheme="minorHAnsi" w:hAnsiTheme="majorHAnsi" w:cstheme="minorBidi"/>
                <w:b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b/>
                <w:color w:val="000000"/>
                <w:sz w:val="20"/>
                <w:szCs w:val="22"/>
                <w:lang w:eastAsia="en-US"/>
              </w:rPr>
              <w:t>Выработка и распространение знаний по адаптации и участию организаций – Потенциальная роль Рабочей программы Найроби как основы знаний в рамках РКИК</w:t>
            </w:r>
          </w:p>
          <w:p w:rsidR="00265EB8" w:rsidRPr="00F475E1" w:rsidRDefault="00265EB8" w:rsidP="00725111">
            <w:pPr>
              <w:spacing w:after="100" w:afterAutospacing="1"/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>В ходе данного круглого стола, будет представлен краткий обзор развития основ адаптации в рамках РКИК и соответствующих знаний и информационных потребностей, а также роли Рабочей программы Найроби (введение в Рабочую программу с акцентом на текущих результатах работы Вспомогательного органа для консультирования по научным и техническим аспектам 38). Внимание будет также уделено механизмам имплементации Рабочей программы в соответствии с потребностями Сторон, включая участие партнерских организаций, технические семинары, публик</w:t>
            </w:r>
            <w:r w:rsidR="002B4EAB"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>ации, веб-интерфейс и eUpdate.</w:t>
            </w:r>
          </w:p>
          <w:p w:rsidR="002B4EAB" w:rsidRPr="00F475E1" w:rsidRDefault="002B4EAB" w:rsidP="002B4EAB">
            <w:pPr>
              <w:spacing w:after="100" w:afterAutospacing="1"/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>Данная устная презентация могла бы быть продолжена дискуссией в формате круглого стола по следующим вопросам:</w:t>
            </w:r>
          </w:p>
          <w:p w:rsidR="002B4EAB" w:rsidRPr="00F475E1" w:rsidRDefault="002B4EAB" w:rsidP="002B4EAB">
            <w:pPr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>1) Взгляд на потенциальную роль Рабочей программы Найроби как основу для удовлетворения потребностей в информации и знаниях по адаптации.</w:t>
            </w:r>
          </w:p>
          <w:p w:rsidR="002B4EAB" w:rsidRPr="00F475E1" w:rsidRDefault="002B4EAB" w:rsidP="002B4EAB">
            <w:pPr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>2) Каковы примеры инструментов, способствующих имплементации Рабочей программы?</w:t>
            </w:r>
          </w:p>
          <w:p w:rsidR="002B4EAB" w:rsidRPr="00F475E1" w:rsidRDefault="002B4EAB" w:rsidP="002B4EAB">
            <w:pPr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 xml:space="preserve">3) Каким образом организации могли бы более активно участвовать в имплементации Рабочей программы? </w:t>
            </w:r>
          </w:p>
          <w:p w:rsidR="002B4EAB" w:rsidRPr="00F475E1" w:rsidRDefault="002B4EAB" w:rsidP="002B4EAB">
            <w:pPr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</w:pPr>
            <w:r w:rsidRPr="00F475E1">
              <w:rPr>
                <w:rFonts w:asciiTheme="majorHAnsi" w:eastAsiaTheme="minorHAnsi" w:hAnsiTheme="majorHAnsi" w:cstheme="minorBidi"/>
                <w:color w:val="000000"/>
                <w:sz w:val="20"/>
                <w:szCs w:val="22"/>
                <w:lang w:eastAsia="en-US"/>
              </w:rPr>
              <w:t>4) Как пользу приносит организациям участие в имплементации Рабочей программы?</w:t>
            </w:r>
          </w:p>
          <w:p w:rsidR="00265EB8" w:rsidRPr="00F475E1" w:rsidRDefault="00265EB8" w:rsidP="00265EB8">
            <w:pPr>
              <w:pStyle w:val="a8"/>
              <w:rPr>
                <w:lang w:val="ru-RU"/>
              </w:rPr>
            </w:pPr>
          </w:p>
        </w:tc>
      </w:tr>
    </w:tbl>
    <w:p w:rsidR="008A2346" w:rsidRPr="00F475E1" w:rsidRDefault="008A2346" w:rsidP="008A2346">
      <w:pPr>
        <w:spacing w:after="100" w:afterAutospacing="1"/>
        <w:rPr>
          <w:rFonts w:ascii="Arial" w:eastAsiaTheme="minorHAnsi" w:hAnsi="Arial" w:cstheme="minorBidi"/>
          <w:color w:val="000000"/>
          <w:sz w:val="20"/>
          <w:szCs w:val="22"/>
          <w:lang w:eastAsia="en-US"/>
        </w:rPr>
      </w:pPr>
    </w:p>
    <w:sectPr w:rsidR="008A2346" w:rsidRPr="00F475E1" w:rsidSect="00674E08">
      <w:headerReference w:type="first" r:id="rId8"/>
      <w:pgSz w:w="11901" w:h="16834"/>
      <w:pgMar w:top="1418" w:right="1418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7DB" w:rsidRDefault="000C47DB">
      <w:r>
        <w:separator/>
      </w:r>
    </w:p>
  </w:endnote>
  <w:endnote w:type="continuationSeparator" w:id="1">
    <w:p w:rsidR="000C47DB" w:rsidRDefault="000C4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7DB" w:rsidRDefault="000C47DB">
      <w:r>
        <w:separator/>
      </w:r>
    </w:p>
  </w:footnote>
  <w:footnote w:type="continuationSeparator" w:id="1">
    <w:p w:rsidR="000C47DB" w:rsidRDefault="000C47DB">
      <w:r>
        <w:continuationSeparator/>
      </w:r>
    </w:p>
  </w:footnote>
  <w:footnote w:id="2">
    <w:p w:rsidR="008C3593" w:rsidRPr="00F716E3" w:rsidRDefault="008C3593" w:rsidP="008C3593">
      <w:pPr>
        <w:pStyle w:val="ab"/>
        <w:rPr>
          <w:rFonts w:asciiTheme="majorHAnsi" w:hAnsiTheme="majorHAnsi"/>
          <w:sz w:val="16"/>
          <w:szCs w:val="16"/>
          <w:lang w:val="en-US"/>
        </w:rPr>
      </w:pPr>
      <w:r>
        <w:rPr>
          <w:rStyle w:val="ad"/>
        </w:rPr>
        <w:footnoteRef/>
      </w:r>
      <w:hyperlink r:id="rId1" w:history="1">
        <w:r w:rsidRPr="00F716E3">
          <w:rPr>
            <w:rStyle w:val="a9"/>
            <w:rFonts w:asciiTheme="majorHAnsi" w:hAnsiTheme="majorHAnsi"/>
            <w:sz w:val="16"/>
            <w:szCs w:val="16"/>
          </w:rPr>
          <w:t>http://82.116.78.174/en/about-geoportal</w:t>
        </w:r>
      </w:hyperlink>
    </w:p>
  </w:footnote>
  <w:footnote w:id="3">
    <w:p w:rsidR="008C3593" w:rsidRPr="008C3593" w:rsidRDefault="008C3593" w:rsidP="008C3593">
      <w:pPr>
        <w:jc w:val="both"/>
        <w:rPr>
          <w:rFonts w:asciiTheme="majorHAnsi" w:hAnsiTheme="majorHAnsi" w:cs="Courier New"/>
          <w:color w:val="0000FF"/>
          <w:sz w:val="16"/>
          <w:szCs w:val="16"/>
          <w:u w:val="single"/>
          <w:lang w:val="en-US" w:eastAsia="fr-CH"/>
        </w:rPr>
      </w:pPr>
      <w:r w:rsidRPr="00F716E3">
        <w:rPr>
          <w:rStyle w:val="ad"/>
          <w:rFonts w:asciiTheme="majorHAnsi" w:hAnsiTheme="majorHAnsi"/>
          <w:sz w:val="16"/>
          <w:szCs w:val="16"/>
        </w:rPr>
        <w:footnoteRef/>
      </w:r>
      <w:hyperlink r:id="rId2" w:history="1">
        <w:r w:rsidRPr="008C3593">
          <w:rPr>
            <w:rStyle w:val="a9"/>
            <w:rFonts w:asciiTheme="majorHAnsi" w:hAnsiTheme="majorHAnsi" w:cs="Courier New"/>
            <w:sz w:val="16"/>
            <w:szCs w:val="16"/>
            <w:lang w:val="en-US" w:eastAsia="fr-CH"/>
          </w:rPr>
          <w:t>http://dniester.grida.no/ru/about-project/dniester-env-atlas</w:t>
        </w:r>
      </w:hyperlink>
    </w:p>
    <w:p w:rsidR="008C3593" w:rsidRDefault="008C3593" w:rsidP="008C3593">
      <w:pPr>
        <w:pStyle w:val="ab"/>
        <w:rPr>
          <w:lang w:val="en-GB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263" w:rsidRPr="00480263" w:rsidRDefault="00480263" w:rsidP="00480263">
    <w:pPr>
      <w:autoSpaceDE w:val="0"/>
      <w:autoSpaceDN w:val="0"/>
      <w:adjustRightInd w:val="0"/>
      <w:jc w:val="center"/>
      <w:rPr>
        <w:rFonts w:ascii="Calibri" w:hAnsi="Calibri" w:cs="Verdana"/>
        <w:b/>
        <w:sz w:val="20"/>
        <w:szCs w:val="28"/>
      </w:rPr>
    </w:pPr>
    <w:r w:rsidRPr="00480263">
      <w:rPr>
        <w:rFonts w:ascii="Calibri" w:hAnsi="Calibri" w:cs="Verdana"/>
        <w:b/>
        <w:sz w:val="20"/>
        <w:szCs w:val="28"/>
      </w:rPr>
      <w:t>ЧЕТВЕРТЫЙ РАБОЧИЙ СЕМИНАР ПО ВОДНЫМ РЕСУРСАМ И АДАПТАЦИИ К ИЗМЕНЕНИЮ КЛИМАТА В ТРАНСГРАНИЧНЫХ БАССЕЙНАХ</w:t>
    </w:r>
  </w:p>
  <w:p w:rsidR="00480263" w:rsidRPr="00480263" w:rsidRDefault="00480263" w:rsidP="00480263">
    <w:pPr>
      <w:autoSpaceDE w:val="0"/>
      <w:autoSpaceDN w:val="0"/>
      <w:adjustRightInd w:val="0"/>
      <w:jc w:val="center"/>
      <w:rPr>
        <w:rFonts w:ascii="Calibri" w:hAnsi="Calibri" w:cs="Verdana"/>
        <w:b/>
        <w:sz w:val="20"/>
        <w:szCs w:val="28"/>
      </w:rPr>
    </w:pPr>
    <w:r w:rsidRPr="00480263">
      <w:rPr>
        <w:rFonts w:ascii="Calibri" w:hAnsi="Calibri" w:cs="Verdana"/>
        <w:b/>
        <w:sz w:val="20"/>
        <w:szCs w:val="28"/>
      </w:rPr>
      <w:t>Трансграничная адаптация к изменению климата, служащая различным целям</w:t>
    </w:r>
  </w:p>
  <w:p w:rsidR="00480263" w:rsidRPr="00453A51" w:rsidRDefault="00480263" w:rsidP="00480263">
    <w:pPr>
      <w:autoSpaceDE w:val="0"/>
      <w:autoSpaceDN w:val="0"/>
      <w:adjustRightInd w:val="0"/>
      <w:jc w:val="center"/>
      <w:rPr>
        <w:rFonts w:ascii="Calibri" w:hAnsi="Calibri" w:cs="Verdana"/>
        <w:b/>
        <w:sz w:val="20"/>
        <w:szCs w:val="28"/>
      </w:rPr>
    </w:pPr>
    <w:r w:rsidRPr="00480263">
      <w:rPr>
        <w:rFonts w:ascii="Calibri" w:hAnsi="Calibri" w:cs="Verdana"/>
        <w:b/>
        <w:sz w:val="20"/>
        <w:szCs w:val="28"/>
      </w:rPr>
      <w:t>25-26 июня 2013, Женева</w:t>
    </w:r>
  </w:p>
  <w:p w:rsidR="00E43994" w:rsidRDefault="00E4399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367"/>
    <w:multiLevelType w:val="hybridMultilevel"/>
    <w:tmpl w:val="20583F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C83CD7"/>
    <w:multiLevelType w:val="hybridMultilevel"/>
    <w:tmpl w:val="9130831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7D51"/>
    <w:multiLevelType w:val="hybridMultilevel"/>
    <w:tmpl w:val="0462721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ED16E7"/>
    <w:multiLevelType w:val="hybridMultilevel"/>
    <w:tmpl w:val="B0D0B99A"/>
    <w:lvl w:ilvl="0" w:tplc="1366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536A9"/>
    <w:multiLevelType w:val="hybridMultilevel"/>
    <w:tmpl w:val="5EDA54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87D1B"/>
    <w:multiLevelType w:val="hybridMultilevel"/>
    <w:tmpl w:val="9D58E9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244029"/>
    <w:multiLevelType w:val="multilevel"/>
    <w:tmpl w:val="5044C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53A51"/>
    <w:rsid w:val="000373DF"/>
    <w:rsid w:val="000508E8"/>
    <w:rsid w:val="00085CE8"/>
    <w:rsid w:val="000C47DB"/>
    <w:rsid w:val="00131599"/>
    <w:rsid w:val="00160CF2"/>
    <w:rsid w:val="00164622"/>
    <w:rsid w:val="001734BC"/>
    <w:rsid w:val="002068EE"/>
    <w:rsid w:val="00207C5A"/>
    <w:rsid w:val="00214B12"/>
    <w:rsid w:val="0024109C"/>
    <w:rsid w:val="00265EB8"/>
    <w:rsid w:val="002A2AA9"/>
    <w:rsid w:val="002B4EAB"/>
    <w:rsid w:val="002C5C71"/>
    <w:rsid w:val="0037138E"/>
    <w:rsid w:val="003B0661"/>
    <w:rsid w:val="003C2FF0"/>
    <w:rsid w:val="00405C53"/>
    <w:rsid w:val="0040795F"/>
    <w:rsid w:val="00410875"/>
    <w:rsid w:val="00453A51"/>
    <w:rsid w:val="00467BCD"/>
    <w:rsid w:val="00480263"/>
    <w:rsid w:val="00483CF7"/>
    <w:rsid w:val="004A4510"/>
    <w:rsid w:val="004C5405"/>
    <w:rsid w:val="004F0817"/>
    <w:rsid w:val="0057593C"/>
    <w:rsid w:val="00585E05"/>
    <w:rsid w:val="00640507"/>
    <w:rsid w:val="0064078C"/>
    <w:rsid w:val="00653EE0"/>
    <w:rsid w:val="00674E08"/>
    <w:rsid w:val="006D374C"/>
    <w:rsid w:val="006D6538"/>
    <w:rsid w:val="006F5130"/>
    <w:rsid w:val="00725111"/>
    <w:rsid w:val="00772301"/>
    <w:rsid w:val="007B7066"/>
    <w:rsid w:val="00804748"/>
    <w:rsid w:val="00813C26"/>
    <w:rsid w:val="00861077"/>
    <w:rsid w:val="0088469B"/>
    <w:rsid w:val="008A2346"/>
    <w:rsid w:val="008B0A8C"/>
    <w:rsid w:val="008C3593"/>
    <w:rsid w:val="008C6E16"/>
    <w:rsid w:val="008F3B27"/>
    <w:rsid w:val="0090715C"/>
    <w:rsid w:val="00927584"/>
    <w:rsid w:val="0096602E"/>
    <w:rsid w:val="00967C00"/>
    <w:rsid w:val="00974341"/>
    <w:rsid w:val="00995FF4"/>
    <w:rsid w:val="009A4DF5"/>
    <w:rsid w:val="009A7B8A"/>
    <w:rsid w:val="009E122C"/>
    <w:rsid w:val="00A75F15"/>
    <w:rsid w:val="00A83E7E"/>
    <w:rsid w:val="00AE7B31"/>
    <w:rsid w:val="00B70B12"/>
    <w:rsid w:val="00B902C3"/>
    <w:rsid w:val="00C12303"/>
    <w:rsid w:val="00C214B4"/>
    <w:rsid w:val="00C24859"/>
    <w:rsid w:val="00CC574D"/>
    <w:rsid w:val="00D149DB"/>
    <w:rsid w:val="00D50E2F"/>
    <w:rsid w:val="00DE0FC4"/>
    <w:rsid w:val="00E071E1"/>
    <w:rsid w:val="00E43994"/>
    <w:rsid w:val="00ED41C8"/>
    <w:rsid w:val="00F15FFD"/>
    <w:rsid w:val="00F16096"/>
    <w:rsid w:val="00F30A02"/>
    <w:rsid w:val="00F33C27"/>
    <w:rsid w:val="00F4400D"/>
    <w:rsid w:val="00F475E1"/>
    <w:rsid w:val="00F716E3"/>
    <w:rsid w:val="00F75D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51"/>
    <w:rPr>
      <w:rFonts w:ascii="Times New Roman" w:eastAsia="Times New Roman" w:hAnsi="Times New Roman" w:cs="Times New Roman"/>
      <w:sz w:val="24"/>
      <w:szCs w:val="24"/>
      <w:lang w:val="ru-RU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F13C8"/>
  </w:style>
  <w:style w:type="paragraph" w:styleId="a3">
    <w:name w:val="header"/>
    <w:basedOn w:val="a"/>
    <w:link w:val="a4"/>
    <w:uiPriority w:val="99"/>
    <w:unhideWhenUsed/>
    <w:rsid w:val="00453A5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A5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a5">
    <w:name w:val="footer"/>
    <w:basedOn w:val="a"/>
    <w:link w:val="a6"/>
    <w:uiPriority w:val="99"/>
    <w:unhideWhenUsed/>
    <w:rsid w:val="00453A51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3A5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a7">
    <w:name w:val="Table Grid"/>
    <w:basedOn w:val="a1"/>
    <w:uiPriority w:val="59"/>
    <w:rsid w:val="00674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33C27"/>
    <w:rPr>
      <w:sz w:val="22"/>
      <w:szCs w:val="22"/>
      <w:lang w:val="nl-NL"/>
    </w:rPr>
  </w:style>
  <w:style w:type="character" w:styleId="a9">
    <w:name w:val="Hyperlink"/>
    <w:uiPriority w:val="99"/>
    <w:semiHidden/>
    <w:unhideWhenUsed/>
    <w:rsid w:val="00F716E3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F71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ab">
    <w:name w:val="footnote text"/>
    <w:basedOn w:val="a"/>
    <w:link w:val="ac"/>
    <w:uiPriority w:val="99"/>
    <w:semiHidden/>
    <w:unhideWhenUsed/>
    <w:rsid w:val="00F716E3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F716E3"/>
    <w:rPr>
      <w:lang w:val="fr-CH"/>
    </w:rPr>
  </w:style>
  <w:style w:type="character" w:styleId="ad">
    <w:name w:val="footnote reference"/>
    <w:basedOn w:val="a0"/>
    <w:uiPriority w:val="99"/>
    <w:semiHidden/>
    <w:unhideWhenUsed/>
    <w:rsid w:val="00F716E3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E0FC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E0FC4"/>
    <w:rPr>
      <w:rFonts w:ascii="Tahoma" w:eastAsia="Times New Roman" w:hAnsi="Tahoma" w:cs="Tahoma"/>
      <w:sz w:val="16"/>
      <w:szCs w:val="16"/>
      <w:lang w:val="ru-RU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A51"/>
    <w:rPr>
      <w:rFonts w:ascii="Times New Roman" w:eastAsia="Times New Roman" w:hAnsi="Times New Roman" w:cs="Times New Roman"/>
      <w:sz w:val="24"/>
      <w:szCs w:val="24"/>
      <w:lang w:val="ru-RU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F13C8"/>
  </w:style>
  <w:style w:type="paragraph" w:styleId="Header">
    <w:name w:val="header"/>
    <w:basedOn w:val="Normal"/>
    <w:link w:val="HeaderChar"/>
    <w:uiPriority w:val="99"/>
    <w:unhideWhenUsed/>
    <w:rsid w:val="00453A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A5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453A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A51"/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table" w:styleId="TableGrid">
    <w:name w:val="Table Grid"/>
    <w:basedOn w:val="TableNormal"/>
    <w:uiPriority w:val="59"/>
    <w:rsid w:val="00674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3C27"/>
    <w:rPr>
      <w:sz w:val="22"/>
      <w:szCs w:val="22"/>
      <w:lang w:val="nl-NL"/>
    </w:rPr>
  </w:style>
  <w:style w:type="character" w:styleId="Hyperlink">
    <w:name w:val="Hyperlink"/>
    <w:uiPriority w:val="99"/>
    <w:semiHidden/>
    <w:unhideWhenUsed/>
    <w:rsid w:val="00F716E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71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6E3"/>
    <w:rPr>
      <w:rFonts w:asciiTheme="minorHAnsi" w:eastAsiaTheme="minorHAnsi" w:hAnsiTheme="minorHAnsi" w:cstheme="minorBidi"/>
      <w:sz w:val="20"/>
      <w:szCs w:val="20"/>
      <w:lang w:val="fr-CH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6E3"/>
    <w:rPr>
      <w:lang w:val="fr-CH"/>
    </w:rPr>
  </w:style>
  <w:style w:type="character" w:styleId="FootnoteReference">
    <w:name w:val="footnote reference"/>
    <w:basedOn w:val="DefaultParagraphFont"/>
    <w:uiPriority w:val="99"/>
    <w:semiHidden/>
    <w:unhideWhenUsed/>
    <w:rsid w:val="00F716E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C4"/>
    <w:rPr>
      <w:rFonts w:ascii="Tahoma" w:eastAsia="Times New Roman" w:hAnsi="Tahoma" w:cs="Tahoma"/>
      <w:sz w:val="16"/>
      <w:szCs w:val="16"/>
      <w:lang w:val="ru-RU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niester.grida.no/ru/about-project/dniester-env-atlas" TargetMode="External"/><Relationship Id="rId1" Type="http://schemas.openxmlformats.org/officeDocument/2006/relationships/hyperlink" Target="http://82.116.78.174/en/about-geoportal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0EF24-D729-4F01-9737-A1EE7D10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ECE-ISU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Z.</dc:creator>
  <cp:lastModifiedBy>Лилия</cp:lastModifiedBy>
  <cp:revision>2</cp:revision>
  <cp:lastPrinted>2013-06-24T16:54:00Z</cp:lastPrinted>
  <dcterms:created xsi:type="dcterms:W3CDTF">2013-06-24T21:05:00Z</dcterms:created>
  <dcterms:modified xsi:type="dcterms:W3CDTF">2013-06-24T21:05:00Z</dcterms:modified>
</cp:coreProperties>
</file>