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C54AB8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DF0544" w14:textId="77777777" w:rsidR="002D5AAC" w:rsidRDefault="002D5AAC" w:rsidP="005E0A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D9C1D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EE4187" w14:textId="77777777" w:rsidR="002D5AAC" w:rsidRDefault="005E0A28" w:rsidP="005E0A28">
            <w:pPr>
              <w:jc w:val="right"/>
            </w:pPr>
            <w:r w:rsidRPr="005E0A28">
              <w:rPr>
                <w:sz w:val="40"/>
              </w:rPr>
              <w:t>ECE</w:t>
            </w:r>
            <w:r>
              <w:t>/MP.PP/WG.1/2020/8</w:t>
            </w:r>
          </w:p>
        </w:tc>
      </w:tr>
      <w:tr w:rsidR="002D5AAC" w:rsidRPr="00C20B73" w14:paraId="5EF95B6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44A7C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CED95A" wp14:editId="30750E7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E4E8A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BBF83A6" w14:textId="77777777" w:rsidR="002D5AAC" w:rsidRDefault="005E0A2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D2A5DBB" w14:textId="77777777" w:rsidR="005E0A28" w:rsidRDefault="005E0A28" w:rsidP="005E0A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2020</w:t>
            </w:r>
          </w:p>
          <w:p w14:paraId="1D5AB464" w14:textId="77777777" w:rsidR="005E0A28" w:rsidRDefault="005E0A28" w:rsidP="005E0A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BC7118E" w14:textId="77777777" w:rsidR="005E0A28" w:rsidRPr="008D53B6" w:rsidRDefault="005E0A28" w:rsidP="005E0A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F33C6E6" w14:textId="77777777" w:rsidR="005E0A28" w:rsidRPr="00937FB2" w:rsidRDefault="008A37C8" w:rsidP="00255343">
      <w:pPr>
        <w:spacing w:before="120"/>
        <w:rPr>
          <w:b/>
          <w:sz w:val="28"/>
          <w:szCs w:val="28"/>
        </w:rPr>
      </w:pPr>
      <w:r w:rsidRPr="00937FB2">
        <w:rPr>
          <w:b/>
          <w:sz w:val="28"/>
          <w:szCs w:val="28"/>
        </w:rPr>
        <w:t>Европейская экономическая комиссия</w:t>
      </w:r>
    </w:p>
    <w:p w14:paraId="2062288B" w14:textId="77777777" w:rsidR="00280B36" w:rsidRPr="00937FB2" w:rsidRDefault="00280B36" w:rsidP="00280B36">
      <w:pPr>
        <w:spacing w:before="120"/>
        <w:rPr>
          <w:sz w:val="28"/>
          <w:szCs w:val="28"/>
        </w:rPr>
      </w:pPr>
      <w:r w:rsidRPr="00937FB2">
        <w:rPr>
          <w:sz w:val="28"/>
          <w:szCs w:val="28"/>
        </w:rPr>
        <w:t>Совещание Сторон Конвенции о доступе</w:t>
      </w:r>
      <w:r w:rsidRPr="00937FB2">
        <w:rPr>
          <w:sz w:val="28"/>
          <w:szCs w:val="28"/>
        </w:rPr>
        <w:br/>
        <w:t>к информации, участии общественности</w:t>
      </w:r>
      <w:r w:rsidRPr="00937FB2">
        <w:rPr>
          <w:sz w:val="28"/>
          <w:szCs w:val="28"/>
        </w:rPr>
        <w:br/>
        <w:t>в процессе принятия решений и доступе</w:t>
      </w:r>
      <w:r w:rsidRPr="00937FB2">
        <w:rPr>
          <w:sz w:val="28"/>
          <w:szCs w:val="28"/>
        </w:rPr>
        <w:br/>
        <w:t>к правосудию по вопросам, касающимся</w:t>
      </w:r>
      <w:r w:rsidRPr="00937FB2">
        <w:rPr>
          <w:sz w:val="28"/>
          <w:szCs w:val="28"/>
        </w:rPr>
        <w:br/>
        <w:t>окружающей среды</w:t>
      </w:r>
    </w:p>
    <w:p w14:paraId="70BA1ECE" w14:textId="77777777" w:rsidR="00280B36" w:rsidRPr="00937FB2" w:rsidRDefault="00280B36" w:rsidP="00280B36">
      <w:pPr>
        <w:spacing w:before="120"/>
        <w:rPr>
          <w:b/>
          <w:sz w:val="24"/>
          <w:szCs w:val="24"/>
        </w:rPr>
      </w:pPr>
      <w:r w:rsidRPr="00937FB2">
        <w:rPr>
          <w:b/>
          <w:bCs/>
          <w:sz w:val="24"/>
          <w:szCs w:val="24"/>
        </w:rPr>
        <w:t>Рабочая группа Сторон</w:t>
      </w:r>
    </w:p>
    <w:p w14:paraId="2F3CBB86" w14:textId="06CF8948" w:rsidR="00280B36" w:rsidRPr="00937FB2" w:rsidRDefault="00280B36" w:rsidP="00280B36">
      <w:pPr>
        <w:spacing w:before="120"/>
        <w:rPr>
          <w:b/>
        </w:rPr>
      </w:pPr>
      <w:r w:rsidRPr="004A018E">
        <w:rPr>
          <w:b/>
          <w:bCs/>
        </w:rPr>
        <w:t>Двадцать четверт</w:t>
      </w:r>
      <w:r w:rsidR="004A018E">
        <w:rPr>
          <w:b/>
          <w:bCs/>
        </w:rPr>
        <w:t>ое совещание</w:t>
      </w:r>
      <w:bookmarkStart w:id="0" w:name="_GoBack"/>
      <w:bookmarkEnd w:id="0"/>
    </w:p>
    <w:p w14:paraId="47F2D2BB" w14:textId="77777777" w:rsidR="00280B36" w:rsidRPr="00937FB2" w:rsidRDefault="00280B36" w:rsidP="00280B36">
      <w:r w:rsidRPr="00937FB2">
        <w:t>Женева, 1−3 июля 2020 года</w:t>
      </w:r>
    </w:p>
    <w:p w14:paraId="498B1B9C" w14:textId="77777777" w:rsidR="00280B36" w:rsidRPr="00937FB2" w:rsidRDefault="00280B36" w:rsidP="00280B36">
      <w:r w:rsidRPr="00937FB2">
        <w:t>Пункт 7 d) предварительной повестки дня</w:t>
      </w:r>
    </w:p>
    <w:p w14:paraId="78AF1B0A" w14:textId="77777777" w:rsidR="00280B36" w:rsidRPr="00937FB2" w:rsidRDefault="00280B36" w:rsidP="00280B36">
      <w:pPr>
        <w:rPr>
          <w:b/>
          <w:bCs/>
        </w:rPr>
      </w:pPr>
      <w:r w:rsidRPr="00937FB2">
        <w:rPr>
          <w:b/>
          <w:bCs/>
        </w:rPr>
        <w:t>Подготовка к седьмой сессии Совещания Сторон:</w:t>
      </w:r>
      <w:r w:rsidRPr="00937FB2">
        <w:rPr>
          <w:sz w:val="28"/>
          <w:szCs w:val="28"/>
        </w:rPr>
        <w:br/>
      </w:r>
      <w:r w:rsidRPr="00937FB2">
        <w:rPr>
          <w:b/>
          <w:bCs/>
        </w:rPr>
        <w:t>будущие финансовые механизмы</w:t>
      </w:r>
    </w:p>
    <w:p w14:paraId="70AD59FF" w14:textId="77777777" w:rsidR="00280B36" w:rsidRPr="00937FB2" w:rsidRDefault="00280B36" w:rsidP="00280B36">
      <w:pPr>
        <w:pStyle w:val="HChG"/>
      </w:pPr>
      <w:r w:rsidRPr="00937FB2">
        <w:tab/>
      </w:r>
      <w:r w:rsidRPr="00937FB2">
        <w:tab/>
      </w:r>
      <w:r w:rsidRPr="00937FB2">
        <w:rPr>
          <w:bCs/>
        </w:rPr>
        <w:t>Проект элементов возможных финансовых механизмов в рамках Конвенции</w:t>
      </w:r>
    </w:p>
    <w:p w14:paraId="45628625" w14:textId="77777777" w:rsidR="00280B36" w:rsidRPr="00937FB2" w:rsidRDefault="00280B36" w:rsidP="00280B36">
      <w:pPr>
        <w:pStyle w:val="H1G"/>
        <w:rPr>
          <w:bCs/>
        </w:rPr>
      </w:pPr>
      <w:r w:rsidRPr="00937FB2">
        <w:tab/>
      </w:r>
      <w:r w:rsidRPr="00937FB2">
        <w:tab/>
      </w:r>
      <w:r w:rsidRPr="00937FB2">
        <w:rPr>
          <w:bCs/>
        </w:rPr>
        <w:t>Подготовлен Президиумом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937FB2" w:rsidRPr="00937FB2" w14:paraId="5CF683DC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FC112AE" w14:textId="77777777" w:rsidR="00280B36" w:rsidRPr="00937FB2" w:rsidRDefault="00280B3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937FB2">
              <w:rPr>
                <w:rFonts w:cs="Times New Roman"/>
              </w:rPr>
              <w:tab/>
            </w:r>
            <w:r w:rsidRPr="00937FB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937FB2" w:rsidRPr="00937FB2" w14:paraId="05FE1A2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82D896D" w14:textId="77777777" w:rsidR="00280B36" w:rsidRPr="00937FB2" w:rsidRDefault="00280B36" w:rsidP="00280B36">
            <w:pPr>
              <w:pStyle w:val="SingleTxtG"/>
              <w:ind w:firstLine="567"/>
            </w:pPr>
            <w:r w:rsidRPr="00937FB2">
              <w:tab/>
              <w:t>На своей шестой сессии (Будва, Черногория, 11–14 сентября 2017 года) Совещание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поручило Президиуму и Рабочей группе Сторон изучить варианты обеспечения более предсказуемого, стабильного и справедливо распределяемого финансирования и просило их внести соответствующие предложения для рассмотрения Совещанием Сторон на его седьмой сессии (ECE/MP.PP/2017/2/Add.1, решение VI/6, пункт 14 постановляющей части).</w:t>
            </w:r>
          </w:p>
        </w:tc>
      </w:tr>
      <w:tr w:rsidR="00937FB2" w:rsidRPr="00937FB2" w14:paraId="439FF78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03D1D76" w14:textId="77777777" w:rsidR="00280B36" w:rsidRPr="00937FB2" w:rsidRDefault="00280B36" w:rsidP="00280B36">
            <w:pPr>
              <w:pStyle w:val="SingleTxtG"/>
              <w:ind w:firstLine="567"/>
            </w:pPr>
            <w:r w:rsidRPr="00937FB2">
              <w:tab/>
              <w:t>Настоящий документ подготовлен в соответствии с решением VI/6. В документе содержится информация о подходе к подготовке будущего решения о финансовых механизмах и ориентировочный график его подготовки. Предлагаемый проект решения о будущих финансовых механизмах содержится в приложении I к настоящему документу. На рассмотрение Рабочей группы выносятся следующие главные вопросы: a) должна ли система финансовых механизмов носить обязательный, рекомендательный или добровольный характер; и b) должна ли применяться шкала начисления взносов Организации Объединенных Наций при определении размеров взносов.</w:t>
            </w:r>
          </w:p>
        </w:tc>
      </w:tr>
      <w:tr w:rsidR="00937FB2" w:rsidRPr="00937FB2" w14:paraId="04A1C789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AE8EB8F" w14:textId="77777777" w:rsidR="00280B36" w:rsidRPr="00937FB2" w:rsidRDefault="00280B36" w:rsidP="00280B36">
            <w:pPr>
              <w:pStyle w:val="SingleTxtG"/>
              <w:pageBreakBefore/>
              <w:ind w:firstLine="567"/>
            </w:pPr>
            <w:r w:rsidRPr="00937FB2">
              <w:lastRenderedPageBreak/>
              <w:tab/>
              <w:t>Рабочей группе будет предложено рассмотреть настоящую записку о будущих финансовых механизмах на своем двадцать четвертом совещании (Женева, 1–3 июля 2020 года) и поручить Президиуму доработать ее в свете обсуждений на этом совещании для представления и одобрения на двадцать пятом совещании Рабочей группы Сторон в 202</w:t>
            </w:r>
            <w:r w:rsidR="0076248C">
              <w:t>1</w:t>
            </w:r>
            <w:r w:rsidRPr="00937FB2">
              <w:t xml:space="preserve"> году с целью ее возможного принятия на седьмой сессии Совещания Сторон (намеченной на октябрь 2021 года).</w:t>
            </w:r>
          </w:p>
        </w:tc>
      </w:tr>
      <w:tr w:rsidR="00937FB2" w:rsidRPr="00937FB2" w14:paraId="71CC65B1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4D708C8A" w14:textId="77777777" w:rsidR="00280B36" w:rsidRPr="00937FB2" w:rsidRDefault="00280B36" w:rsidP="00280B36">
            <w:pPr>
              <w:ind w:firstLine="567"/>
              <w:rPr>
                <w:rFonts w:cs="Times New Roman"/>
              </w:rPr>
            </w:pPr>
          </w:p>
        </w:tc>
      </w:tr>
    </w:tbl>
    <w:p w14:paraId="49663627" w14:textId="77777777" w:rsidR="00280B36" w:rsidRPr="00937FB2" w:rsidRDefault="00280B36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 w:rsidRPr="00937FB2">
        <w:rPr>
          <w:bCs/>
        </w:rPr>
        <w:br w:type="page"/>
      </w:r>
    </w:p>
    <w:p w14:paraId="713863EF" w14:textId="77777777" w:rsidR="00280B36" w:rsidRPr="00937FB2" w:rsidRDefault="00280B36" w:rsidP="00280B36">
      <w:pPr>
        <w:pStyle w:val="HChG"/>
      </w:pPr>
      <w:r w:rsidRPr="00937FB2">
        <w:rPr>
          <w:bCs/>
        </w:rPr>
        <w:lastRenderedPageBreak/>
        <w:tab/>
        <w:t>I.</w:t>
      </w:r>
      <w:r w:rsidRPr="00937FB2">
        <w:tab/>
      </w:r>
      <w:r w:rsidRPr="00937FB2">
        <w:rPr>
          <w:bCs/>
        </w:rPr>
        <w:t>Введение</w:t>
      </w:r>
    </w:p>
    <w:p w14:paraId="1B5ECC00" w14:textId="77777777" w:rsidR="00280B36" w:rsidRPr="00937FB2" w:rsidRDefault="00280B36" w:rsidP="00280B36">
      <w:pPr>
        <w:pStyle w:val="SingleTxtG"/>
      </w:pPr>
      <w:r w:rsidRPr="00937FB2">
        <w:t>1.</w:t>
      </w:r>
      <w:r w:rsidRPr="00937FB2">
        <w:tab/>
        <w:t>Настоящая записка подготовлена в соответствии с решением VI/6 Совещания Сторон (ECE/MP.PP/2017/2/Add.1), принятым на его шестой сессии (Будва, Черногория, 11–13 сентября 2017 года). В записке содержится информация о подходе к подготовке проекта будущего решения о финансовых механизмах и ориентировочный график его подготовки. Предлагаемый проект решения о будущих финансовых механизмах содержится в приложении I к настоящему документу.</w:t>
      </w:r>
    </w:p>
    <w:p w14:paraId="1EC4DF5D" w14:textId="77777777" w:rsidR="00280B36" w:rsidRPr="00937FB2" w:rsidRDefault="00280B36" w:rsidP="00280B36">
      <w:pPr>
        <w:pStyle w:val="SingleTxtG"/>
      </w:pPr>
      <w:r w:rsidRPr="00937FB2">
        <w:t>2.</w:t>
      </w:r>
      <w:r w:rsidRPr="00937FB2">
        <w:tab/>
        <w:t>Президиум отмечает, что нынешняя схема финансирования, основанная на добровольных взносах, не позволяет прогнозировать их размер. Уровень взносов колеблется и делает финансирование внебюджетных мероприятий и должностей непредсказуемым и далеко не гарантированным. Это негативно сказывается на способности секретариата осуществлять долгосрочное планирование. Система обязательных взносов, увязанная со шкалой взносов Организации Объединенных Наций, повысила бы финансовую предсказуемость, а значит и устойчивость работы секретариата. Кроме того, взносы в соответствии со шкалой взносов Организации Объединенных Наций способствовали бы более справедливому распределению финансового бремени между Сторонами.</w:t>
      </w:r>
    </w:p>
    <w:p w14:paraId="01B9B194" w14:textId="77777777" w:rsidR="00280B36" w:rsidRPr="00937FB2" w:rsidRDefault="00280B36" w:rsidP="00280B36">
      <w:pPr>
        <w:pStyle w:val="HChG"/>
      </w:pPr>
      <w:r w:rsidRPr="00937FB2">
        <w:rPr>
          <w:bCs/>
        </w:rPr>
        <w:tab/>
        <w:t>II.</w:t>
      </w:r>
      <w:r w:rsidRPr="00937FB2">
        <w:tab/>
      </w:r>
      <w:r w:rsidRPr="00937FB2">
        <w:rPr>
          <w:bCs/>
        </w:rPr>
        <w:t>Подход к подготовке решения о будущих финансовых механизмах</w:t>
      </w:r>
    </w:p>
    <w:p w14:paraId="4BDE367C" w14:textId="77777777" w:rsidR="00280B36" w:rsidRPr="00937FB2" w:rsidRDefault="00280B36" w:rsidP="00280B36">
      <w:pPr>
        <w:pStyle w:val="SingleTxtG"/>
      </w:pPr>
      <w:r w:rsidRPr="00937FB2">
        <w:t>3.</w:t>
      </w:r>
      <w:r w:rsidRPr="00937FB2">
        <w:tab/>
        <w:t>Учитывая отсутствие на данный момент консенсуса в отношении схемы взносов (например, обязательной либо добровольной) и введения схемы начисления взносов, предлагается отразить в проекте решения о финансовых механизмах различные рассматриваемые варианты и соответствующим образом обновить содержание данного проекта решения. Таким образом, в основу содержащегося в приложении I ниже проекта решения положено нынешнее принятое решение VI/6 о финансовых механизмах в соответствии с Конвенцией с новыми элементами, касающимися обязательной схемы взносов и шкалы взносов Организации Объединенных Наций, вытекающими из проекта решения VI/6 о финансовых механизмах, представленного шестой сессии Совещания Сторон Конвенции (ECE/MP.PP/2017/13). В качестве возможного подхода к укреплению нынешней добровольной схемы был также добавлен новый вариант, предусматривающий рекомендательную схему. Кроме того, были внесены требующиеся редакционные изменения и добавлен один новый пункт. В целях содействия обсуждениям в Рабочей группе редакционные изменения, внесенные в нынешнее принятое решение VI/6, отмечены при помощи использования функции отображения изменений в сопровождающем его документе (AC/WGP-24/Inf.10). Поэтому проект решения содержит три варианта: нынешняя финансовая схема, основанная на добровольных взносах; рекомендательная схема; и обязательная схема взносов, приведенная в соответствие со шкалой начисления взносов Организации Объединенных Наций. Для большей ясности в отношении различных вариантов, рассматриваемых в качестве схем финансирования, в проекте решения жирным шрифтом выделен текст того варианта или тех вариантов, которые применимы к предлагаемому тексту. Вариант A касается схемы финансирования на основе добровольных взносов. Вариант B относится к схеме финансирования на основе рекомендуемых взносов. Вариант C представляет собой схему финансирования на основе обязательных взносов. На рассмотрение Рабочей группы выносятся следующие главные вопросы: a) должна ли схема финансовых механизмов носить обязательный, рекомендательный или добровольный характер; и b) должна ли применяться шкала начисления взносов Организации Объединенных Наций при определении размеров взносов.</w:t>
      </w:r>
      <w:bookmarkStart w:id="1" w:name="_Hlk32488641"/>
      <w:bookmarkEnd w:id="1"/>
    </w:p>
    <w:p w14:paraId="26DD03F9" w14:textId="77777777" w:rsidR="00280B36" w:rsidRPr="00937FB2" w:rsidRDefault="00280B36" w:rsidP="00A71527">
      <w:pPr>
        <w:pStyle w:val="HChG"/>
        <w:pageBreakBefore/>
      </w:pPr>
      <w:r w:rsidRPr="00937FB2">
        <w:rPr>
          <w:bCs/>
        </w:rPr>
        <w:lastRenderedPageBreak/>
        <w:tab/>
        <w:t>III.</w:t>
      </w:r>
      <w:r w:rsidRPr="00937FB2">
        <w:tab/>
      </w:r>
      <w:r w:rsidRPr="00937FB2">
        <w:rPr>
          <w:bCs/>
        </w:rPr>
        <w:t>Ориентировочный график</w:t>
      </w:r>
    </w:p>
    <w:p w14:paraId="07EE3888" w14:textId="77777777" w:rsidR="00280B36" w:rsidRPr="00937FB2" w:rsidRDefault="00280B36" w:rsidP="00280B36">
      <w:pPr>
        <w:pStyle w:val="SingleTxtG"/>
      </w:pPr>
      <w:r w:rsidRPr="00937FB2">
        <w:t>4.</w:t>
      </w:r>
      <w:r w:rsidRPr="00937FB2">
        <w:tab/>
        <w:t>В приводимом ниже ориентировочном графике подготовки будущего решения о финансовых механизмах учтена необходимость: a) предоставления правительствам, неправительственным организациям (НПО), широкой общественности и другим заинтересованным сторонам достаточного срока для проведения консультаций в рамках их соответствующих групп, организаций и сетевых партнерств;</w:t>
      </w:r>
      <w:r w:rsidR="00A71527" w:rsidRPr="00937FB2">
        <w:br/>
      </w:r>
      <w:r w:rsidRPr="00937FB2">
        <w:t>и b) обеспечения готовности предварительного проекта этого документа для утверждения Рабочей группой Сторон на ее двадцать пятом совещании в 2021 году до начала седьмой сессии Совещания Сторон. Этот подход основан на накопленном в предшествующий период опыте и получил одобрение как правительств, так и заинтересованных сторон, включая НПО, которые имели возможность представить материалы и согласовать текст задолго до его официального принятия.</w:t>
      </w:r>
    </w:p>
    <w:p w14:paraId="58FB8169" w14:textId="77777777" w:rsidR="00280B36" w:rsidRPr="00937FB2" w:rsidRDefault="00280B36" w:rsidP="00280B36">
      <w:pPr>
        <w:pStyle w:val="SingleTxtG"/>
      </w:pPr>
      <w:r w:rsidRPr="00937FB2">
        <w:t>5.</w:t>
      </w:r>
      <w:r w:rsidRPr="00937FB2">
        <w:tab/>
        <w:t>Предлагается следующий ориентировочный график:</w:t>
      </w:r>
    </w:p>
    <w:p w14:paraId="43A08857" w14:textId="77777777" w:rsidR="00280B36" w:rsidRPr="00937FB2" w:rsidRDefault="00280B36" w:rsidP="00280B36">
      <w:pPr>
        <w:pStyle w:val="SingleTxtG"/>
        <w:ind w:firstLine="567"/>
      </w:pPr>
      <w:r w:rsidRPr="00937FB2">
        <w:t>a)</w:t>
      </w:r>
      <w:r w:rsidRPr="00937FB2">
        <w:tab/>
        <w:t>предложение о подготовке проекта решения о финансовых механизмах будет представлено для рассмотрения на двадцать четвертом совещании Рабочей группы Сторон (Женева, 1–3 июля 2020 года);</w:t>
      </w:r>
    </w:p>
    <w:p w14:paraId="009B3A5D" w14:textId="77777777" w:rsidR="00280B36" w:rsidRPr="00937FB2" w:rsidRDefault="00280B36" w:rsidP="00280B36">
      <w:pPr>
        <w:pStyle w:val="SingleTxtG"/>
        <w:ind w:firstLine="567"/>
        <w:rPr>
          <w:rFonts w:asciiTheme="majorBidi" w:hAnsiTheme="majorBidi" w:cstheme="majorBidi"/>
        </w:rPr>
      </w:pPr>
      <w:r w:rsidRPr="00937FB2">
        <w:t>b)</w:t>
      </w:r>
      <w:r w:rsidRPr="00937FB2">
        <w:tab/>
        <w:t>пересмотренный проект решения о финансовых механизмах будет подготовлен с учетом замечаний, полученных на двадцать четвертом совещании Рабочей группы Сторон, и предоставлен в сетевом формате Сторонам, НПО, широкой общественности и другим заинтересованным кругам для высказывания замечаний (третий квартал 2020 года);</w:t>
      </w:r>
    </w:p>
    <w:p w14:paraId="5E1AC392" w14:textId="77777777" w:rsidR="00E12C5F" w:rsidRPr="00937FB2" w:rsidRDefault="00280B36" w:rsidP="00A71527">
      <w:pPr>
        <w:pStyle w:val="SingleTxtG"/>
        <w:ind w:firstLine="567"/>
      </w:pPr>
      <w:r w:rsidRPr="00937FB2">
        <w:t>c)</w:t>
      </w:r>
      <w:r w:rsidRPr="00937FB2">
        <w:tab/>
        <w:t>Президиум подготовит с учетом полученных замечаний пересмотренный проект решения о финансовых механизмах, который будет предоставлен в сетевом формате для замечаний, а затем представлен двадцать пятому совещанию Рабочей группы Сторон для дальнейшего обсуждения и одобрения с целью представления Совещанию Сторон для принятия на его седьмой сессии.</w:t>
      </w:r>
    </w:p>
    <w:p w14:paraId="43CDA450" w14:textId="77777777" w:rsidR="00A71527" w:rsidRPr="00937FB2" w:rsidRDefault="00A71527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937FB2">
        <w:br w:type="page"/>
      </w:r>
    </w:p>
    <w:p w14:paraId="4325620F" w14:textId="77777777" w:rsidR="00A71527" w:rsidRPr="00937FB2" w:rsidRDefault="00A71527" w:rsidP="00A71527">
      <w:pPr>
        <w:pStyle w:val="HChG"/>
      </w:pPr>
      <w:r w:rsidRPr="00937FB2">
        <w:rPr>
          <w:bCs/>
        </w:rPr>
        <w:lastRenderedPageBreak/>
        <w:t>Приложение I</w:t>
      </w:r>
    </w:p>
    <w:p w14:paraId="0C2FC0DB" w14:textId="77777777" w:rsidR="00A71527" w:rsidRPr="00937FB2" w:rsidRDefault="00A71527" w:rsidP="00A71527">
      <w:pPr>
        <w:pStyle w:val="SingleTxtG"/>
        <w:rPr>
          <w:i/>
          <w:iCs/>
        </w:rPr>
      </w:pPr>
      <w:r w:rsidRPr="00937FB2">
        <w:tab/>
      </w:r>
      <w:r w:rsidRPr="00937FB2">
        <w:tab/>
      </w:r>
      <w:r w:rsidRPr="00937FB2">
        <w:rPr>
          <w:i/>
          <w:iCs/>
        </w:rPr>
        <w:t>Совещание Сторон,</w:t>
      </w:r>
    </w:p>
    <w:p w14:paraId="1F063826" w14:textId="77777777" w:rsidR="00A71527" w:rsidRPr="00937FB2" w:rsidRDefault="00A71527" w:rsidP="00A71527">
      <w:pPr>
        <w:pStyle w:val="SingleTxtG"/>
      </w:pPr>
      <w:r w:rsidRPr="00937FB2">
        <w:tab/>
      </w:r>
      <w:r w:rsidRPr="00937FB2">
        <w:tab/>
      </w:r>
      <w:r w:rsidRPr="00937FB2">
        <w:rPr>
          <w:i/>
          <w:iCs/>
        </w:rPr>
        <w:t>ссылаясь</w:t>
      </w:r>
      <w:r w:rsidRPr="00937FB2">
        <w:t xml:space="preserve"> на пункт 3 статьи 10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который гласит, что Совещание Сторон Конвенции может, при необходимости, рассматривать вопрос о создании на основе консенсуса финансовых механизмов,</w:t>
      </w:r>
    </w:p>
    <w:p w14:paraId="4CA4D22F" w14:textId="77777777" w:rsidR="00A71527" w:rsidRPr="00937FB2" w:rsidRDefault="00A71527" w:rsidP="00A71527">
      <w:pPr>
        <w:pStyle w:val="SingleTxtG"/>
      </w:pPr>
      <w:r w:rsidRPr="00937FB2">
        <w:tab/>
      </w:r>
      <w:r w:rsidRPr="00937FB2">
        <w:tab/>
      </w:r>
      <w:r w:rsidRPr="00937FB2">
        <w:rPr>
          <w:i/>
          <w:iCs/>
        </w:rPr>
        <w:t>ссылаясь также</w:t>
      </w:r>
      <w:r w:rsidRPr="00937FB2">
        <w:t xml:space="preserve"> на свои решения I/13, II/6, III/7, IV/7, V/7 и VI/6, в соответствии с которыми была создана и функционирует временная схема добровольных взносов, которая открыта для сбора взносов, вносимых Сторонами, сигнатариями и другими государствами, пожелавшими участвовать в ней,</w:t>
      </w:r>
    </w:p>
    <w:p w14:paraId="6A2040BE" w14:textId="77777777" w:rsidR="00A71527" w:rsidRPr="00937FB2" w:rsidRDefault="00A71527" w:rsidP="00A71527">
      <w:pPr>
        <w:pStyle w:val="SingleTxtG"/>
      </w:pPr>
      <w:r w:rsidRPr="00937FB2">
        <w:tab/>
      </w:r>
      <w:r w:rsidRPr="00937FB2">
        <w:tab/>
      </w:r>
      <w:r w:rsidRPr="00937FB2">
        <w:rPr>
          <w:i/>
          <w:iCs/>
        </w:rPr>
        <w:t>рассмотрев</w:t>
      </w:r>
      <w:r w:rsidRPr="00937FB2">
        <w:t xml:space="preserve"> итоги оценки нынешней временной схемы взносов (ECE/MP.PP/WG.1/2013/9) и напоминая об обсуждениях и решениях, принятых на каждой из предыдущих сессий Совещания Сторон по вопросу о финансовых механизмах в рамках Конвенции, [о необходимости создания финансовых механизмов, основанных на целях обеспечения стабильности, предсказуемости и справедливого распределения бремени расходов],</w:t>
      </w:r>
    </w:p>
    <w:p w14:paraId="7260B9E6" w14:textId="77777777" w:rsidR="00A71527" w:rsidRPr="00937FB2" w:rsidRDefault="00A71527" w:rsidP="00A71527">
      <w:pPr>
        <w:pStyle w:val="SingleTxtG"/>
      </w:pPr>
      <w:r w:rsidRPr="00937FB2">
        <w:tab/>
      </w:r>
      <w:r w:rsidRPr="00937FB2">
        <w:tab/>
      </w:r>
      <w:r w:rsidRPr="00937FB2">
        <w:rPr>
          <w:i/>
          <w:iCs/>
        </w:rPr>
        <w:t>признавая</w:t>
      </w:r>
      <w:r w:rsidRPr="00937FB2">
        <w:t xml:space="preserve"> необходимость:</w:t>
      </w:r>
    </w:p>
    <w:p w14:paraId="03C89695" w14:textId="77777777" w:rsidR="00A71527" w:rsidRPr="00937FB2" w:rsidRDefault="00A71527" w:rsidP="00A71527">
      <w:pPr>
        <w:spacing w:after="120"/>
        <w:ind w:left="1134" w:right="1134" w:firstLine="567"/>
        <w:jc w:val="both"/>
      </w:pPr>
      <w:r w:rsidRPr="00937FB2">
        <w:t>a)</w:t>
      </w:r>
      <w:r w:rsidRPr="00937FB2">
        <w:tab/>
        <w:t>обеспечения наличия достаточных ресурсов для осуществления программы работы по Конвенции на 2021−2025 годы, которая была принята решением VII/…,</w:t>
      </w:r>
    </w:p>
    <w:p w14:paraId="41458681" w14:textId="77777777" w:rsidR="00A71527" w:rsidRPr="00937FB2" w:rsidRDefault="00A71527" w:rsidP="00A71527">
      <w:pPr>
        <w:spacing w:after="120"/>
        <w:ind w:left="1134" w:right="1134" w:firstLine="567"/>
        <w:jc w:val="both"/>
      </w:pPr>
      <w:r w:rsidRPr="00937FB2">
        <w:t>b)</w:t>
      </w:r>
      <w:r w:rsidRPr="00937FB2">
        <w:tab/>
        <w:t>обеспечения того, чтобы схема финансовых взносов была транспарентной и доступной для всех Сторон, сигнатариев и других государств и организаций, желающих вносить взносы,</w:t>
      </w:r>
    </w:p>
    <w:p w14:paraId="2345DB6E" w14:textId="77777777" w:rsidR="00A71527" w:rsidRPr="00937FB2" w:rsidRDefault="00A71527" w:rsidP="00A71527">
      <w:pPr>
        <w:spacing w:after="120"/>
        <w:ind w:left="1134" w:right="1134" w:firstLine="567"/>
        <w:jc w:val="both"/>
      </w:pPr>
      <w:r w:rsidRPr="00937FB2">
        <w:t>c)</w:t>
      </w:r>
      <w:r w:rsidRPr="00937FB2">
        <w:tab/>
        <w:t>создания финансовых механизмов согласно Конвенции, опирающихся на принципы справедливого распределения бремени расходов, стабильности и прогнозируемости источников финансирования, подотчетности и рационального управления финансовой деятельностью,</w:t>
      </w:r>
    </w:p>
    <w:p w14:paraId="49FFD943" w14:textId="2F20FFF7" w:rsidR="00A71527" w:rsidRPr="00937FB2" w:rsidRDefault="00A71527" w:rsidP="00A71527">
      <w:pPr>
        <w:pStyle w:val="SingleTxtG"/>
      </w:pPr>
      <w:r w:rsidRPr="00937FB2">
        <w:tab/>
      </w:r>
      <w:r w:rsidRPr="00937FB2">
        <w:tab/>
        <w:t>[</w:t>
      </w:r>
      <w:r w:rsidRPr="00937FB2">
        <w:rPr>
          <w:i/>
          <w:iCs/>
        </w:rPr>
        <w:t>выражая серьезную обеспокоенность</w:t>
      </w:r>
      <w:r w:rsidRPr="00937FB2">
        <w:t xml:space="preserve"> в связи с тем, что бремя расходов в текущий межсессионный период распределяется неравномерно, когда ряд Сторон и сигнатариев вообще не вносят взносы</w:t>
      </w:r>
      <w:r w:rsidRPr="00937FB2">
        <w:rPr>
          <w:rStyle w:val="aa"/>
        </w:rPr>
        <w:footnoteReference w:id="1"/>
      </w:r>
      <w:r w:rsidR="00C20B73" w:rsidRPr="00937FB2">
        <w:t>,</w:t>
      </w:r>
      <w:r w:rsidRPr="00937FB2">
        <w:t>]</w:t>
      </w:r>
    </w:p>
    <w:p w14:paraId="773EB20F" w14:textId="77777777" w:rsidR="00A71527" w:rsidRPr="00937FB2" w:rsidRDefault="00A71527" w:rsidP="00A71527">
      <w:pPr>
        <w:pStyle w:val="SingleTxtG"/>
      </w:pPr>
      <w:r w:rsidRPr="00937FB2">
        <w:tab/>
      </w:r>
      <w:r w:rsidRPr="00937FB2">
        <w:tab/>
      </w:r>
      <w:r w:rsidRPr="00937FB2">
        <w:rPr>
          <w:i/>
          <w:iCs/>
        </w:rPr>
        <w:t>полагая</w:t>
      </w:r>
      <w:r w:rsidRPr="00937FB2">
        <w:t>, что альтернативные варианты финансовых механизмов, действующих согласно Конвенции, должны быть рассмотрены Совещанием Сторон на его следующей сессии для обеспечения того, чтобы эти механизмы соответствовали целям достижения стабильности, предсказуемости и справедливого распределения бремени расходов,</w:t>
      </w:r>
    </w:p>
    <w:p w14:paraId="3B41D7AB" w14:textId="77777777" w:rsidR="00A71527" w:rsidRPr="00937FB2" w:rsidRDefault="001C2EA7" w:rsidP="00A71527">
      <w:pPr>
        <w:pStyle w:val="SingleTxtG"/>
      </w:pPr>
      <w:r>
        <w:tab/>
      </w:r>
      <w:r>
        <w:tab/>
      </w:r>
      <w:r w:rsidR="00A71527" w:rsidRPr="00937FB2">
        <w:t>1.</w:t>
      </w:r>
      <w:r w:rsidR="00A71527" w:rsidRPr="00937FB2">
        <w:tab/>
      </w:r>
      <w:r w:rsidR="00A71527" w:rsidRPr="00937FB2">
        <w:rPr>
          <w:b/>
          <w:bCs/>
        </w:rPr>
        <w:t>Вариант А для добровольных взносов:</w:t>
      </w:r>
      <w:r w:rsidR="00A71527" w:rsidRPr="00937FB2">
        <w:t xml:space="preserve"> [</w:t>
      </w:r>
      <w:r w:rsidR="00A71527" w:rsidRPr="00937FB2">
        <w:rPr>
          <w:i/>
          <w:iCs/>
        </w:rPr>
        <w:t>постановляет</w:t>
      </w:r>
      <w:r w:rsidR="00A71527" w:rsidRPr="00937FB2">
        <w:t xml:space="preserve"> продолжать использовать существующую временную схему взносов, отраженную в решении VI/6 Совещания Сторон Конвенции (ECE/MP.PP/2017/2/Add.1)] </w:t>
      </w:r>
      <w:r w:rsidR="00A71527" w:rsidRPr="00937FB2">
        <w:rPr>
          <w:b/>
          <w:bCs/>
        </w:rPr>
        <w:t>Вариант В для рекомендуемых взносов:</w:t>
      </w:r>
      <w:r w:rsidR="00A71527" w:rsidRPr="00937FB2">
        <w:t xml:space="preserve"> [</w:t>
      </w:r>
      <w:r w:rsidR="00A71527" w:rsidRPr="00937FB2">
        <w:rPr>
          <w:i/>
          <w:iCs/>
        </w:rPr>
        <w:t>устанавливает</w:t>
      </w:r>
      <w:r w:rsidR="00A71527" w:rsidRPr="00937FB2">
        <w:t xml:space="preserve"> рекомендательную схему взносов] </w:t>
      </w:r>
      <w:r w:rsidR="00A71527" w:rsidRPr="00937FB2">
        <w:rPr>
          <w:b/>
          <w:bCs/>
        </w:rPr>
        <w:t>Вариант С для обязательных взносов:</w:t>
      </w:r>
      <w:r w:rsidR="00A71527" w:rsidRPr="00937FB2">
        <w:t xml:space="preserve"> [</w:t>
      </w:r>
      <w:r w:rsidR="00A71527" w:rsidRPr="00937FB2">
        <w:rPr>
          <w:i/>
          <w:iCs/>
        </w:rPr>
        <w:t>устанавливает</w:t>
      </w:r>
      <w:r w:rsidR="00A71527" w:rsidRPr="00937FB2">
        <w:t xml:space="preserve"> схему обязательных взносов], направленную на покрытие расходов на те виды деятельности по программе работы, которые не покрываются регулярным бюджетом Организации Объединенных Наций, на основе следующих принципов:</w:t>
      </w:r>
    </w:p>
    <w:p w14:paraId="67FB9C73" w14:textId="77777777" w:rsidR="00A71527" w:rsidRPr="00937FB2" w:rsidRDefault="00A71527" w:rsidP="00A71527">
      <w:pPr>
        <w:spacing w:after="120"/>
        <w:ind w:left="1134" w:right="1134" w:firstLine="567"/>
        <w:jc w:val="both"/>
      </w:pPr>
      <w:r w:rsidRPr="00937FB2">
        <w:t>a)</w:t>
      </w:r>
      <w:r w:rsidRPr="00937FB2">
        <w:tab/>
        <w:t>Сторонам следует совместно обеспечивать, чтобы расходы на те предусмотренные в программе работы виды деятельности, которые не покрываются из средств регулярного бюджета Организации Объединенных Наций, покрывались с помощью этой финансовой схемы;</w:t>
      </w:r>
    </w:p>
    <w:p w14:paraId="3AADE61B" w14:textId="77777777" w:rsidR="00A71527" w:rsidRPr="00937FB2" w:rsidRDefault="00A71527" w:rsidP="00A71527">
      <w:pPr>
        <w:pStyle w:val="SingleTxtG"/>
        <w:pageBreakBefore/>
        <w:ind w:firstLine="567"/>
      </w:pPr>
      <w:r w:rsidRPr="00937FB2">
        <w:rPr>
          <w:b/>
          <w:bCs/>
        </w:rPr>
        <w:lastRenderedPageBreak/>
        <w:t>Относится только к варианту C:</w:t>
      </w:r>
      <w:r w:rsidRPr="00937FB2">
        <w:t xml:space="preserve"> [b)</w:t>
      </w:r>
      <w:r w:rsidRPr="00937FB2">
        <w:tab/>
        <w:t>бремя расходов на эти виды деятельности распределяется между Сторонами и сигнатариями Конвенции пропорционально шкале взносов Организации Объединенных Наций</w:t>
      </w:r>
      <w:r w:rsidRPr="00937FB2">
        <w:rPr>
          <w:rStyle w:val="aa"/>
        </w:rPr>
        <w:footnoteReference w:id="2"/>
      </w:r>
      <w:r w:rsidRPr="00937FB2">
        <w:t>, причем ориентировочный размер взноса каждой Стороны на 2019 год указан в приложении к настоящему решению;</w:t>
      </w:r>
    </w:p>
    <w:p w14:paraId="3C617D17" w14:textId="77777777" w:rsidR="00A71527" w:rsidRPr="00937FB2" w:rsidRDefault="00A71527" w:rsidP="00A71527">
      <w:pPr>
        <w:pStyle w:val="SingleTxtG"/>
        <w:ind w:firstLine="567"/>
      </w:pPr>
      <w:r w:rsidRPr="00937FB2">
        <w:t>c)</w:t>
      </w:r>
      <w:r w:rsidRPr="00937FB2">
        <w:tab/>
        <w:t>шкала взносов должна корректироваться таким образом, чтобы размеры взносов ни одной из Сторон или сигнатариев не превышали 22%</w:t>
      </w:r>
      <w:r w:rsidRPr="00937FB2">
        <w:rPr>
          <w:rStyle w:val="aa"/>
        </w:rPr>
        <w:footnoteReference w:id="3"/>
      </w:r>
      <w:r w:rsidRPr="00937FB2">
        <w:t xml:space="preserve"> сметных расходов, покрываемых с помощью этой схемы взносов;</w:t>
      </w:r>
    </w:p>
    <w:p w14:paraId="0308A8AF" w14:textId="77777777" w:rsidR="00A71527" w:rsidRPr="00937FB2" w:rsidRDefault="00A71527" w:rsidP="00A71527">
      <w:pPr>
        <w:pStyle w:val="SingleTxtG"/>
        <w:ind w:firstLine="567"/>
        <w:rPr>
          <w:w w:val="102"/>
        </w:rPr>
      </w:pPr>
      <w:r w:rsidRPr="00937FB2">
        <w:t>d)</w:t>
      </w:r>
      <w:r w:rsidRPr="00937FB2">
        <w:tab/>
        <w:t>каждая Сторона или сигнатарий ежегодно вносит как минимум сумму, рассчитанную на основе применения скорректированной шкалы взносов, указываемой в подпункте...</w:t>
      </w:r>
      <w:r w:rsidR="001C2EA7">
        <w:t xml:space="preserve"> </w:t>
      </w:r>
      <w:r w:rsidRPr="00937FB2">
        <w:t>[выше/ниже], для покрытия общих сметных расходов на осуществление деятельности, однако размер каждого взноса не должен быть меньше того, который указан в подпункте... [выше/ниже];]</w:t>
      </w:r>
    </w:p>
    <w:p w14:paraId="7E3C066E" w14:textId="77777777" w:rsidR="00A71527" w:rsidRPr="00937FB2" w:rsidRDefault="00A71527" w:rsidP="00A71527">
      <w:pPr>
        <w:pStyle w:val="SingleTxtG"/>
        <w:ind w:firstLine="567"/>
      </w:pPr>
      <w:r w:rsidRPr="00937FB2">
        <w:rPr>
          <w:b/>
          <w:bCs/>
        </w:rPr>
        <w:t>Относится к вариантам A, B и C:</w:t>
      </w:r>
    </w:p>
    <w:p w14:paraId="5FCFA764" w14:textId="77777777" w:rsidR="00A71527" w:rsidRPr="00937FB2" w:rsidRDefault="00A71527" w:rsidP="00A71527">
      <w:pPr>
        <w:spacing w:after="120"/>
        <w:ind w:left="1134" w:right="1134" w:firstLine="567"/>
        <w:jc w:val="both"/>
      </w:pPr>
      <w:r w:rsidRPr="00937FB2">
        <w:t>[b)]</w:t>
      </w:r>
      <w:r w:rsidRPr="00937FB2">
        <w:tab/>
        <w:t>ожидается, что ни у одной из Сторон либо сигнатариев размер взноса на программу работы по Конвенции за конкретный календарный год не будет составлять менее [500] [1</w:t>
      </w:r>
      <w:r w:rsidR="001C2EA7">
        <w:t xml:space="preserve"> </w:t>
      </w:r>
      <w:r w:rsidRPr="00937FB2">
        <w:t>000] долл. США;</w:t>
      </w:r>
    </w:p>
    <w:p w14:paraId="3C559ACB" w14:textId="77777777" w:rsidR="00A71527" w:rsidRPr="00937FB2" w:rsidRDefault="00A71527" w:rsidP="00A71527">
      <w:pPr>
        <w:spacing w:after="120"/>
        <w:ind w:left="1134" w:right="1134" w:firstLine="567"/>
        <w:jc w:val="both"/>
      </w:pPr>
      <w:r w:rsidRPr="00937FB2">
        <w:t>[c)]</w:t>
      </w:r>
      <w:r w:rsidRPr="00937FB2">
        <w:tab/>
        <w:t>взносы вносятся наличными и не предназначаются для того или иного конкретного вида деятельности;</w:t>
      </w:r>
    </w:p>
    <w:p w14:paraId="3B203410" w14:textId="77777777" w:rsidR="00A71527" w:rsidRPr="00937FB2" w:rsidRDefault="00A71527" w:rsidP="00A71527">
      <w:pPr>
        <w:spacing w:after="120"/>
        <w:ind w:left="1134" w:right="1134" w:firstLine="567"/>
        <w:jc w:val="both"/>
      </w:pPr>
      <w:r w:rsidRPr="00937FB2">
        <w:t>[d)]</w:t>
      </w:r>
      <w:r w:rsidRPr="00937FB2">
        <w:tab/>
        <w:t>дополнительные взносы могут вноситься наличными либо натурой и могут резервироваться для того или иного конкретного вида деятельности;</w:t>
      </w:r>
    </w:p>
    <w:p w14:paraId="5D7A2D3E" w14:textId="77777777" w:rsidR="00A71527" w:rsidRPr="00937FB2" w:rsidRDefault="00A71527" w:rsidP="00A71527">
      <w:pPr>
        <w:spacing w:after="120"/>
        <w:ind w:left="1134" w:right="1134" w:firstLine="567"/>
        <w:jc w:val="both"/>
      </w:pPr>
      <w:r w:rsidRPr="00937FB2">
        <w:t>[e)]</w:t>
      </w:r>
      <w:r w:rsidRPr="00937FB2">
        <w:tab/>
        <w:t>взносы наличными вносятся через Целевой фонд Европейской экономической комиссии Организации Объединенных Наций для технического сотрудничества на местном уровне (проект Орхусской конвенции);</w:t>
      </w:r>
    </w:p>
    <w:p w14:paraId="33267ECA" w14:textId="77777777" w:rsidR="00A71527" w:rsidRPr="00937FB2" w:rsidRDefault="00A71527" w:rsidP="00A71527">
      <w:pPr>
        <w:spacing w:after="120"/>
        <w:ind w:left="1134" w:right="1134" w:firstLine="567"/>
        <w:jc w:val="both"/>
      </w:pPr>
      <w:r w:rsidRPr="00937FB2">
        <w:t>[f)]</w:t>
      </w:r>
      <w:r w:rsidRPr="00937FB2">
        <w:tab/>
        <w:t>если это допускается внутренними бюджетными процедурами Сторон, взносы за конкретный календарный год должны вноситься до 1 октября предшествующего ему года либо, когда это невозможно, рекомендуется вносить взносы в течение первых шести месяцев календарного года, с тем чтобы обеспечить оплату расходов по персоналу в целях бесперебойного функционирования секретариата в качестве одной из приоритетных задач, а также своевременное и эффективное осуществление приоритетных видов деятельности соответствующей программы работы;</w:t>
      </w:r>
    </w:p>
    <w:p w14:paraId="66DAC7FF" w14:textId="77777777" w:rsidR="00A71527" w:rsidRPr="00937FB2" w:rsidRDefault="00A71527" w:rsidP="00A71527">
      <w:pPr>
        <w:spacing w:after="120"/>
        <w:ind w:left="1134" w:right="1134" w:firstLine="567"/>
        <w:jc w:val="both"/>
      </w:pPr>
      <w:r w:rsidRPr="00937FB2">
        <w:t>[g)]</w:t>
      </w:r>
      <w:r w:rsidRPr="00937FB2">
        <w:tab/>
      </w:r>
      <w:r w:rsidRPr="00937FB2">
        <w:rPr>
          <w:b/>
          <w:bCs/>
          <w:i/>
          <w:iCs/>
        </w:rPr>
        <w:t>Добавлен новый пункт</w:t>
      </w:r>
      <w:r w:rsidRPr="001C2EA7">
        <w:rPr>
          <w:bCs/>
          <w:iCs/>
        </w:rPr>
        <w:t>:</w:t>
      </w:r>
      <w:r w:rsidRPr="00937FB2">
        <w:t xml:space="preserve"> в целях сведения к минимуму административных расходов, связанных с управлением средствами, взносы, насколько это позволяют возможности и внутренние бюджетные процедуры Сторон, следует вносить предпочтительно в виде чистых платежей, с оплатой возможных расходов донорами, и перечисляться по возможности в межсессионный период, например, путем бесперебойного внесения многолетних или ежегодных взносов (за каждый календарный год) и, в соответствующих случаях, путем объединения взносов для Орхусской конвенции и Протокола в один банковский перевод;</w:t>
      </w:r>
    </w:p>
    <w:p w14:paraId="72377FD0" w14:textId="77777777" w:rsidR="00A71527" w:rsidRPr="00937FB2" w:rsidRDefault="00A71527" w:rsidP="00A71527">
      <w:pPr>
        <w:spacing w:after="120" w:line="236" w:lineRule="atLeast"/>
        <w:ind w:left="1134" w:right="1134" w:firstLine="567"/>
        <w:jc w:val="both"/>
      </w:pPr>
      <w:r w:rsidRPr="00937FB2">
        <w:t>[h)]</w:t>
      </w:r>
      <w:r w:rsidRPr="00937FB2">
        <w:tab/>
        <w:t xml:space="preserve">Стороны объявляют, по возможности до принятия программы работы Совещанием Сторон, размеры своих предполагаемых взносов в денежном и натуральном выражении, исчисленных на ежегодной или многолетней основе. </w:t>
      </w:r>
      <w:r w:rsidRPr="00937FB2">
        <w:lastRenderedPageBreak/>
        <w:t>Сигнатарии, другие заинтересованные государства и организации также, возможно, пожелают указать размеры своих предполагаемых взносов;</w:t>
      </w:r>
    </w:p>
    <w:p w14:paraId="562F4A45" w14:textId="77777777" w:rsidR="00A71527" w:rsidRPr="00937FB2" w:rsidRDefault="001C2EA7" w:rsidP="00A71527">
      <w:pPr>
        <w:pStyle w:val="SingleTxtG"/>
        <w:spacing w:line="236" w:lineRule="atLeast"/>
      </w:pPr>
      <w:r>
        <w:tab/>
      </w:r>
      <w:r>
        <w:tab/>
      </w:r>
      <w:r w:rsidR="00A71527" w:rsidRPr="00937FB2">
        <w:t>2.</w:t>
      </w:r>
      <w:r w:rsidR="00A71527" w:rsidRPr="00937FB2">
        <w:tab/>
      </w:r>
      <w:r w:rsidR="00A71527" w:rsidRPr="00937FB2">
        <w:rPr>
          <w:i/>
          <w:iCs/>
        </w:rPr>
        <w:t>просит</w:t>
      </w:r>
      <w:r w:rsidR="00A71527" w:rsidRPr="00937FB2">
        <w:t xml:space="preserve"> Стороны вносить взносы на ежегодной либо многолетней основе для покрытия расходов на осуществление видов деятельности по программе работы в соответствии со схемой, упомянутой в пункте 1, выше;</w:t>
      </w:r>
    </w:p>
    <w:p w14:paraId="6F410EB5" w14:textId="77777777" w:rsidR="00A71527" w:rsidRPr="00937FB2" w:rsidRDefault="001C2EA7" w:rsidP="00A71527">
      <w:pPr>
        <w:pStyle w:val="SingleTxtG"/>
        <w:spacing w:line="236" w:lineRule="atLeast"/>
      </w:pPr>
      <w:r>
        <w:tab/>
      </w:r>
      <w:r>
        <w:tab/>
      </w:r>
      <w:r w:rsidR="00A71527" w:rsidRPr="00937FB2">
        <w:t>3.</w:t>
      </w:r>
      <w:r w:rsidR="00A71527" w:rsidRPr="00937FB2">
        <w:tab/>
      </w:r>
      <w:r w:rsidR="00A71527" w:rsidRPr="00937FB2">
        <w:rPr>
          <w:i/>
          <w:iCs/>
        </w:rPr>
        <w:t>предлагает</w:t>
      </w:r>
      <w:r w:rsidR="00A71527" w:rsidRPr="00937FB2">
        <w:t xml:space="preserve"> сигнатариям, другим заинтересованным государствам и государственным структурам, а также частному сектору в соответствии с Руководящими принципами в отношении принципиального подхода к сотрудничеству Организации Объединенных Наций с деловыми кругами</w:t>
      </w:r>
      <w:r w:rsidR="00A71527" w:rsidRPr="00937FB2">
        <w:rPr>
          <w:sz w:val="18"/>
          <w:vertAlign w:val="superscript"/>
        </w:rPr>
        <w:footnoteReference w:id="4"/>
      </w:r>
      <w:r w:rsidR="00A71527" w:rsidRPr="00937FB2">
        <w:t xml:space="preserve"> вносить взносы наличными или натурой для покрытия расходов на программу работы;</w:t>
      </w:r>
    </w:p>
    <w:p w14:paraId="2DDE2732" w14:textId="77777777" w:rsidR="00A71527" w:rsidRPr="00937FB2" w:rsidRDefault="001C2EA7" w:rsidP="00A71527">
      <w:pPr>
        <w:pStyle w:val="SingleTxtG"/>
        <w:spacing w:line="236" w:lineRule="atLeast"/>
      </w:pPr>
      <w:r>
        <w:tab/>
      </w:r>
      <w:r>
        <w:tab/>
      </w:r>
      <w:r w:rsidR="00A71527" w:rsidRPr="00937FB2">
        <w:t>4.</w:t>
      </w:r>
      <w:r w:rsidR="00A71527" w:rsidRPr="00937FB2">
        <w:tab/>
      </w:r>
      <w:r w:rsidR="00A71527" w:rsidRPr="00937FB2">
        <w:rPr>
          <w:i/>
          <w:iCs/>
        </w:rPr>
        <w:t>призывает</w:t>
      </w:r>
      <w:r w:rsidR="00A71527" w:rsidRPr="00937FB2">
        <w:t xml:space="preserve"> страны с переходной экономикой по возможности финансировать свое собственное участие в проводимой деятельности;</w:t>
      </w:r>
    </w:p>
    <w:p w14:paraId="3E92834E" w14:textId="77777777" w:rsidR="00A71527" w:rsidRPr="00937FB2" w:rsidRDefault="001C2EA7" w:rsidP="00A71527">
      <w:pPr>
        <w:pStyle w:val="SingleTxtG"/>
        <w:spacing w:line="236" w:lineRule="atLeast"/>
      </w:pPr>
      <w:r>
        <w:tab/>
      </w:r>
      <w:r>
        <w:tab/>
      </w:r>
      <w:r w:rsidR="00A71527" w:rsidRPr="00937FB2">
        <w:t>5.</w:t>
      </w:r>
      <w:r w:rsidR="00A71527" w:rsidRPr="00937FB2">
        <w:tab/>
      </w:r>
      <w:r w:rsidR="00A71527" w:rsidRPr="00937FB2">
        <w:rPr>
          <w:i/>
          <w:iCs/>
        </w:rPr>
        <w:t>призывает</w:t>
      </w:r>
      <w:r w:rsidR="00A71527" w:rsidRPr="00937FB2">
        <w:t xml:space="preserve"> международные организации, действующие в странах с переходной экономикой, поддерживать участие представителей этих стран и неправительственных организаций в совещаниях и других мероприятиях;</w:t>
      </w:r>
    </w:p>
    <w:p w14:paraId="15C40E85" w14:textId="77777777" w:rsidR="00A71527" w:rsidRPr="00937FB2" w:rsidRDefault="001C2EA7" w:rsidP="00A71527">
      <w:pPr>
        <w:pStyle w:val="SingleTxtG"/>
        <w:spacing w:line="236" w:lineRule="atLeast"/>
        <w:rPr>
          <w:u w:val="single"/>
        </w:rPr>
      </w:pPr>
      <w:r>
        <w:tab/>
      </w:r>
      <w:r>
        <w:tab/>
      </w:r>
      <w:r w:rsidR="00A71527" w:rsidRPr="00937FB2">
        <w:t>6.</w:t>
      </w:r>
      <w:r w:rsidR="00A71527" w:rsidRPr="00937FB2">
        <w:tab/>
      </w:r>
      <w:r w:rsidR="00A71527" w:rsidRPr="00937FB2">
        <w:rPr>
          <w:i/>
          <w:iCs/>
        </w:rPr>
        <w:t>призывает</w:t>
      </w:r>
      <w:r w:rsidR="00A71527" w:rsidRPr="00937FB2">
        <w:t xml:space="preserve"> Стороны, которые в соответствии с исторически сложившейся практикой вносили щедрые взносы, сохранять свои прежние уровни взносов или вернуться к ним;</w:t>
      </w:r>
    </w:p>
    <w:p w14:paraId="1D6DCD39" w14:textId="77777777" w:rsidR="00A71527" w:rsidRPr="00937FB2" w:rsidRDefault="001C2EA7" w:rsidP="00A71527">
      <w:pPr>
        <w:pStyle w:val="SingleTxtG"/>
        <w:spacing w:line="236" w:lineRule="atLeast"/>
        <w:rPr>
          <w:w w:val="102"/>
        </w:rPr>
      </w:pPr>
      <w:r>
        <w:tab/>
      </w:r>
      <w:r>
        <w:tab/>
      </w:r>
      <w:r w:rsidR="00A71527" w:rsidRPr="00937FB2">
        <w:t>7.</w:t>
      </w:r>
      <w:r w:rsidR="00A71527" w:rsidRPr="00937FB2">
        <w:tab/>
      </w:r>
      <w:r w:rsidR="00A71527" w:rsidRPr="00937FB2">
        <w:rPr>
          <w:i/>
          <w:iCs/>
        </w:rPr>
        <w:t>просит</w:t>
      </w:r>
      <w:r w:rsidR="00A71527" w:rsidRPr="00937FB2">
        <w:t xml:space="preserve"> все Стороны обеспечить справедливое распределение финансовой ответственности за осуществление программы работы и просит Президиум связываться со Сторонами в соответствующих случаях на предмет достижения этой цели; </w:t>
      </w:r>
    </w:p>
    <w:p w14:paraId="1866D36F" w14:textId="77777777" w:rsidR="00A71527" w:rsidRPr="00937FB2" w:rsidRDefault="001C2EA7" w:rsidP="00A71527">
      <w:pPr>
        <w:pStyle w:val="SingleTxtG"/>
        <w:spacing w:line="236" w:lineRule="atLeast"/>
      </w:pPr>
      <w:r>
        <w:tab/>
      </w:r>
      <w:r>
        <w:tab/>
      </w:r>
      <w:r w:rsidR="00A71527" w:rsidRPr="00937FB2">
        <w:t>8.</w:t>
      </w:r>
      <w:r w:rsidR="00A71527" w:rsidRPr="00937FB2">
        <w:tab/>
      </w:r>
      <w:r w:rsidR="00A71527" w:rsidRPr="00937FB2">
        <w:rPr>
          <w:i/>
          <w:iCs/>
        </w:rPr>
        <w:t>просит</w:t>
      </w:r>
      <w:r w:rsidR="00A71527" w:rsidRPr="00937FB2">
        <w:t xml:space="preserve"> секретариат в соответствии с финансовыми правилами Организации Объединенных Наций выделять в целевой фонд Конвенции к 1 октября каждого года на приоритетной основе средства, требующиеся для продления действия на предстоящий год контрактов сотрудников секретариата, услуги которых оплачиваются из внебюджетных источников, а также для покрытия расходов, необходимых для осуществления деятельности в первом квартале предстоящего года;</w:t>
      </w:r>
    </w:p>
    <w:p w14:paraId="3BCA06FE" w14:textId="77777777" w:rsidR="00A71527" w:rsidRPr="00937FB2" w:rsidRDefault="001C2EA7" w:rsidP="00A71527">
      <w:pPr>
        <w:pStyle w:val="SingleTxtG"/>
        <w:spacing w:line="236" w:lineRule="atLeast"/>
      </w:pPr>
      <w:r>
        <w:tab/>
      </w:r>
      <w:r>
        <w:tab/>
      </w:r>
      <w:r w:rsidR="00A71527" w:rsidRPr="00937FB2">
        <w:t>9.</w:t>
      </w:r>
      <w:r w:rsidR="00A71527" w:rsidRPr="00937FB2">
        <w:tab/>
      </w:r>
      <w:r w:rsidR="00A71527" w:rsidRPr="00937FB2">
        <w:rPr>
          <w:i/>
          <w:iCs/>
        </w:rPr>
        <w:t>просит также</w:t>
      </w:r>
      <w:r w:rsidR="00A71527" w:rsidRPr="00937FB2">
        <w:t xml:space="preserve"> секретариат в соответствии с финансовыми правилами Организации Объединенных Наций контролировать расходование финансовых средств и подготавливать ежегодные доклады с указанием конкретных размеров взносов и любых изменений, касающихся:</w:t>
      </w:r>
    </w:p>
    <w:p w14:paraId="507B048E" w14:textId="77777777" w:rsidR="00A71527" w:rsidRPr="00937FB2" w:rsidRDefault="00A71527" w:rsidP="00A71527">
      <w:pPr>
        <w:spacing w:after="120" w:line="236" w:lineRule="atLeast"/>
        <w:ind w:left="1134" w:right="1134" w:firstLine="567"/>
        <w:jc w:val="both"/>
      </w:pPr>
      <w:r w:rsidRPr="00937FB2">
        <w:t>a)</w:t>
      </w:r>
      <w:r w:rsidRPr="00937FB2">
        <w:tab/>
        <w:t>сметных расходов на осуществление деятельности в следующем календарном году;</w:t>
      </w:r>
    </w:p>
    <w:p w14:paraId="1A6AA3F7" w14:textId="77777777" w:rsidR="00A71527" w:rsidRPr="00937FB2" w:rsidRDefault="00A71527" w:rsidP="00A71527">
      <w:pPr>
        <w:spacing w:after="120" w:line="236" w:lineRule="atLeast"/>
        <w:ind w:left="1134" w:right="1134" w:firstLine="567"/>
        <w:jc w:val="both"/>
      </w:pPr>
      <w:r w:rsidRPr="00937FB2">
        <w:t>b)</w:t>
      </w:r>
      <w:r w:rsidRPr="00937FB2">
        <w:tab/>
        <w:t>состава Сторон для учета Рабочей группой Сторон с целью обеспечить, чтобы уровень взносов соответствовал уровню финансирования, необходимому для осуществления программы работы;</w:t>
      </w:r>
    </w:p>
    <w:p w14:paraId="0820EF2F" w14:textId="77777777" w:rsidR="00A71527" w:rsidRPr="00937FB2" w:rsidRDefault="001C2EA7" w:rsidP="00A71527">
      <w:pPr>
        <w:pStyle w:val="SingleTxtG"/>
        <w:spacing w:line="236" w:lineRule="atLeast"/>
      </w:pPr>
      <w:r>
        <w:tab/>
      </w:r>
      <w:r>
        <w:tab/>
      </w:r>
      <w:r w:rsidR="00A71527" w:rsidRPr="00937FB2">
        <w:t>10.</w:t>
      </w:r>
      <w:r w:rsidR="00A71527" w:rsidRPr="00937FB2">
        <w:tab/>
      </w:r>
      <w:r w:rsidR="00A71527" w:rsidRPr="00937FB2">
        <w:rPr>
          <w:i/>
          <w:iCs/>
        </w:rPr>
        <w:t>просит</w:t>
      </w:r>
      <w:r w:rsidR="00A71527" w:rsidRPr="00937FB2">
        <w:t xml:space="preserve"> Президиум при содействии секретариата подготовить оценку оперативных расходов, необходимых для эффективного функционирования Конвенции, которые должны быть четко отделены от расходов на другие виды деятельности, подлежащие осуществлению при условии наличия ресурсов;</w:t>
      </w:r>
    </w:p>
    <w:p w14:paraId="7284973E" w14:textId="77777777" w:rsidR="00A71527" w:rsidRPr="00937FB2" w:rsidRDefault="001C2EA7" w:rsidP="00A71527">
      <w:pPr>
        <w:pStyle w:val="SingleTxtG"/>
        <w:spacing w:line="236" w:lineRule="atLeast"/>
      </w:pPr>
      <w:r>
        <w:tab/>
      </w:r>
      <w:r>
        <w:tab/>
      </w:r>
      <w:r w:rsidR="00A71527" w:rsidRPr="00937FB2">
        <w:t>11.</w:t>
      </w:r>
      <w:r w:rsidR="00A71527" w:rsidRPr="00937FB2">
        <w:tab/>
      </w:r>
      <w:r w:rsidR="00A71527" w:rsidRPr="00937FB2">
        <w:rPr>
          <w:i/>
          <w:iCs/>
        </w:rPr>
        <w:t>просит</w:t>
      </w:r>
      <w:r w:rsidR="00A71527" w:rsidRPr="00937FB2">
        <w:t xml:space="preserve"> Рабочую группу Сторон изучить с учетом этих ежегодных докладов вопрос о целесообразности изменения содержания или сроков осуществления программы работы в том случае, если уровень фактических и/или объявленных взносов не будет соответствовать требуемому уровню финансирования;</w:t>
      </w:r>
    </w:p>
    <w:p w14:paraId="63AB1610" w14:textId="77777777" w:rsidR="00A71527" w:rsidRPr="00937FB2" w:rsidRDefault="001C2EA7" w:rsidP="00A71527">
      <w:pPr>
        <w:pStyle w:val="SingleTxtG"/>
        <w:spacing w:line="236" w:lineRule="atLeast"/>
      </w:pPr>
      <w:r>
        <w:tab/>
      </w:r>
      <w:r>
        <w:tab/>
      </w:r>
      <w:r w:rsidR="00A71527" w:rsidRPr="00937FB2">
        <w:t>12.</w:t>
      </w:r>
      <w:r w:rsidR="00A71527" w:rsidRPr="00937FB2">
        <w:tab/>
      </w:r>
      <w:r w:rsidR="00A71527" w:rsidRPr="00937FB2">
        <w:rPr>
          <w:i/>
          <w:iCs/>
        </w:rPr>
        <w:t>просит</w:t>
      </w:r>
      <w:r w:rsidR="00A71527" w:rsidRPr="00937FB2">
        <w:t xml:space="preserve"> секретариат подготавливать для каждой сессии Совещания Сторон всеобъемлющий доклад по финансовым вопросам, включая в него информацию о размерах взносов, которые Стороны и другие участвующие государства и организации внесли в бюджет Конвенции наличными и натурой, а также о том, каким образом эти взносы были израсходованы;</w:t>
      </w:r>
    </w:p>
    <w:p w14:paraId="357A5D6C" w14:textId="77777777" w:rsidR="00A71527" w:rsidRPr="00937FB2" w:rsidRDefault="001C2EA7" w:rsidP="00A71527">
      <w:pPr>
        <w:pStyle w:val="SingleTxtG"/>
      </w:pPr>
      <w:r>
        <w:lastRenderedPageBreak/>
        <w:tab/>
      </w:r>
      <w:r>
        <w:tab/>
      </w:r>
      <w:r w:rsidR="00A71527" w:rsidRPr="00937FB2">
        <w:t>13.</w:t>
      </w:r>
      <w:r w:rsidR="00A71527" w:rsidRPr="00937FB2">
        <w:tab/>
      </w:r>
      <w:r w:rsidR="00A71527" w:rsidRPr="00937FB2">
        <w:rPr>
          <w:i/>
          <w:iCs/>
        </w:rPr>
        <w:t>постановляет</w:t>
      </w:r>
      <w:r w:rsidR="00A71527" w:rsidRPr="00937FB2">
        <w:t xml:space="preserve"> рассмотреть вопрос о функционировании схемы финансовых механизмов на своей восьмой сессии;</w:t>
      </w:r>
    </w:p>
    <w:p w14:paraId="325ECA82" w14:textId="77777777" w:rsidR="00A71527" w:rsidRPr="00937FB2" w:rsidRDefault="001C2EA7" w:rsidP="00A71527">
      <w:pPr>
        <w:pStyle w:val="SingleTxtG"/>
      </w:pPr>
      <w:r>
        <w:tab/>
      </w:r>
      <w:r>
        <w:tab/>
      </w:r>
      <w:r w:rsidR="00A71527" w:rsidRPr="00937FB2">
        <w:t>14.</w:t>
      </w:r>
      <w:r w:rsidR="00A71527" w:rsidRPr="00937FB2">
        <w:tab/>
      </w:r>
      <w:r w:rsidR="00A71527" w:rsidRPr="00937FB2">
        <w:rPr>
          <w:i/>
          <w:iCs/>
        </w:rPr>
        <w:t>поручает</w:t>
      </w:r>
      <w:r w:rsidR="00A71527" w:rsidRPr="00937FB2">
        <w:t xml:space="preserve"> Президиуму и Рабочей группе Сторон изучить в течение следующего межсессионного периода варианты обеспечения более предсказуемого, стабильного и справедливого распределения бремени финансирования и просит их внести соответствующие предложения для рассмотрения Совещанием Сторон на его восьмой сессии;</w:t>
      </w:r>
    </w:p>
    <w:p w14:paraId="798BA1A2" w14:textId="77777777" w:rsidR="00A71527" w:rsidRPr="00937FB2" w:rsidRDefault="001C2EA7" w:rsidP="00A71527">
      <w:pPr>
        <w:pStyle w:val="SingleTxtG"/>
      </w:pPr>
      <w:r>
        <w:tab/>
      </w:r>
      <w:r>
        <w:tab/>
      </w:r>
      <w:r w:rsidR="00A71527" w:rsidRPr="00937FB2">
        <w:t>15.</w:t>
      </w:r>
      <w:r w:rsidR="00A71527" w:rsidRPr="00937FB2">
        <w:tab/>
      </w:r>
      <w:r w:rsidR="00A71527" w:rsidRPr="00937FB2">
        <w:rPr>
          <w:i/>
          <w:iCs/>
        </w:rPr>
        <w:t>просит</w:t>
      </w:r>
      <w:r w:rsidR="00A71527" w:rsidRPr="00937FB2">
        <w:t xml:space="preserve"> Европейскую экономическую комиссию Организации Объединенных Наций выделять больше ресурсов на поддержку работы по Конвенции, отмечая в связи с этим положительную оценку подпрограммы по окружающей среде во время проведенного в 2013 году обзора реформы Комиссии 2005 года</w:t>
      </w:r>
      <w:r w:rsidR="00A71527" w:rsidRPr="00937FB2">
        <w:rPr>
          <w:sz w:val="18"/>
          <w:szCs w:val="18"/>
          <w:vertAlign w:val="superscript"/>
        </w:rPr>
        <w:footnoteReference w:id="5"/>
      </w:r>
      <w:r w:rsidR="00A71527" w:rsidRPr="00937FB2">
        <w:t xml:space="preserve"> и учитывая, среди прочего, вопрос сбалансированности использования ресурсов регулярного бюджета на цели различных подпрограмм.</w:t>
      </w:r>
    </w:p>
    <w:p w14:paraId="7CC4BDD5" w14:textId="77777777" w:rsidR="00A71527" w:rsidRPr="00937FB2" w:rsidRDefault="00A71527">
      <w:pPr>
        <w:suppressAutoHyphens w:val="0"/>
        <w:spacing w:line="240" w:lineRule="auto"/>
        <w:rPr>
          <w:rFonts w:eastAsia="Times New Roman" w:cs="Times New Roman"/>
          <w:szCs w:val="20"/>
        </w:rPr>
      </w:pPr>
      <w:r w:rsidRPr="00937FB2">
        <w:br w:type="page"/>
      </w:r>
    </w:p>
    <w:p w14:paraId="22B3897E" w14:textId="77777777" w:rsidR="00A71527" w:rsidRPr="00937FB2" w:rsidRDefault="00A71527" w:rsidP="00A71527">
      <w:pPr>
        <w:pStyle w:val="HChG"/>
        <w:spacing w:before="120"/>
      </w:pPr>
      <w:r w:rsidRPr="00937FB2">
        <w:rPr>
          <w:bCs/>
        </w:rPr>
        <w:lastRenderedPageBreak/>
        <w:t>[Приложение II</w:t>
      </w:r>
    </w:p>
    <w:p w14:paraId="5CAE7D04" w14:textId="77777777" w:rsidR="00A71527" w:rsidRPr="00937FB2" w:rsidRDefault="00A71527" w:rsidP="00A71527">
      <w:pPr>
        <w:pStyle w:val="HChG"/>
      </w:pPr>
      <w:r w:rsidRPr="00937FB2">
        <w:tab/>
      </w:r>
      <w:r w:rsidRPr="00937FB2">
        <w:tab/>
      </w:r>
      <w:r w:rsidRPr="00937FB2">
        <w:rPr>
          <w:bCs/>
        </w:rPr>
        <w:t>Ориентировочные взносы на 2021 год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712"/>
        <w:gridCol w:w="2057"/>
        <w:gridCol w:w="2124"/>
      </w:tblGrid>
      <w:tr w:rsidR="00937FB2" w:rsidRPr="00937FB2" w14:paraId="05E5C6D9" w14:textId="77777777" w:rsidTr="00A71527">
        <w:trPr>
          <w:tblHeader/>
        </w:trPr>
        <w:tc>
          <w:tcPr>
            <w:tcW w:w="22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CFEDEEB" w14:textId="77777777" w:rsidR="00A71527" w:rsidRPr="00937FB2" w:rsidRDefault="00A71527" w:rsidP="00A71527">
            <w:pPr>
              <w:spacing w:before="80" w:after="80" w:line="200" w:lineRule="exact"/>
              <w:rPr>
                <w:bCs/>
                <w:i/>
                <w:sz w:val="16"/>
                <w:szCs w:val="16"/>
              </w:rPr>
            </w:pPr>
            <w:r w:rsidRPr="00937FB2">
              <w:rPr>
                <w:i/>
                <w:iCs/>
                <w:sz w:val="16"/>
                <w:szCs w:val="16"/>
              </w:rPr>
              <w:t>Колонка A:</w:t>
            </w:r>
            <w:r w:rsidRPr="00937FB2">
              <w:rPr>
                <w:bCs/>
                <w:i/>
                <w:sz w:val="16"/>
                <w:szCs w:val="16"/>
              </w:rPr>
              <w:br/>
            </w:r>
            <w:r w:rsidRPr="00937FB2">
              <w:rPr>
                <w:i/>
                <w:iCs/>
                <w:sz w:val="16"/>
                <w:szCs w:val="16"/>
              </w:rPr>
              <w:t>Страны</w:t>
            </w:r>
            <w:r w:rsidR="001C2EA7">
              <w:rPr>
                <w:i/>
                <w:iCs/>
                <w:sz w:val="16"/>
                <w:szCs w:val="16"/>
              </w:rPr>
              <w:br/>
            </w:r>
            <w:r w:rsidRPr="00937FB2">
              <w:rPr>
                <w:i/>
                <w:iCs/>
                <w:sz w:val="16"/>
                <w:szCs w:val="16"/>
              </w:rPr>
              <w:t>(Стороны и сигнатарии)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8BA9664" w14:textId="77777777" w:rsidR="00A71527" w:rsidRPr="00937FB2" w:rsidRDefault="00A71527" w:rsidP="00A71527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</w:rPr>
            </w:pPr>
            <w:r w:rsidRPr="00937FB2">
              <w:rPr>
                <w:i/>
                <w:iCs/>
                <w:sz w:val="16"/>
                <w:szCs w:val="16"/>
              </w:rPr>
              <w:t>Колонка B:</w:t>
            </w:r>
            <w:r w:rsidRPr="00937FB2">
              <w:rPr>
                <w:bCs/>
                <w:i/>
                <w:sz w:val="16"/>
              </w:rPr>
              <w:t xml:space="preserve"> </w:t>
            </w:r>
            <w:r w:rsidRPr="00937FB2">
              <w:rPr>
                <w:bCs/>
                <w:i/>
                <w:sz w:val="16"/>
              </w:rPr>
              <w:br/>
            </w:r>
            <w:r w:rsidRPr="00937FB2">
              <w:rPr>
                <w:i/>
                <w:iCs/>
                <w:sz w:val="16"/>
                <w:szCs w:val="16"/>
              </w:rPr>
              <w:t>Шкала взносов Организации Объединенных Наций</w:t>
            </w:r>
            <w:r w:rsidRPr="00937FB2">
              <w:rPr>
                <w:bCs/>
                <w:i/>
                <w:sz w:val="16"/>
                <w:szCs w:val="16"/>
              </w:rPr>
              <w:br/>
            </w:r>
            <w:r w:rsidRPr="00937FB2">
              <w:rPr>
                <w:i/>
                <w:iCs/>
                <w:sz w:val="16"/>
                <w:szCs w:val="16"/>
              </w:rPr>
              <w:t>(в процентах)</w:t>
            </w:r>
            <w:r w:rsidRPr="00937FB2">
              <w:rPr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9285CEF" w14:textId="77777777" w:rsidR="00A71527" w:rsidRPr="00937FB2" w:rsidRDefault="00A71527" w:rsidP="00A71527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</w:rPr>
            </w:pPr>
            <w:r w:rsidRPr="00937FB2">
              <w:rPr>
                <w:i/>
                <w:iCs/>
                <w:sz w:val="16"/>
                <w:szCs w:val="16"/>
              </w:rPr>
              <w:t>Колонка C: Скорректированная шкала взносов Организации Объединенных Наций</w:t>
            </w:r>
            <w:r w:rsidRPr="00937FB2">
              <w:rPr>
                <w:bCs/>
                <w:i/>
                <w:sz w:val="16"/>
                <w:szCs w:val="16"/>
              </w:rPr>
              <w:br/>
            </w:r>
            <w:r w:rsidRPr="00937FB2">
              <w:rPr>
                <w:i/>
                <w:iCs/>
                <w:sz w:val="16"/>
                <w:szCs w:val="16"/>
              </w:rPr>
              <w:t>(в процентах)</w:t>
            </w:r>
            <w:r w:rsidRPr="00937FB2">
              <w:rPr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C821829" w14:textId="0068CDE8" w:rsidR="00A71527" w:rsidRPr="00937FB2" w:rsidRDefault="00A71527" w:rsidP="00A71527">
            <w:pPr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</w:rPr>
            </w:pPr>
            <w:r w:rsidRPr="00937FB2">
              <w:rPr>
                <w:i/>
                <w:iCs/>
                <w:sz w:val="16"/>
                <w:szCs w:val="16"/>
              </w:rPr>
              <w:t>Колонка D:</w:t>
            </w:r>
            <w:r w:rsidRPr="00937FB2">
              <w:rPr>
                <w:bCs/>
                <w:i/>
                <w:sz w:val="16"/>
                <w:szCs w:val="16"/>
              </w:rPr>
              <w:t xml:space="preserve"> </w:t>
            </w:r>
            <w:r w:rsidRPr="00937FB2">
              <w:rPr>
                <w:bCs/>
                <w:i/>
                <w:sz w:val="16"/>
                <w:szCs w:val="16"/>
              </w:rPr>
              <w:br/>
            </w:r>
            <w:r w:rsidRPr="00937FB2">
              <w:rPr>
                <w:i/>
                <w:iCs/>
                <w:sz w:val="16"/>
                <w:szCs w:val="16"/>
              </w:rPr>
              <w:t>Размер взносов</w:t>
            </w:r>
            <w:r w:rsidRPr="00937FB2">
              <w:rPr>
                <w:bCs/>
                <w:i/>
                <w:sz w:val="16"/>
              </w:rPr>
              <w:br/>
            </w:r>
            <w:r w:rsidRPr="00937FB2">
              <w:rPr>
                <w:i/>
                <w:iCs/>
                <w:sz w:val="16"/>
                <w:szCs w:val="16"/>
              </w:rPr>
              <w:t>на 2019 год</w:t>
            </w:r>
            <w:r w:rsidRPr="00937FB2">
              <w:rPr>
                <w:bCs/>
                <w:i/>
                <w:sz w:val="16"/>
                <w:szCs w:val="16"/>
              </w:rPr>
              <w:br/>
            </w:r>
            <w:r w:rsidRPr="00937FB2">
              <w:rPr>
                <w:i/>
                <w:iCs/>
                <w:sz w:val="16"/>
                <w:szCs w:val="16"/>
              </w:rPr>
              <w:t>(долл. США)</w:t>
            </w:r>
          </w:p>
        </w:tc>
      </w:tr>
      <w:tr w:rsidR="00937FB2" w:rsidRPr="00937FB2" w14:paraId="42E261F0" w14:textId="77777777" w:rsidTr="00A71527">
        <w:trPr>
          <w:trHeight w:hRule="exact" w:val="113"/>
          <w:tblHeader/>
        </w:trPr>
        <w:tc>
          <w:tcPr>
            <w:tcW w:w="2262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5B0A202A" w14:textId="77777777" w:rsidR="00A71527" w:rsidRPr="00937FB2" w:rsidRDefault="00A71527" w:rsidP="00A71527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2E80C0FA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78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C7808DF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3F90284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937FB2" w:rsidRPr="00937FB2" w14:paraId="2781EA91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01D401D1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Албания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D56694C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0,008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37124F32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0,026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5474FFB0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6E799405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3E10782B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Армения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18DEEC01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0,007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3B10A8CC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0,023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09286A10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5CD406CA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49306419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Австрия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607CFCA8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0,677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35F59040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190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28ABAB36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72C36663" w14:textId="77777777" w:rsidTr="00A71527">
        <w:tc>
          <w:tcPr>
            <w:tcW w:w="2262" w:type="dxa"/>
            <w:shd w:val="clear" w:color="auto" w:fill="auto"/>
            <w:noWrap/>
          </w:tcPr>
          <w:p w14:paraId="4D155ADC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Азербайджан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474B7DD7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0,049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36278BBB" w14:textId="77777777" w:rsidR="00A71527" w:rsidRPr="00937FB2" w:rsidDel="000D050E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0,159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26284A9E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62D54008" w14:textId="77777777" w:rsidTr="00A71527">
        <w:tc>
          <w:tcPr>
            <w:tcW w:w="2262" w:type="dxa"/>
            <w:shd w:val="clear" w:color="auto" w:fill="auto"/>
            <w:noWrap/>
          </w:tcPr>
          <w:p w14:paraId="4D3BDFBF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Беларусь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0D037EED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0,049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5A290A16" w14:textId="77777777" w:rsidR="00A71527" w:rsidRPr="00937FB2" w:rsidDel="000D050E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0,159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7374CC79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314725A0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2A065956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 xml:space="preserve">Бельгия 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509DF755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0,821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57264F78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657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73C39564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62173D2C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117B2E30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Босния и Герцеговина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DA7B0B8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0,012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65334F0B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0,039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7C6C4EC8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08BCB021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3092BE31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Болгария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8972549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0,046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297E1FF0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0,149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669BF96D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4F333619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49BD9A2F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Хорватия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9D0DFC2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0,077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2D24D16C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0,249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7882DBB2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01B1CC41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7AAF2F6D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Кипр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2DBB5A57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0,036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07858B42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0,116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293C19AD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0A20BCA7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1CF59B41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Чехия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1551C497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0,311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7CEF9344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006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0DF1A3AC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1B19363B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24F20ADE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Дания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7497A2F6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0,554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7853C009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793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3FFAFF19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23C5E19A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3142283C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Эстония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520E657B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0,039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0D57F7CD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0,126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02CA3E55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758A0E74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796C968E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 xml:space="preserve">Европейский союз </w:t>
            </w:r>
            <w:r w:rsidRPr="00937FB2"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  <w:t>c</w:t>
            </w:r>
            <w:r w:rsidRPr="00937FB2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 xml:space="preserve">, </w:t>
            </w:r>
            <w:r w:rsidRPr="00937FB2">
              <w:rPr>
                <w:rFonts w:asciiTheme="majorBidi" w:hAnsiTheme="majorBidi" w:cstheme="majorBidi"/>
                <w:i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55D8AC9D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—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462D395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—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0E5BDF16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7402CF88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4C597293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Финляндия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1E8D43C0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0,421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2C6CE821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362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6912097C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05F3F2D7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2AE08D6B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Франция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039E02D7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427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5FDF91B9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14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326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1EE65913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0C3770A9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7AB7D9C6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Грузия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7A2A7F8E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0,008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4B6C69E4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0,026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19271AAF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3421EB0E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45E9C901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Германия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34D0FB63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090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5048DE81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19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707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168CD707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2573125B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144344D1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Греция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73B3B966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0,366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50DC7617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184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34AB29E5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3A79C6A9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4A93F092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Венгрия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2880DDC4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0,206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72C8820A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0,667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1131B1AC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6C172D02" w14:textId="77777777" w:rsidTr="00A71527">
        <w:tc>
          <w:tcPr>
            <w:tcW w:w="2262" w:type="dxa"/>
            <w:shd w:val="clear" w:color="auto" w:fill="auto"/>
            <w:noWrap/>
          </w:tcPr>
          <w:p w14:paraId="6CC71D8E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Исландия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2DC5BA76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0,028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158F0DAC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0,091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2C0C39EE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216210C8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5026A5DA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Ирландия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75B58D69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0,371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50FEE097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201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5CFAECFA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58442951" w14:textId="77777777" w:rsidTr="00A71527">
        <w:tc>
          <w:tcPr>
            <w:tcW w:w="2262" w:type="dxa"/>
            <w:shd w:val="clear" w:color="auto" w:fill="auto"/>
            <w:noWrap/>
          </w:tcPr>
          <w:p w14:paraId="4A2A99F4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Италия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5F61028D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307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27ABBE0E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10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701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02A6E8F8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53C334BD" w14:textId="77777777" w:rsidTr="00A71527">
        <w:tc>
          <w:tcPr>
            <w:tcW w:w="2262" w:type="dxa"/>
            <w:shd w:val="clear" w:color="auto" w:fill="auto"/>
            <w:noWrap/>
          </w:tcPr>
          <w:p w14:paraId="49F1DD3F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Казахстан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5EC19C0B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0,178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448C29E3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0,576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502FC5C7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4FD1B842" w14:textId="77777777" w:rsidTr="00A71527">
        <w:tc>
          <w:tcPr>
            <w:tcW w:w="2262" w:type="dxa"/>
            <w:shd w:val="clear" w:color="auto" w:fill="auto"/>
            <w:noWrap/>
          </w:tcPr>
          <w:p w14:paraId="02CB2183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Кыргызстан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45D152D1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0,002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0A62E68F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0,006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0F33C322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185A2284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3B968BB3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Латвия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197A360F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0,047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0078A3BC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0,152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2F2E254F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5EB9ADBD" w14:textId="77777777" w:rsidTr="00A71527">
        <w:tc>
          <w:tcPr>
            <w:tcW w:w="2262" w:type="dxa"/>
            <w:shd w:val="clear" w:color="auto" w:fill="auto"/>
            <w:noWrap/>
          </w:tcPr>
          <w:p w14:paraId="54EAE6A0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Лихтенштейн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529E60F4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0,009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20FA441D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0,029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3C13CD59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4FBFD408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144B26C5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Литва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221B17C1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0,071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046B05D5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0,230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18CB7122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2FBAA742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0D3616F8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Люксембург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6F1BD652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0,067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19FA0AC4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0,217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287BC829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2A2E358C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26AF6B11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Мальта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32AB27B8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0,017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6B1F8EB0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0,055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34B1F5C4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234A16CE" w14:textId="77777777" w:rsidTr="00A71527">
        <w:tc>
          <w:tcPr>
            <w:tcW w:w="2262" w:type="dxa"/>
            <w:shd w:val="clear" w:color="auto" w:fill="auto"/>
            <w:noWrap/>
          </w:tcPr>
          <w:p w14:paraId="49C9116D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Монако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41AE6D12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0,011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5B9B29A6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0,036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6A99A489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2E30ADFB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6C599A0D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Черногория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4477CDEC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0,004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4323B179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0,013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4B5C4786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3897219E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1C8F48E8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Нидерланды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3FECB423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356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76C783F8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388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5F1EB874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7C335958" w14:textId="77777777" w:rsidTr="00A71527">
        <w:tc>
          <w:tcPr>
            <w:tcW w:w="2262" w:type="dxa"/>
            <w:shd w:val="clear" w:color="auto" w:fill="auto"/>
            <w:noWrap/>
          </w:tcPr>
          <w:p w14:paraId="18F17E52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Северная Македония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0387D40E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0,007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0CDEBC69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0,023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57EEB8C6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2667551C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58F787DE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Норвегия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2B243614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0,754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273B5C5B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440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2B52E6A7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1F362213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6538CEBD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Польша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4F601202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0,802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339FBF67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595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127EA2BF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5B6C90F7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7AC5FE94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Португалия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18C45F24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0,350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4082A6CB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133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6F4594DB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5604BFAB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6F0233DC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Республика Молдова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428C80D9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0,003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2337DD79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0,010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3138403A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2C41B6D2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0F39F1B8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Румыния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3CFAD737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0,198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7E1F3BBC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0,641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0F438493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79243547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700F71B3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Сербия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1B89D0F2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0,028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1121A391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0,091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528CA85F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7DC48995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7D1CCCCA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Словакия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54E96614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0,153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18FE017B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0,495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638B9AF5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4569A698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77DF1E80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Словения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45A1FAA1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0,076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7218BC24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0,246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39F6A01F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3852B6E8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0128ED30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Испания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1A20075B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146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59C6FB62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6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944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41A6D553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659E5846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583FAF62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Швеция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1E3818EC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0,906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6920D2CC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932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2B43DDBD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608ECF11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06AD739D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Швейцария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4738FD04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1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151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704F5805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3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725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2EF0A24A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4856A6D9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61AAA560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Таджикистан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6A974AC9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0,004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491CE4F9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0,013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74890A22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001C3613" w14:textId="77777777" w:rsidTr="00A71527">
        <w:tc>
          <w:tcPr>
            <w:tcW w:w="2262" w:type="dxa"/>
            <w:shd w:val="clear" w:color="auto" w:fill="auto"/>
            <w:noWrap/>
          </w:tcPr>
          <w:p w14:paraId="3F4BAD45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Туркменистан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5543131F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0,033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09416B0D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0,107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2DB47C95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10A99379" w14:textId="77777777" w:rsidTr="00A71527">
        <w:tc>
          <w:tcPr>
            <w:tcW w:w="2262" w:type="dxa"/>
            <w:shd w:val="clear" w:color="auto" w:fill="auto"/>
            <w:noWrap/>
            <w:hideMark/>
          </w:tcPr>
          <w:p w14:paraId="5553377D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Украина</w:t>
            </w:r>
          </w:p>
        </w:tc>
        <w:tc>
          <w:tcPr>
            <w:tcW w:w="1484" w:type="dxa"/>
            <w:shd w:val="clear" w:color="auto" w:fill="auto"/>
            <w:noWrap/>
            <w:vAlign w:val="bottom"/>
          </w:tcPr>
          <w:p w14:paraId="7484A647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0,057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1FEBE14A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0,184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372E9226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3BD3F658" w14:textId="77777777" w:rsidTr="00A71527"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48B505D" w14:textId="77777777" w:rsidR="00A71527" w:rsidRPr="00937FB2" w:rsidRDefault="00A71527" w:rsidP="00A71527">
            <w:pPr>
              <w:spacing w:before="40" w:after="40" w:line="22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Соединенное Королевство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96DD98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4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567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BFF9F1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sz w:val="18"/>
                <w:szCs w:val="18"/>
              </w:rPr>
              <w:t>14</w:t>
            </w:r>
            <w:r w:rsidRPr="00937FB2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sz w:val="18"/>
                <w:szCs w:val="18"/>
              </w:rPr>
              <w:t>779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477C8" w14:textId="77777777" w:rsidR="00A71527" w:rsidRPr="00937FB2" w:rsidRDefault="00A71527" w:rsidP="00A71527">
            <w:pPr>
              <w:spacing w:before="40" w:after="40" w:line="220" w:lineRule="exact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37FB2" w:rsidRPr="00937FB2" w14:paraId="0278F57E" w14:textId="77777777" w:rsidTr="00A71527">
        <w:tc>
          <w:tcPr>
            <w:tcW w:w="22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D9E5AC5" w14:textId="77777777" w:rsidR="00A71527" w:rsidRPr="00937FB2" w:rsidRDefault="00A71527" w:rsidP="00937FB2">
            <w:pPr>
              <w:spacing w:before="80" w:after="80" w:line="220" w:lineRule="exact"/>
              <w:ind w:firstLine="28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F0D1860" w14:textId="77777777" w:rsidR="00A71527" w:rsidRPr="00937FB2" w:rsidRDefault="00A71527" w:rsidP="00937FB2">
            <w:pPr>
              <w:spacing w:before="80" w:after="80" w:line="220" w:lineRule="exact"/>
              <w:ind w:firstLine="284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30</w:t>
            </w:r>
            <w:r w:rsidRPr="00937F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,</w:t>
            </w:r>
            <w:r w:rsidRPr="00937F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46CE86D" w14:textId="77777777" w:rsidR="00A71527" w:rsidRPr="00937FB2" w:rsidRDefault="00A71527" w:rsidP="00937FB2">
            <w:pPr>
              <w:spacing w:before="80" w:after="80" w:line="220" w:lineRule="exact"/>
              <w:ind w:firstLine="284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37F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100</w:t>
            </w:r>
            <w:r w:rsidRPr="00937F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,0</w:t>
            </w:r>
            <w:r w:rsidRPr="00937F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1D775D" w14:textId="77777777" w:rsidR="00A71527" w:rsidRPr="00937FB2" w:rsidRDefault="00A71527" w:rsidP="00937FB2">
            <w:pPr>
              <w:spacing w:before="80" w:after="80" w:line="220" w:lineRule="exact"/>
              <w:ind w:firstLine="284"/>
              <w:jc w:val="righ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</w:tbl>
    <w:p w14:paraId="756E99EB" w14:textId="77777777" w:rsidR="00A71527" w:rsidRPr="00937FB2" w:rsidRDefault="00A71527" w:rsidP="00937FB2">
      <w:pPr>
        <w:pStyle w:val="af"/>
        <w:widowControl w:val="0"/>
        <w:tabs>
          <w:tab w:val="clear" w:pos="1021"/>
          <w:tab w:val="left" w:pos="1600"/>
        </w:tabs>
        <w:spacing w:before="120"/>
        <w:ind w:right="0" w:firstLine="170"/>
        <w:rPr>
          <w:rFonts w:asciiTheme="majorBidi" w:hAnsiTheme="majorBidi" w:cstheme="majorBidi"/>
          <w:szCs w:val="18"/>
        </w:rPr>
      </w:pPr>
      <w:r w:rsidRPr="00937FB2">
        <w:rPr>
          <w:i/>
          <w:szCs w:val="18"/>
          <w:vertAlign w:val="superscript"/>
        </w:rPr>
        <w:t>a</w:t>
      </w:r>
      <w:r w:rsidRPr="00937FB2">
        <w:rPr>
          <w:szCs w:val="18"/>
        </w:rPr>
        <w:t xml:space="preserve"> </w:t>
      </w:r>
      <w:r w:rsidR="00937FB2" w:rsidRPr="00937FB2">
        <w:rPr>
          <w:szCs w:val="18"/>
        </w:rPr>
        <w:t xml:space="preserve"> </w:t>
      </w:r>
      <w:r w:rsidRPr="00937FB2">
        <w:rPr>
          <w:szCs w:val="18"/>
        </w:rPr>
        <w:t>Цифры в колонке B основаны на шкале взносов, содержащейся в резолюции 73/271 Генеральной Ассамблеи, принятой 22 декабря 2018 года.</w:t>
      </w:r>
    </w:p>
    <w:p w14:paraId="2F13C097" w14:textId="77777777" w:rsidR="00A71527" w:rsidRPr="00937FB2" w:rsidRDefault="00A71527" w:rsidP="00937FB2">
      <w:pPr>
        <w:pStyle w:val="af"/>
        <w:widowControl w:val="0"/>
        <w:tabs>
          <w:tab w:val="clear" w:pos="1021"/>
          <w:tab w:val="left" w:pos="1600"/>
        </w:tabs>
        <w:ind w:right="0" w:firstLine="170"/>
        <w:rPr>
          <w:rFonts w:asciiTheme="majorBidi" w:hAnsiTheme="majorBidi" w:cstheme="majorBidi"/>
          <w:i/>
          <w:szCs w:val="18"/>
        </w:rPr>
      </w:pPr>
      <w:r w:rsidRPr="00937FB2">
        <w:rPr>
          <w:i/>
          <w:szCs w:val="18"/>
          <w:vertAlign w:val="superscript"/>
        </w:rPr>
        <w:t>b</w:t>
      </w:r>
      <w:r w:rsidRPr="00937FB2">
        <w:rPr>
          <w:szCs w:val="18"/>
        </w:rPr>
        <w:t xml:space="preserve"> </w:t>
      </w:r>
      <w:r w:rsidR="00937FB2" w:rsidRPr="00937FB2">
        <w:rPr>
          <w:szCs w:val="18"/>
        </w:rPr>
        <w:t xml:space="preserve"> </w:t>
      </w:r>
      <w:r w:rsidRPr="00937FB2">
        <w:rPr>
          <w:szCs w:val="18"/>
        </w:rPr>
        <w:t>Проценты, указанные в шкале взносов Организации Объединенных Наций, были скорректированы для Конвенции с использованием множительного коэффициента 3,</w:t>
      </w:r>
      <w:r w:rsidR="001C2EA7">
        <w:rPr>
          <w:szCs w:val="18"/>
        </w:rPr>
        <w:t>2</w:t>
      </w:r>
      <w:r w:rsidRPr="00937FB2">
        <w:rPr>
          <w:szCs w:val="18"/>
        </w:rPr>
        <w:t>36, с тем чтобы в итоге получилось 100</w:t>
      </w:r>
      <w:r w:rsidR="00937FB2" w:rsidRPr="00937FB2">
        <w:rPr>
          <w:szCs w:val="18"/>
        </w:rPr>
        <w:t>%</w:t>
      </w:r>
      <w:r w:rsidRPr="00937FB2">
        <w:rPr>
          <w:szCs w:val="18"/>
        </w:rPr>
        <w:t>.</w:t>
      </w:r>
    </w:p>
    <w:p w14:paraId="23D020C5" w14:textId="77777777" w:rsidR="00A71527" w:rsidRPr="00937FB2" w:rsidRDefault="00A71527" w:rsidP="00937FB2">
      <w:pPr>
        <w:pStyle w:val="af"/>
        <w:widowControl w:val="0"/>
        <w:tabs>
          <w:tab w:val="clear" w:pos="1021"/>
          <w:tab w:val="left" w:pos="1600"/>
        </w:tabs>
        <w:ind w:right="0" w:firstLine="170"/>
        <w:rPr>
          <w:rFonts w:asciiTheme="majorBidi" w:hAnsiTheme="majorBidi" w:cstheme="majorBidi"/>
          <w:szCs w:val="18"/>
        </w:rPr>
      </w:pPr>
      <w:r w:rsidRPr="00937FB2">
        <w:rPr>
          <w:i/>
          <w:szCs w:val="18"/>
          <w:vertAlign w:val="superscript"/>
        </w:rPr>
        <w:t>c</w:t>
      </w:r>
      <w:r w:rsidRPr="00937FB2">
        <w:rPr>
          <w:szCs w:val="18"/>
        </w:rPr>
        <w:t xml:space="preserve"> </w:t>
      </w:r>
      <w:r w:rsidR="00937FB2" w:rsidRPr="00937FB2">
        <w:rPr>
          <w:szCs w:val="18"/>
        </w:rPr>
        <w:t xml:space="preserve"> </w:t>
      </w:r>
      <w:r w:rsidRPr="00937FB2">
        <w:rPr>
          <w:szCs w:val="18"/>
        </w:rPr>
        <w:t>С учетом сноски d ниже, касающейся взноса Европейского союза, показатели в колонке D будут рассчитываться путем умножения процентной величины в колонке C на ежегодные сметные потребности в</w:t>
      </w:r>
      <w:r w:rsidR="00937FB2" w:rsidRPr="00937FB2">
        <w:rPr>
          <w:szCs w:val="18"/>
        </w:rPr>
        <w:t> </w:t>
      </w:r>
      <w:r w:rsidRPr="00937FB2">
        <w:rPr>
          <w:szCs w:val="18"/>
        </w:rPr>
        <w:t>расходах на программу работы, конкретно определенные в проекте решения по программе работы</w:t>
      </w:r>
      <w:r w:rsidR="00937FB2" w:rsidRPr="00937FB2">
        <w:rPr>
          <w:szCs w:val="18"/>
        </w:rPr>
        <w:br/>
      </w:r>
      <w:r w:rsidRPr="00937FB2">
        <w:rPr>
          <w:szCs w:val="18"/>
        </w:rPr>
        <w:t>на 2022–2025 годы (ECE/MP.PP/…). Фактические суммы взноса каждой Стороны и сигнатария в период 2022–2025 годов будут рассчитаны в должном порядке при том условии, что проект решения по программе работы на 2022–2025 годы будет рассмотрен и утвержден.</w:t>
      </w:r>
    </w:p>
    <w:p w14:paraId="0285FD16" w14:textId="77777777" w:rsidR="00A71527" w:rsidRPr="00937FB2" w:rsidRDefault="00A71527" w:rsidP="00937FB2">
      <w:pPr>
        <w:spacing w:line="220" w:lineRule="exact"/>
        <w:ind w:left="1134" w:firstLine="170"/>
        <w:rPr>
          <w:rFonts w:asciiTheme="majorBidi" w:hAnsiTheme="majorBidi" w:cstheme="majorBidi"/>
          <w:sz w:val="18"/>
          <w:szCs w:val="18"/>
        </w:rPr>
      </w:pPr>
      <w:r w:rsidRPr="00937FB2">
        <w:rPr>
          <w:i/>
          <w:sz w:val="18"/>
          <w:szCs w:val="18"/>
          <w:vertAlign w:val="superscript"/>
        </w:rPr>
        <w:t>d</w:t>
      </w:r>
      <w:r w:rsidRPr="00937FB2">
        <w:rPr>
          <w:sz w:val="18"/>
          <w:szCs w:val="18"/>
        </w:rPr>
        <w:t xml:space="preserve"> </w:t>
      </w:r>
      <w:r w:rsidR="00937FB2" w:rsidRPr="00937FB2">
        <w:rPr>
          <w:sz w:val="18"/>
          <w:szCs w:val="18"/>
        </w:rPr>
        <w:t xml:space="preserve"> </w:t>
      </w:r>
      <w:r w:rsidRPr="00937FB2">
        <w:rPr>
          <w:sz w:val="18"/>
          <w:szCs w:val="18"/>
        </w:rPr>
        <w:t>Европейскому союзу не был присвоен процентный показатель, поскольку Европейский союз не включен в шкалу взносов Организации Объединенных Наций, и поэтому рассчитать уровень его взноса на той же основе, что и для других Сторон и сигнатариев (</w:t>
      </w:r>
      <w:r w:rsidR="00937FB2" w:rsidRPr="00937FB2">
        <w:rPr>
          <w:sz w:val="18"/>
          <w:szCs w:val="18"/>
        </w:rPr>
        <w:t>т. е.</w:t>
      </w:r>
      <w:r w:rsidRPr="00937FB2">
        <w:rPr>
          <w:sz w:val="18"/>
          <w:szCs w:val="18"/>
        </w:rPr>
        <w:t xml:space="preserve"> на основе адаптированной шкалы взносов Организации Объединенных Наций), не представляется возможным. В соответствии с пунктом 2 решения I/3 Совещания Сторон размер взноса Европейского союза на те виды деятельности по программе работы, расходы на которые не покрываются из регулярного бюджета Организации Объединенных Наций, будет составлять 2,5</w:t>
      </w:r>
      <w:r w:rsidR="00937FB2" w:rsidRPr="00937FB2">
        <w:rPr>
          <w:sz w:val="18"/>
          <w:szCs w:val="18"/>
        </w:rPr>
        <w:t xml:space="preserve">% </w:t>
      </w:r>
      <w:r w:rsidRPr="00937FB2">
        <w:rPr>
          <w:sz w:val="18"/>
          <w:szCs w:val="18"/>
        </w:rPr>
        <w:t>от общей суммы расходов, необходимых на мероприятия в рамках основной деятельности. Это обязательство подлежит ежегодному утверждению бюджетными органами Европейского союза.]</w:t>
      </w:r>
    </w:p>
    <w:p w14:paraId="694AEE76" w14:textId="77777777" w:rsidR="00A71527" w:rsidRPr="00937FB2" w:rsidRDefault="00A71527" w:rsidP="00A71527">
      <w:pPr>
        <w:spacing w:before="240"/>
        <w:jc w:val="center"/>
        <w:rPr>
          <w:u w:val="single"/>
        </w:rPr>
      </w:pPr>
      <w:r w:rsidRPr="00937FB2">
        <w:rPr>
          <w:u w:val="single"/>
        </w:rPr>
        <w:tab/>
      </w:r>
      <w:r w:rsidRPr="00937FB2">
        <w:rPr>
          <w:u w:val="single"/>
        </w:rPr>
        <w:tab/>
      </w:r>
      <w:r w:rsidRPr="00937FB2">
        <w:rPr>
          <w:u w:val="single"/>
        </w:rPr>
        <w:tab/>
      </w:r>
    </w:p>
    <w:p w14:paraId="7AAB0AEB" w14:textId="77777777" w:rsidR="00A71527" w:rsidRPr="00937FB2" w:rsidRDefault="00A71527" w:rsidP="00A71527">
      <w:pPr>
        <w:pStyle w:val="SingleTxtG"/>
      </w:pPr>
    </w:p>
    <w:sectPr w:rsidR="00A71527" w:rsidRPr="00937FB2" w:rsidSect="005E0A2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D5CB2" w14:textId="77777777" w:rsidR="00994CA0" w:rsidRPr="00A312BC" w:rsidRDefault="00994CA0" w:rsidP="00A312BC"/>
  </w:endnote>
  <w:endnote w:type="continuationSeparator" w:id="0">
    <w:p w14:paraId="114E53E7" w14:textId="77777777" w:rsidR="00994CA0" w:rsidRPr="00A312BC" w:rsidRDefault="00994CA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411B" w14:textId="77777777" w:rsidR="00C450FA" w:rsidRDefault="005E0A28" w:rsidP="00A71527">
    <w:pPr>
      <w:pStyle w:val="a8"/>
    </w:pPr>
    <w:r w:rsidRPr="005E0A28">
      <w:rPr>
        <w:b/>
        <w:sz w:val="18"/>
      </w:rPr>
      <w:fldChar w:fldCharType="begin"/>
    </w:r>
    <w:r w:rsidRPr="005E0A28">
      <w:rPr>
        <w:b/>
        <w:sz w:val="18"/>
      </w:rPr>
      <w:instrText xml:space="preserve"> PAGE  \* MERGEFORMAT </w:instrText>
    </w:r>
    <w:r w:rsidRPr="005E0A28">
      <w:rPr>
        <w:b/>
        <w:sz w:val="18"/>
      </w:rPr>
      <w:fldChar w:fldCharType="separate"/>
    </w:r>
    <w:r w:rsidRPr="005E0A28">
      <w:rPr>
        <w:b/>
        <w:noProof/>
        <w:sz w:val="18"/>
      </w:rPr>
      <w:t>2</w:t>
    </w:r>
    <w:r w:rsidRPr="005E0A28">
      <w:rPr>
        <w:b/>
        <w:sz w:val="18"/>
      </w:rPr>
      <w:fldChar w:fldCharType="end"/>
    </w:r>
    <w:r>
      <w:rPr>
        <w:b/>
        <w:sz w:val="18"/>
      </w:rPr>
      <w:tab/>
    </w:r>
    <w:r>
      <w:t>GE.20-05257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58D7" w14:textId="77777777" w:rsidR="00C450FA" w:rsidRPr="00A71527" w:rsidRDefault="005E0A28" w:rsidP="00A71527">
    <w:pPr>
      <w:pStyle w:val="a8"/>
      <w:tabs>
        <w:tab w:val="clear" w:pos="9639"/>
        <w:tab w:val="right" w:pos="9638"/>
      </w:tabs>
      <w:rPr>
        <w:b/>
        <w:sz w:val="18"/>
      </w:rPr>
    </w:pPr>
    <w:r>
      <w:t>GE.20-05257</w:t>
    </w:r>
    <w:r>
      <w:tab/>
    </w:r>
    <w:r w:rsidRPr="005E0A28">
      <w:rPr>
        <w:b/>
        <w:sz w:val="18"/>
      </w:rPr>
      <w:fldChar w:fldCharType="begin"/>
    </w:r>
    <w:r w:rsidRPr="005E0A28">
      <w:rPr>
        <w:b/>
        <w:sz w:val="18"/>
      </w:rPr>
      <w:instrText xml:space="preserve"> PAGE  \* MERGEFORMAT </w:instrText>
    </w:r>
    <w:r w:rsidRPr="005E0A28">
      <w:rPr>
        <w:b/>
        <w:sz w:val="18"/>
      </w:rPr>
      <w:fldChar w:fldCharType="separate"/>
    </w:r>
    <w:r w:rsidRPr="005E0A28">
      <w:rPr>
        <w:b/>
        <w:noProof/>
        <w:sz w:val="18"/>
      </w:rPr>
      <w:t>3</w:t>
    </w:r>
    <w:r w:rsidRPr="005E0A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D6DA" w14:textId="77777777" w:rsidR="00042B72" w:rsidRPr="005E0A28" w:rsidRDefault="005E0A28" w:rsidP="005E0A2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EFAC151" wp14:editId="34D717B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20-05257  (R)</w:t>
    </w:r>
    <w:r w:rsidR="00280B36">
      <w:t xml:space="preserve">  200420  240420</w:t>
    </w:r>
    <w:r>
      <w:br/>
    </w:r>
    <w:r w:rsidRPr="005E0A28">
      <w:rPr>
        <w:rFonts w:ascii="C39T30Lfz" w:hAnsi="C39T30Lfz"/>
        <w:kern w:val="14"/>
        <w:sz w:val="56"/>
      </w:rPr>
      <w:t></w:t>
    </w:r>
    <w:r w:rsidRPr="005E0A28">
      <w:rPr>
        <w:rFonts w:ascii="C39T30Lfz" w:hAnsi="C39T30Lfz"/>
        <w:kern w:val="14"/>
        <w:sz w:val="56"/>
      </w:rPr>
      <w:t></w:t>
    </w:r>
    <w:r w:rsidRPr="005E0A28">
      <w:rPr>
        <w:rFonts w:ascii="C39T30Lfz" w:hAnsi="C39T30Lfz"/>
        <w:kern w:val="14"/>
        <w:sz w:val="56"/>
      </w:rPr>
      <w:t></w:t>
    </w:r>
    <w:r w:rsidRPr="005E0A28">
      <w:rPr>
        <w:rFonts w:ascii="C39T30Lfz" w:hAnsi="C39T30Lfz"/>
        <w:kern w:val="14"/>
        <w:sz w:val="56"/>
      </w:rPr>
      <w:t></w:t>
    </w:r>
    <w:r w:rsidRPr="005E0A28">
      <w:rPr>
        <w:rFonts w:ascii="C39T30Lfz" w:hAnsi="C39T30Lfz"/>
        <w:kern w:val="14"/>
        <w:sz w:val="56"/>
      </w:rPr>
      <w:t></w:t>
    </w:r>
    <w:r w:rsidRPr="005E0A28">
      <w:rPr>
        <w:rFonts w:ascii="C39T30Lfz" w:hAnsi="C39T30Lfz"/>
        <w:kern w:val="14"/>
        <w:sz w:val="56"/>
      </w:rPr>
      <w:t></w:t>
    </w:r>
    <w:r w:rsidRPr="005E0A28">
      <w:rPr>
        <w:rFonts w:ascii="C39T30Lfz" w:hAnsi="C39T30Lfz"/>
        <w:kern w:val="14"/>
        <w:sz w:val="56"/>
      </w:rPr>
      <w:t></w:t>
    </w:r>
    <w:r w:rsidRPr="005E0A28">
      <w:rPr>
        <w:rFonts w:ascii="C39T30Lfz" w:hAnsi="C39T30Lfz"/>
        <w:kern w:val="14"/>
        <w:sz w:val="56"/>
      </w:rPr>
      <w:t></w:t>
    </w:r>
    <w:r w:rsidRPr="005E0A2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B5B8C6" wp14:editId="687E4FF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WG.1/2020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WG.1/2020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662DC" w14:textId="77777777" w:rsidR="00994CA0" w:rsidRPr="001075E9" w:rsidRDefault="00994CA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5A8D60" w14:textId="77777777" w:rsidR="00994CA0" w:rsidRDefault="00994CA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0CF3809" w14:textId="77777777" w:rsidR="00A71527" w:rsidRPr="00937FB2" w:rsidRDefault="00A71527" w:rsidP="00A71527">
      <w:pPr>
        <w:pStyle w:val="ad"/>
      </w:pPr>
      <w:r w:rsidRPr="00937FB2">
        <w:tab/>
      </w:r>
      <w:r w:rsidRPr="00937FB2">
        <w:rPr>
          <w:rStyle w:val="aa"/>
        </w:rPr>
        <w:footnoteRef/>
      </w:r>
      <w:r w:rsidRPr="00937FB2">
        <w:tab/>
        <w:t>Этот пункт должен быть проверен незадолго до принятия решения.</w:t>
      </w:r>
    </w:p>
  </w:footnote>
  <w:footnote w:id="2">
    <w:p w14:paraId="38A581AB" w14:textId="77777777" w:rsidR="00A71527" w:rsidRPr="00937FB2" w:rsidRDefault="00A71527" w:rsidP="00A71527">
      <w:pPr>
        <w:pStyle w:val="ad"/>
        <w:rPr>
          <w:szCs w:val="18"/>
        </w:rPr>
      </w:pPr>
      <w:r w:rsidRPr="00937FB2">
        <w:tab/>
      </w:r>
      <w:r w:rsidRPr="00937FB2">
        <w:rPr>
          <w:rStyle w:val="aa"/>
        </w:rPr>
        <w:footnoteRef/>
      </w:r>
      <w:r w:rsidRPr="00937FB2">
        <w:tab/>
        <w:t>Шкала взносов Организации Объединенных Наций принимается Генеральной Ассамблеей на трехлетний период. Она служит основой для расчета взносов государств-членов в регулярный бюджет Организации Объединенных Наций. В декабре 2018 года Генеральная Ассамблея приняла резолюцию 73/271 о шкале взносов для распределения расходов Организации Объединенных Наций на период 2019–2021 годов. Как подтверждается в указанной резолюции, основополагающим для расчета взносов государств-членов является принцип, согласно которому «расходы Организации пропорционально распределяются между государствами-членами в примерном соответствии с их платежеспособностью».</w:t>
      </w:r>
    </w:p>
  </w:footnote>
  <w:footnote w:id="3">
    <w:p w14:paraId="406C5324" w14:textId="77777777" w:rsidR="00A71527" w:rsidRPr="00937FB2" w:rsidRDefault="00A71527" w:rsidP="00A71527">
      <w:pPr>
        <w:pStyle w:val="ad"/>
        <w:rPr>
          <w:szCs w:val="18"/>
        </w:rPr>
      </w:pPr>
      <w:r w:rsidRPr="00937FB2">
        <w:rPr>
          <w:szCs w:val="18"/>
        </w:rPr>
        <w:tab/>
      </w:r>
      <w:r w:rsidRPr="00937FB2">
        <w:rPr>
          <w:rStyle w:val="aa"/>
          <w:szCs w:val="18"/>
        </w:rPr>
        <w:footnoteRef/>
      </w:r>
      <w:r w:rsidRPr="00937FB2">
        <w:tab/>
        <w:t>Согласно резолюции 73/271, в которой максимальная ставка взноса на период 2019–2021 годов установлена в размере 22%.</w:t>
      </w:r>
    </w:p>
  </w:footnote>
  <w:footnote w:id="4">
    <w:p w14:paraId="16BE53A3" w14:textId="77777777" w:rsidR="00A71527" w:rsidRPr="00937FB2" w:rsidRDefault="00A71527" w:rsidP="00A71527">
      <w:pPr>
        <w:pStyle w:val="ad"/>
      </w:pPr>
      <w:r w:rsidRPr="00937FB2">
        <w:tab/>
      </w:r>
      <w:r w:rsidRPr="00937FB2">
        <w:rPr>
          <w:rStyle w:val="aa"/>
          <w:rFonts w:eastAsia="SimSun"/>
        </w:rPr>
        <w:footnoteRef/>
      </w:r>
      <w:r w:rsidRPr="00937FB2">
        <w:rPr>
          <w:lang w:val="en-US"/>
        </w:rPr>
        <w:tab/>
        <w:t xml:space="preserve">United Nations, Global Compact, report, 2015 (revised). </w:t>
      </w:r>
      <w:r w:rsidRPr="00937FB2">
        <w:t xml:space="preserve">Имеется по адресу </w:t>
      </w:r>
      <w:hyperlink r:id="rId1" w:history="1">
        <w:r w:rsidRPr="00937FB2">
          <w:rPr>
            <w:rStyle w:val="af1"/>
            <w:color w:val="auto"/>
          </w:rPr>
          <w:t>www.unglobalcompact.org/library/3431</w:t>
        </w:r>
      </w:hyperlink>
      <w:r w:rsidRPr="00937FB2">
        <w:t>.</w:t>
      </w:r>
    </w:p>
  </w:footnote>
  <w:footnote w:id="5">
    <w:p w14:paraId="1E9B599A" w14:textId="77777777" w:rsidR="00A71527" w:rsidRPr="00937FB2" w:rsidRDefault="00A71527" w:rsidP="00A71527">
      <w:pPr>
        <w:pStyle w:val="ad"/>
      </w:pPr>
      <w:r w:rsidRPr="00937FB2">
        <w:tab/>
      </w:r>
      <w:r w:rsidRPr="00937FB2">
        <w:rPr>
          <w:rStyle w:val="aa"/>
        </w:rPr>
        <w:footnoteRef/>
      </w:r>
      <w:r w:rsidRPr="00937FB2">
        <w:tab/>
      </w:r>
      <w:r w:rsidRPr="00937FB2">
        <w:rPr>
          <w:i/>
          <w:iCs/>
        </w:rPr>
        <w:t>Официальные отчеты Экономического и Социального Совета, 2013 год, Дополнение № 17</w:t>
      </w:r>
      <w:r w:rsidRPr="00937FB2">
        <w:t xml:space="preserve"> (E/2013/37</w:t>
      </w:r>
      <w:r w:rsidR="001C2EA7">
        <w:t>–</w:t>
      </w:r>
      <w:r w:rsidRPr="00937FB2">
        <w:t>E/ECE/1464, приложение III, пункты 7 и 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9AD9" w14:textId="205A5A8B" w:rsidR="005E0A28" w:rsidRPr="005E0A28" w:rsidRDefault="005E0A2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4A4419">
      <w:t>ECE/</w:t>
    </w:r>
    <w:proofErr w:type="gramStart"/>
    <w:r w:rsidR="004A4419">
      <w:t>MP.PP</w:t>
    </w:r>
    <w:proofErr w:type="gramEnd"/>
    <w:r w:rsidR="004A4419">
      <w:t>/WG.1/2020/8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66DD" w14:textId="34E9134E" w:rsidR="005E0A28" w:rsidRPr="005E0A28" w:rsidRDefault="005E0A28" w:rsidP="005E0A2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A4419">
      <w:t>ECE/</w:t>
    </w:r>
    <w:proofErr w:type="gramStart"/>
    <w:r w:rsidR="004A4419">
      <w:t>MP.PP</w:t>
    </w:r>
    <w:proofErr w:type="gramEnd"/>
    <w:r w:rsidR="004A4419">
      <w:t>/WG.1/2020/8</w:t>
    </w:r>
    <w:r>
      <w:fldChar w:fldCharType="end"/>
    </w:r>
  </w:p>
  <w:p w14:paraId="40EE02D4" w14:textId="77777777" w:rsidR="00C450FA" w:rsidRDefault="00C450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A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2EA7"/>
    <w:rsid w:val="001C7A89"/>
    <w:rsid w:val="00255343"/>
    <w:rsid w:val="0027151D"/>
    <w:rsid w:val="00280B36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018E"/>
    <w:rsid w:val="004A441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0A28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5ED5"/>
    <w:rsid w:val="00757357"/>
    <w:rsid w:val="0076248C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3DA1"/>
    <w:rsid w:val="00906890"/>
    <w:rsid w:val="00911BE4"/>
    <w:rsid w:val="00937FB2"/>
    <w:rsid w:val="00951972"/>
    <w:rsid w:val="009608F3"/>
    <w:rsid w:val="00994CA0"/>
    <w:rsid w:val="009A24AC"/>
    <w:rsid w:val="009C59D7"/>
    <w:rsid w:val="009C6FE6"/>
    <w:rsid w:val="009D7E7D"/>
    <w:rsid w:val="00A14DA8"/>
    <w:rsid w:val="00A312BC"/>
    <w:rsid w:val="00A71527"/>
    <w:rsid w:val="00A84021"/>
    <w:rsid w:val="00A84D35"/>
    <w:rsid w:val="00A917B3"/>
    <w:rsid w:val="00AB4B51"/>
    <w:rsid w:val="00B10CC7"/>
    <w:rsid w:val="00B36DF7"/>
    <w:rsid w:val="00B539E7"/>
    <w:rsid w:val="00B62458"/>
    <w:rsid w:val="00BA7E88"/>
    <w:rsid w:val="00BC18B2"/>
    <w:rsid w:val="00BD33EE"/>
    <w:rsid w:val="00BE1CC7"/>
    <w:rsid w:val="00C106D6"/>
    <w:rsid w:val="00C119AE"/>
    <w:rsid w:val="00C20B73"/>
    <w:rsid w:val="00C450FA"/>
    <w:rsid w:val="00C60F0C"/>
    <w:rsid w:val="00C71E84"/>
    <w:rsid w:val="00C805C9"/>
    <w:rsid w:val="00C92939"/>
    <w:rsid w:val="00C95D6D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655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6A1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59CA85"/>
  <w15:docId w15:val="{0F3EAA01-A633-4AC6-9E47-CA7D830D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n,footnote text,Footnotes,Footnote ak,Tekst przypisu,Fußnote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n Знак,footnote text Знак,Footnotes Знак,Footnote ak Знак,Tekst przypisu Знак,Fußnote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80B36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A71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globalcompact.org/library/34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F8A4E-E065-4B96-A13C-EF5E31DC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10</Pages>
  <Words>2581</Words>
  <Characters>17887</Characters>
  <Application>Microsoft Office Word</Application>
  <DocSecurity>0</DocSecurity>
  <Lines>372</Lines>
  <Paragraphs>114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ECE/MP.PP/WG.1/2020/8</vt:lpstr>
      <vt:lpstr>A/</vt:lpstr>
      <vt:lpstr>A/</vt:lpstr>
    </vt:vector>
  </TitlesOfParts>
  <Company>DCM</Company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ECE/MP.PP/WG.1/2020/8</dc:title>
  <dc:subject/>
  <dc:creator>Uliana ANTIPOVA</dc:creator>
  <cp:keywords/>
  <cp:lastModifiedBy>Uliana Antipova</cp:lastModifiedBy>
  <cp:revision>3</cp:revision>
  <cp:lastPrinted>2020-04-24T12:57:00Z</cp:lastPrinted>
  <dcterms:created xsi:type="dcterms:W3CDTF">2020-04-24T12:57:00Z</dcterms:created>
  <dcterms:modified xsi:type="dcterms:W3CDTF">2020-04-24T12:57:00Z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