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FABB3F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D2ABFD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1CC71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0F0126" w14:textId="77777777" w:rsidR="002D5AAC" w:rsidRDefault="005A26AF" w:rsidP="005A26AF">
            <w:pPr>
              <w:jc w:val="right"/>
            </w:pPr>
            <w:r w:rsidRPr="005A26AF">
              <w:rPr>
                <w:sz w:val="40"/>
              </w:rPr>
              <w:t>ECE</w:t>
            </w:r>
            <w:r>
              <w:t>/MP.PP/WG.1/2020/14</w:t>
            </w:r>
          </w:p>
        </w:tc>
      </w:tr>
      <w:tr w:rsidR="002D5AAC" w:rsidRPr="00EC7D11" w14:paraId="1F49510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240E8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716307" wp14:editId="76F0EA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4E3E4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B87048" w14:textId="77777777" w:rsidR="002D5AAC" w:rsidRDefault="005A26AF" w:rsidP="005A26AF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B83400" w14:textId="56DDD890" w:rsidR="005A26AF" w:rsidRDefault="008C6491" w:rsidP="005A26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A26AF">
              <w:rPr>
                <w:lang w:val="en-US"/>
              </w:rPr>
              <w:t xml:space="preserve"> June 2020</w:t>
            </w:r>
          </w:p>
          <w:p w14:paraId="22AFC688" w14:textId="46300CE3" w:rsidR="005A26AF" w:rsidRDefault="005603FA" w:rsidP="005A26AF">
            <w:pPr>
              <w:spacing w:line="240" w:lineRule="exact"/>
              <w:rPr>
                <w:lang w:val="en-US"/>
              </w:rPr>
            </w:pPr>
            <w:r w:rsidRPr="00144427">
              <w:rPr>
                <w:lang w:val="en-GB"/>
              </w:rPr>
              <w:t>Russian</w:t>
            </w:r>
          </w:p>
          <w:p w14:paraId="4C6023C6" w14:textId="7B4643A6" w:rsidR="005A26AF" w:rsidRPr="008D53B6" w:rsidRDefault="005603FA" w:rsidP="005A26AF">
            <w:pPr>
              <w:spacing w:line="240" w:lineRule="exact"/>
              <w:rPr>
                <w:lang w:val="en-US"/>
              </w:rPr>
            </w:pPr>
            <w:r w:rsidRPr="00144427">
              <w:rPr>
                <w:lang w:val="en-GB"/>
              </w:rPr>
              <w:t>Original: English, French and Russian</w:t>
            </w:r>
          </w:p>
        </w:tc>
      </w:tr>
    </w:tbl>
    <w:p w14:paraId="3676EBC8" w14:textId="77777777" w:rsidR="005A26AF" w:rsidRPr="00831A4A" w:rsidRDefault="005A26AF" w:rsidP="005A26AF">
      <w:pPr>
        <w:spacing w:before="120"/>
        <w:rPr>
          <w:b/>
          <w:bCs/>
          <w:sz w:val="28"/>
          <w:szCs w:val="28"/>
        </w:rPr>
      </w:pPr>
      <w:r w:rsidRPr="004F5C50">
        <w:rPr>
          <w:b/>
          <w:bCs/>
          <w:sz w:val="28"/>
          <w:szCs w:val="28"/>
        </w:rPr>
        <w:t>Европейская экономическая комиссия</w:t>
      </w:r>
    </w:p>
    <w:p w14:paraId="0B40230A" w14:textId="77777777" w:rsidR="005A26AF" w:rsidRPr="00A958E5" w:rsidRDefault="005A26AF" w:rsidP="005A26AF">
      <w:pPr>
        <w:spacing w:before="120"/>
        <w:rPr>
          <w:sz w:val="28"/>
          <w:szCs w:val="28"/>
        </w:rPr>
      </w:pPr>
      <w:r w:rsidRPr="004F5C50">
        <w:rPr>
          <w:sz w:val="28"/>
          <w:szCs w:val="28"/>
        </w:rPr>
        <w:t xml:space="preserve">Совещание Сторон Конвенции о </w:t>
      </w:r>
      <w:r w:rsidRPr="004F5C50">
        <w:rPr>
          <w:sz w:val="28"/>
          <w:szCs w:val="28"/>
        </w:rPr>
        <w:br/>
        <w:t>доступе к информации, участии общественности</w:t>
      </w:r>
      <w:r w:rsidRPr="004F5C50">
        <w:rPr>
          <w:sz w:val="28"/>
          <w:szCs w:val="28"/>
        </w:rPr>
        <w:br/>
        <w:t>в процессе принятия решений и доступе к правосудию</w:t>
      </w:r>
      <w:r w:rsidRPr="004F5C50">
        <w:rPr>
          <w:sz w:val="28"/>
          <w:szCs w:val="28"/>
        </w:rPr>
        <w:br/>
        <w:t>по вопросам, касающимся окружающей среды</w:t>
      </w:r>
    </w:p>
    <w:p w14:paraId="368CDFC5" w14:textId="77777777" w:rsidR="005A26AF" w:rsidRPr="00831A4A" w:rsidRDefault="005A26AF" w:rsidP="005A26AF">
      <w:pPr>
        <w:spacing w:before="120"/>
        <w:rPr>
          <w:b/>
          <w:sz w:val="24"/>
          <w:szCs w:val="24"/>
        </w:rPr>
      </w:pPr>
      <w:r w:rsidRPr="00BA4EC8">
        <w:rPr>
          <w:b/>
          <w:sz w:val="24"/>
          <w:szCs w:val="24"/>
        </w:rPr>
        <w:t>Рабочая группа Сторон</w:t>
      </w:r>
    </w:p>
    <w:p w14:paraId="557157B1" w14:textId="77777777" w:rsidR="005A26AF" w:rsidRPr="00831A4A" w:rsidRDefault="005A26AF" w:rsidP="005A26AF">
      <w:pPr>
        <w:spacing w:before="120"/>
        <w:rPr>
          <w:b/>
        </w:rPr>
      </w:pPr>
      <w:r w:rsidRPr="00BA4EC8">
        <w:rPr>
          <w:b/>
        </w:rPr>
        <w:t>Двадцать четвертое совещание</w:t>
      </w:r>
    </w:p>
    <w:p w14:paraId="783DF3F2" w14:textId="77777777" w:rsidR="005A26AF" w:rsidRPr="00831A4A" w:rsidRDefault="005A26AF" w:rsidP="005A26AF">
      <w:r w:rsidRPr="00BA4EC8">
        <w:t>Женева, 1-3 июля 2020 года</w:t>
      </w:r>
    </w:p>
    <w:p w14:paraId="7BC47229" w14:textId="77777777" w:rsidR="005A26AF" w:rsidRPr="00831A4A" w:rsidRDefault="005A26AF" w:rsidP="005A26AF">
      <w:r w:rsidRPr="00BA4EC8">
        <w:t>Пункт 3 b) предварительной повестки дня</w:t>
      </w:r>
    </w:p>
    <w:p w14:paraId="3A5C9AC9" w14:textId="77777777" w:rsidR="005A26AF" w:rsidRPr="00831A4A" w:rsidRDefault="005A26AF" w:rsidP="005A26AF">
      <w:pPr>
        <w:rPr>
          <w:b/>
        </w:rPr>
      </w:pPr>
      <w:r w:rsidRPr="00BA4EC8">
        <w:rPr>
          <w:b/>
        </w:rPr>
        <w:t>Вопросы существа: доступ к информации</w:t>
      </w:r>
    </w:p>
    <w:p w14:paraId="0DAAEFA8" w14:textId="7542F39E" w:rsidR="005A26AF" w:rsidRPr="00831A4A" w:rsidRDefault="005A26AF" w:rsidP="005A26AF">
      <w:pPr>
        <w:pStyle w:val="HChG"/>
      </w:pPr>
      <w:r w:rsidRPr="00BA4EC8">
        <w:tab/>
      </w:r>
      <w:r w:rsidRPr="00BA4EC8">
        <w:tab/>
        <w:t xml:space="preserve">Проект обновленных рекомендаций по </w:t>
      </w:r>
      <w:r>
        <w:t>повышению эффективности</w:t>
      </w:r>
      <w:r w:rsidRPr="00BA4EC8">
        <w:t xml:space="preserve"> </w:t>
      </w:r>
      <w:r>
        <w:t>использования</w:t>
      </w:r>
      <w:r w:rsidRPr="0047092B">
        <w:rPr>
          <w:rFonts w:eastAsia="PMingLiU"/>
          <w:lang w:eastAsia="zh-TW" w:bidi="ar-DZ"/>
        </w:rPr>
        <w:t xml:space="preserve"> </w:t>
      </w:r>
      <w:r w:rsidRPr="00BA4EC8">
        <w:t xml:space="preserve">электронных </w:t>
      </w:r>
      <w:r>
        <w:t xml:space="preserve">информационных </w:t>
      </w:r>
      <w:r w:rsidRPr="00BA4EC8">
        <w:t>средств</w:t>
      </w:r>
      <w:r w:rsidR="00951988" w:rsidRPr="00951988">
        <w:rPr>
          <w:rStyle w:val="ab"/>
          <w:sz w:val="20"/>
          <w:vertAlign w:val="baseline"/>
        </w:rPr>
        <w:footnoteReference w:customMarkFollows="1" w:id="1"/>
        <w:t>*</w:t>
      </w:r>
    </w:p>
    <w:p w14:paraId="71B8C350" w14:textId="77777777" w:rsidR="005A26AF" w:rsidRPr="00831A4A" w:rsidRDefault="005A26AF" w:rsidP="005A26AF">
      <w:pPr>
        <w:pStyle w:val="H1G"/>
      </w:pPr>
      <w:bookmarkStart w:id="0" w:name="_Hlk43115323"/>
      <w:r>
        <w:tab/>
      </w:r>
      <w:r>
        <w:tab/>
        <w:t xml:space="preserve">Подготовлено Председателем Целевой группы по доступу к информации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5A26AF" w14:paraId="5867BEF3" w14:textId="77777777" w:rsidTr="00EC7D11">
        <w:trPr>
          <w:jc w:val="center"/>
        </w:trPr>
        <w:tc>
          <w:tcPr>
            <w:tcW w:w="96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829D89C" w14:textId="77777777" w:rsidR="005A26AF" w:rsidRPr="00BA4EC8" w:rsidRDefault="005A26AF" w:rsidP="0048282A">
            <w:pPr>
              <w:spacing w:before="240" w:after="120"/>
              <w:ind w:left="255"/>
              <w:rPr>
                <w:i/>
                <w:sz w:val="24"/>
              </w:rPr>
            </w:pPr>
            <w:bookmarkStart w:id="1" w:name="_Hlk43115123"/>
            <w:bookmarkEnd w:id="0"/>
            <w:r w:rsidRPr="00BA4EC8">
              <w:rPr>
                <w:i/>
                <w:sz w:val="24"/>
              </w:rPr>
              <w:t>Резюме</w:t>
            </w:r>
          </w:p>
        </w:tc>
      </w:tr>
      <w:tr w:rsidR="005A26AF" w:rsidRPr="00013035" w14:paraId="7D1F11D1" w14:textId="77777777" w:rsidTr="00EC7D11">
        <w:trPr>
          <w:jc w:val="center"/>
        </w:trPr>
        <w:tc>
          <w:tcPr>
            <w:tcW w:w="962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701695" w14:textId="425ABCFD" w:rsidR="005A26AF" w:rsidRPr="00831A4A" w:rsidRDefault="005A26AF" w:rsidP="00EC7D11">
            <w:pPr>
              <w:pStyle w:val="SingleTxtG"/>
            </w:pPr>
            <w:r>
              <w:tab/>
            </w:r>
            <w:r>
              <w:tab/>
              <w:t>Настоящий документ был подготовлен под эгидой Целевой группы по доступу к информации в соответствии с решением VI/1 о содействии эффективному доступу к информации (ECE/MP.PP/2017/2/Add.1, пункт 13 b) i)), принятым Совещанием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      </w:r>
            <w:proofErr w:type="spellStart"/>
            <w:r>
              <w:t>Орхусская</w:t>
            </w:r>
            <w:proofErr w:type="spellEnd"/>
            <w:r>
              <w:t xml:space="preserve"> конвенция), на его шестой сессии (</w:t>
            </w:r>
            <w:proofErr w:type="spellStart"/>
            <w:r>
              <w:t>Будва</w:t>
            </w:r>
            <w:proofErr w:type="spellEnd"/>
            <w:r>
              <w:t xml:space="preserve">, Черногория, 11-14 сентября 2017 года). В этом решении Совещание Сторон просило Целевую группу по доступу к информации обновить рекомендации </w:t>
            </w:r>
            <w:r w:rsidRPr="00127C3C">
              <w:t>по повышению эффективности использования</w:t>
            </w:r>
            <w:r w:rsidRPr="00EA0F7A">
              <w:t xml:space="preserve"> электронных </w:t>
            </w:r>
            <w:r>
              <w:t>информационных средств для обеспечения доступа общественности к экологической информации, изложенные в решении II/3 об электронных информационных средствах и информационно-координационном механизме (см. ECE/MP.PP/2005/2/Add.4, приложение).</w:t>
            </w:r>
          </w:p>
        </w:tc>
      </w:tr>
      <w:tr w:rsidR="00EC7D11" w:rsidRPr="00013035" w14:paraId="67A4B391" w14:textId="77777777" w:rsidTr="00EC7D11">
        <w:trPr>
          <w:jc w:val="center"/>
        </w:trPr>
        <w:tc>
          <w:tcPr>
            <w:tcW w:w="96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5B02E" w14:textId="3238A78E" w:rsidR="00EC7D11" w:rsidRDefault="00EC7D11" w:rsidP="00EC7D11">
            <w:pPr>
              <w:pStyle w:val="SingleTxtG"/>
              <w:pageBreakBefore/>
              <w:ind w:left="1138" w:right="1138"/>
            </w:pPr>
            <w:r w:rsidRPr="00F25EF3">
              <w:lastRenderedPageBreak/>
              <w:tab/>
              <w:t xml:space="preserve">Настоящий документ основан на итогах консультаций по обновлению рекомендаций в преддверии </w:t>
            </w:r>
            <w:hyperlink r:id="rId9" w:history="1">
              <w:r w:rsidRPr="00E33310">
                <w:t>шестого совещания Целевой группы по доступу к информации</w:t>
              </w:r>
            </w:hyperlink>
            <w:r w:rsidRPr="00F25EF3">
              <w:t xml:space="preserve"> (Женева, 3 и 4 октября 2020 года), замечаниях, полученных на совещании, и последующих консультациях в преддверии двадцать четвертого совещания Рабочей группы Сторон Конвенции.</w:t>
            </w:r>
          </w:p>
        </w:tc>
      </w:tr>
      <w:tr w:rsidR="00EC7D11" w:rsidRPr="00013035" w14:paraId="10CED057" w14:textId="77777777" w:rsidTr="00EC7D11">
        <w:trPr>
          <w:jc w:val="center"/>
        </w:trPr>
        <w:tc>
          <w:tcPr>
            <w:tcW w:w="9628" w:type="dxa"/>
            <w:tcBorders>
              <w:top w:val="single" w:sz="2" w:space="0" w:color="auto"/>
            </w:tcBorders>
            <w:shd w:val="clear" w:color="auto" w:fill="auto"/>
          </w:tcPr>
          <w:p w14:paraId="2C6098B3" w14:textId="77777777" w:rsidR="00EC7D11" w:rsidRDefault="00EC7D11" w:rsidP="0048282A">
            <w:pPr>
              <w:pStyle w:val="SingleTxtG"/>
            </w:pPr>
          </w:p>
        </w:tc>
      </w:tr>
    </w:tbl>
    <w:bookmarkEnd w:id="1"/>
    <w:p w14:paraId="41F4E374" w14:textId="77777777" w:rsidR="005A26AF" w:rsidRPr="00831A4A" w:rsidRDefault="005A26AF" w:rsidP="005A26AF">
      <w:pPr>
        <w:pStyle w:val="HChG"/>
      </w:pPr>
      <w:r w:rsidRPr="00BA4EC8">
        <w:tab/>
      </w:r>
      <w:r w:rsidRPr="00BA4EC8">
        <w:tab/>
        <w:t>Введение</w:t>
      </w:r>
    </w:p>
    <w:p w14:paraId="6AC6C077" w14:textId="4362DD01" w:rsidR="005A26AF" w:rsidRPr="000A06D1" w:rsidRDefault="005A26AF" w:rsidP="005A26AF">
      <w:pPr>
        <w:pStyle w:val="SingleTxtG"/>
      </w:pPr>
      <w:bookmarkStart w:id="2" w:name="_Hlk43282474"/>
      <w:bookmarkStart w:id="3" w:name="_Hlk43278974"/>
      <w:r w:rsidRPr="000A06D1">
        <w:t>1.</w:t>
      </w:r>
      <w:r w:rsidRPr="000A06D1">
        <w:tab/>
        <w:t>В соответствии с решением VI/1 (см. ECE/MP.PP/2017/2/Add.1), принятым Совещанием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среды, на его шестой сессии (</w:t>
      </w:r>
      <w:proofErr w:type="spellStart"/>
      <w:r w:rsidRPr="000A06D1">
        <w:t>Орхусская</w:t>
      </w:r>
      <w:proofErr w:type="spellEnd"/>
      <w:r w:rsidRPr="000A06D1">
        <w:t xml:space="preserve"> конвенция) (</w:t>
      </w:r>
      <w:proofErr w:type="spellStart"/>
      <w:r w:rsidRPr="000A06D1">
        <w:t>Будва</w:t>
      </w:r>
      <w:proofErr w:type="spellEnd"/>
      <w:r w:rsidRPr="000A06D1">
        <w:t>, Черногория, 11</w:t>
      </w:r>
      <w:r w:rsidR="000F2D17" w:rsidRPr="00144427">
        <w:t>-</w:t>
      </w:r>
      <w:r w:rsidRPr="000A06D1">
        <w:t>14 сентября 2017 года), Совещание Сторон признало, что эффективный доступ общественности к экологической информации имеет решающее значение для успешного осуществления ряда Целей в области устойчивого развития и для поддержки работы по революции данных и конкретно нацелен на достижение Цели в области устойчивого развития 16 (задача 10).</w:t>
      </w:r>
    </w:p>
    <w:bookmarkEnd w:id="2"/>
    <w:p w14:paraId="65D28193" w14:textId="77777777" w:rsidR="005A26AF" w:rsidRPr="000A06D1" w:rsidRDefault="005A26AF" w:rsidP="005A26AF">
      <w:pPr>
        <w:pStyle w:val="SingleTxtG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t>2.</w:t>
      </w:r>
      <w:r w:rsidRPr="000A06D1">
        <w:tab/>
      </w:r>
      <w:bookmarkStart w:id="4" w:name="_Hlk43282516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Кроме того, Совещание Сторон рассмотрело краткий отчет </w:t>
      </w:r>
      <w:r w:rsidRPr="000A06D1">
        <w:t xml:space="preserve">Целевой группы по доступу к информации, содержащий 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результаты обследования</w:t>
      </w:r>
      <w:bookmarkStart w:id="5" w:name="_Hlk35260737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хода осуществления рекомендаций</w:t>
      </w:r>
      <w:bookmarkStart w:id="6" w:name="_Hlk42968703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по повышению</w:t>
      </w:r>
      <w:r w:rsidRPr="000A06D1">
        <w:rPr>
          <w:bCs/>
          <w:iCs/>
        </w:rPr>
        <w:t xml:space="preserve"> эффективности использования электронных информационных средств для обеспечения доступа общественности к экологической информации</w:t>
      </w:r>
      <w:bookmarkEnd w:id="6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, изложенных в решении II/3 (см. ECE/MP.PP/WG.1/2017/4, приложение, и </w:t>
      </w:r>
      <w:r w:rsidRPr="000A06D1">
        <w:rPr>
          <w:rFonts w:asciiTheme="majorBidi" w:hAnsiTheme="majorBidi" w:cstheme="majorBidi"/>
          <w:spacing w:val="-2"/>
          <w:shd w:val="clear" w:color="auto" w:fill="FFFFFF"/>
        </w:rPr>
        <w:t>AC/WGP-21/Inf.2).</w:t>
      </w:r>
      <w:r w:rsidRPr="000A06D1">
        <w:rPr>
          <w:rStyle w:val="ab"/>
          <w:sz w:val="20"/>
        </w:rPr>
        <w:footnoteReference w:id="2"/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Совещание Сторон</w:t>
      </w:r>
      <w:bookmarkEnd w:id="5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признало необходимость обеспечения полного использования современных информационно-коммуникационных электронных информационных средств в целях обеспечения эффективного осуществления информационного компонента </w:t>
      </w:r>
      <w:proofErr w:type="spellStart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Орхусской</w:t>
      </w:r>
      <w:proofErr w:type="spellEnd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конвенции. </w:t>
      </w:r>
      <w:bookmarkEnd w:id="4"/>
    </w:p>
    <w:bookmarkEnd w:id="3"/>
    <w:p w14:paraId="57C1D76B" w14:textId="77777777" w:rsidR="005A26AF" w:rsidRPr="000A06D1" w:rsidRDefault="005A26AF" w:rsidP="005A26AF">
      <w:pPr>
        <w:pStyle w:val="SingleTxtG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3.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 xml:space="preserve">В этой связи Совещание Сторон </w:t>
      </w:r>
      <w:r w:rsidRPr="000A06D1">
        <w:t xml:space="preserve">просило Целевую группу по доступу к информации 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содействовать, в частности, активному </w:t>
      </w:r>
      <w:r w:rsidRPr="000A06D1">
        <w:t xml:space="preserve">распространению экологической информации с уделением особого внимания обновлению 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рекомендаций</w:t>
      </w:r>
      <w:r w:rsidRPr="000A06D1">
        <w:t xml:space="preserve"> по повышению эффективности использования электронных информационных средств для обеспечения доступа общественности к экологической информации, изложенных в решении II/3 (см. ECE/MP.PP/2005/2/Add.4, приложение) 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(далее - Рекомендации)</w:t>
      </w:r>
      <w:r w:rsidRPr="000A06D1">
        <w:t xml:space="preserve">, принимая во внимание изменения, касающиеся общей экологической информационной системы, управления </w:t>
      </w:r>
      <w:proofErr w:type="spellStart"/>
      <w:r w:rsidRPr="000A06D1">
        <w:t>геопространственной</w:t>
      </w:r>
      <w:proofErr w:type="spellEnd"/>
      <w:r w:rsidRPr="000A06D1">
        <w:t xml:space="preserve"> информацией, данных наблюдения Земли, электронного правительства, данных открытого правительства, повторного использования информации государственного сектора и других соответствующих инициатив в регионе, а также последние технические достижения.</w:t>
      </w:r>
    </w:p>
    <w:p w14:paraId="4271F6BE" w14:textId="77777777" w:rsidR="005A26AF" w:rsidRPr="000A06D1" w:rsidRDefault="005A26AF" w:rsidP="005A26AF">
      <w:pPr>
        <w:pStyle w:val="SingleTxtG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4.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 xml:space="preserve">Сторонам, </w:t>
      </w:r>
      <w:proofErr w:type="spellStart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сигнатариям</w:t>
      </w:r>
      <w:proofErr w:type="spellEnd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, другим заинтересованным государствам-членам Организации Объединенных Наций, неправительственным организациям (НПО), международным организациям, научным кругам и другим заинтересованным сторонам было предложено принять участие в консультациях по обновлению </w:t>
      </w:r>
      <w:r w:rsidRPr="000A06D1">
        <w:rPr>
          <w:rFonts w:asciiTheme="majorBidi" w:eastAsia="PMingLiU" w:hAnsiTheme="majorBidi" w:cstheme="majorBidi"/>
          <w:color w:val="000000"/>
          <w:spacing w:val="-2"/>
          <w:shd w:val="clear" w:color="auto" w:fill="FFFFFF"/>
          <w:lang w:eastAsia="zh-TW" w:bidi="ar-DZ"/>
        </w:rPr>
        <w:t>[пересмотру]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рекомендаций в преддверии </w:t>
      </w:r>
      <w:r w:rsidRPr="000A06D1">
        <w:rPr>
          <w:rFonts w:asciiTheme="majorBidi" w:hAnsiTheme="majorBidi" w:cstheme="majorBidi"/>
          <w:spacing w:val="-2"/>
          <w:shd w:val="clear" w:color="auto" w:fill="FFFFFF"/>
        </w:rPr>
        <w:t>шестого совещания Целевой группы по доступу к информации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(Женева, 3 и 4 октября 2020 года) путем представления тематических исследований и редакционных предложений. Целевая группа обсудила итоги консультаций и приняла к сведению дополнительные замечания и предложения, представленные на совещании и направленные впоследствии к 1 ноября 2019 года.</w:t>
      </w:r>
      <w:r w:rsidRPr="000A06D1">
        <w:rPr>
          <w:rStyle w:val="ab"/>
          <w:rFonts w:cstheme="majorBidi"/>
          <w:color w:val="000000"/>
          <w:spacing w:val="-2"/>
          <w:sz w:val="20"/>
          <w:shd w:val="clear" w:color="auto" w:fill="FFFFFF"/>
        </w:rPr>
        <w:footnoteReference w:id="3"/>
      </w:r>
    </w:p>
    <w:p w14:paraId="2913ACD1" w14:textId="77777777" w:rsidR="005A26AF" w:rsidRPr="000A06D1" w:rsidRDefault="005A26AF" w:rsidP="005A26AF">
      <w:pPr>
        <w:pStyle w:val="SingleTxtG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lastRenderedPageBreak/>
        <w:t>5.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>После первого раунда консультаций проект обновленных рекомендаций был подготовлен Председателем Целевой группы по доступу к информации при содействии секретариата с учетом:</w:t>
      </w:r>
      <w:r w:rsidRPr="000A06D1">
        <w:rPr>
          <w:vertAlign w:val="superscript"/>
        </w:rPr>
        <w:footnoteReference w:id="4"/>
      </w:r>
    </w:p>
    <w:p w14:paraId="72D9A6F0" w14:textId="77777777" w:rsidR="005A26AF" w:rsidRPr="000A06D1" w:rsidRDefault="005A26AF" w:rsidP="005A26AF">
      <w:pPr>
        <w:pStyle w:val="SingleTxtG"/>
        <w:ind w:left="1170" w:firstLine="540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t>a)</w:t>
      </w:r>
      <w:r w:rsidRPr="000A06D1">
        <w:tab/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редакционных предложений и практических примеров, полученных на сегодняшний день (AC/TF.AI-6/Inf.3 и Add.1) и дальнейших полученных комментариев;</w:t>
      </w:r>
    </w:p>
    <w:p w14:paraId="22E63D4D" w14:textId="77777777" w:rsidR="005A26AF" w:rsidRPr="000A06D1" w:rsidRDefault="005A26AF" w:rsidP="005A26AF">
      <w:pPr>
        <w:pStyle w:val="SingleTxtG"/>
        <w:ind w:firstLine="567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b)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>краткого отчета о результатах обследования хода осуществления рекомендаций по электронным информационным средствам (ECE/MP.PP/WG.1/2017/4, приложение, и AC/WGP-21/Inf.2) и вопросника для оценки осуществления рекомендаций Совещания Сторон по электронным информационным средствам (AC/TF.AI-5 /</w:t>
      </w:r>
      <w:proofErr w:type="spellStart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Inf</w:t>
      </w:r>
      <w:proofErr w:type="spellEnd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. 2);</w:t>
      </w:r>
      <w:r w:rsidRPr="000A06D1">
        <w:rPr>
          <w:vertAlign w:val="superscript"/>
        </w:rPr>
        <w:footnoteReference w:id="5"/>
      </w:r>
    </w:p>
    <w:p w14:paraId="75CA6D0A" w14:textId="77777777" w:rsidR="005A26AF" w:rsidRPr="000A06D1" w:rsidRDefault="005A26AF" w:rsidP="005A26AF">
      <w:pPr>
        <w:pStyle w:val="SingleTxtG"/>
        <w:ind w:firstLine="567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c)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>итогов обсуждения Целевой группой по доступу к информации на ее шестом совещании и Рабочего совещания на тему «Открытые данные для окружающей среды» (Женева, 2 октября 2019 года), организованного Европейской экономической комиссией Организации Объединенных Наций (ЕЭК) и Европейским агентством по окружающей среде в увязке с шестым совещанием (ECE/MP.PP/WG.1/2020/3 и приложение);</w:t>
      </w:r>
    </w:p>
    <w:p w14:paraId="71C61011" w14:textId="256263E4" w:rsidR="005A26AF" w:rsidRPr="000A06D1" w:rsidRDefault="005A26AF" w:rsidP="005A26AF">
      <w:pPr>
        <w:pStyle w:val="SingleTxtG"/>
        <w:ind w:firstLine="567"/>
        <w:rPr>
          <w:rFonts w:asciiTheme="majorBidi" w:hAnsiTheme="majorBidi" w:cstheme="majorBidi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d)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>результатов деятельности по укреплению потенциала, осуществляемой сторонами и партнерскими организациями; в частности, результатов проекта, заказанного Европейской комиссией по пропаганде надлежащей практики для национальных систем экологической информации и инструментов сбора данных на уровне Европейского союза</w:t>
      </w:r>
      <w:r w:rsidR="000F2D17" w:rsidRPr="00144427">
        <w:rPr>
          <w:rFonts w:asciiTheme="majorBidi" w:hAnsiTheme="majorBidi" w:cstheme="majorBidi"/>
          <w:color w:val="000000"/>
          <w:spacing w:val="-2"/>
          <w:shd w:val="clear" w:color="auto" w:fill="FFFFFF"/>
        </w:rPr>
        <w:t>,</w:t>
      </w:r>
      <w:r w:rsidRPr="000A06D1">
        <w:rPr>
          <w:color w:val="000000"/>
          <w:spacing w:val="-2"/>
          <w:shd w:val="clear" w:color="auto" w:fill="FFFFFF"/>
          <w:vertAlign w:val="superscript"/>
        </w:rPr>
        <w:footnoteReference w:id="6"/>
      </w:r>
      <w:r w:rsidRPr="000A06D1">
        <w:rPr>
          <w:rFonts w:asciiTheme="majorBidi" w:hAnsiTheme="majorBidi" w:cstheme="majorBidi"/>
        </w:rPr>
        <w:t xml:space="preserve"> и проекта Европейского агентства по окружающей среде по дальнейшему осуществлению принципов общей экологической информационной системы в шести странах Восточного партнерства, финансируемого Европейским инструментом добрососедства.</w:t>
      </w:r>
      <w:r w:rsidRPr="000A06D1">
        <w:rPr>
          <w:rStyle w:val="ab"/>
          <w:rFonts w:asciiTheme="majorBidi" w:hAnsiTheme="majorBidi" w:cstheme="majorBidi"/>
          <w:spacing w:val="-2"/>
          <w:sz w:val="20"/>
          <w:shd w:val="clear" w:color="auto" w:fill="FFFFFF"/>
        </w:rPr>
        <w:footnoteReference w:id="7"/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</w:t>
      </w:r>
    </w:p>
    <w:p w14:paraId="56634AB2" w14:textId="77777777" w:rsidR="005A26AF" w:rsidRPr="000A06D1" w:rsidRDefault="005A26AF" w:rsidP="005A26AF">
      <w:pPr>
        <w:pStyle w:val="SingleTxtG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6.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 xml:space="preserve">Стороны, </w:t>
      </w:r>
      <w:proofErr w:type="spellStart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сигнатарии</w:t>
      </w:r>
      <w:proofErr w:type="spellEnd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, другие заинтересованные государства-члены Организации Объединенных Наций, НПО, международные организации, научные круги и другие  заинтересованные стороны были приглашены принять участие в следующем раунде консультаций по проекту обновленных рекомендаций в преддверии двадцать четвертого совещания Рабочей группы Сторон (онлайновые сессии, 1-3 июля 2020 года) и представили свои замечания, которые были опубликованы на веб-странице консультаций.</w:t>
      </w:r>
      <w:r w:rsidRPr="000A06D1">
        <w:rPr>
          <w:rStyle w:val="ab"/>
          <w:rFonts w:cstheme="majorBidi"/>
          <w:color w:val="000000"/>
          <w:spacing w:val="-2"/>
          <w:sz w:val="20"/>
          <w:shd w:val="clear" w:color="auto" w:fill="FFFFFF"/>
        </w:rPr>
        <w:footnoteReference w:id="8"/>
      </w:r>
    </w:p>
    <w:p w14:paraId="3A356582" w14:textId="77777777" w:rsidR="005A26AF" w:rsidRPr="000A06D1" w:rsidRDefault="005A26AF" w:rsidP="005A26AF">
      <w:pPr>
        <w:pStyle w:val="SingleTxtG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7.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>Проект обновленных рекомендаций был дополнительно пересмотрен Председателем Целевой группы по доступу к информации при содействии секретариата с учетом полученных замечаний.</w:t>
      </w:r>
      <w:r w:rsidRPr="000A06D1">
        <w:rPr>
          <w:rFonts w:asciiTheme="majorBidi" w:hAnsiTheme="majorBidi"/>
          <w:vertAlign w:val="superscript"/>
        </w:rPr>
        <w:footnoteReference w:id="9"/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</w:t>
      </w:r>
    </w:p>
    <w:p w14:paraId="2D83F3B6" w14:textId="77777777" w:rsidR="005A26AF" w:rsidRPr="000A06D1" w:rsidRDefault="005A26AF" w:rsidP="005A26AF">
      <w:pPr>
        <w:pStyle w:val="SingleTxtG"/>
        <w:rPr>
          <w:rFonts w:asciiTheme="majorBidi" w:hAnsiTheme="majorBidi" w:cstheme="majorBidi"/>
          <w:color w:val="000000"/>
          <w:spacing w:val="-2"/>
          <w:shd w:val="clear" w:color="auto" w:fill="FFFFFF"/>
        </w:rPr>
      </w:pP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8.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ab/>
        <w:t xml:space="preserve">В связи с противоречивым характером некоторых замечаний невозможно отразить все замечания в окончательном тексте; следовательно, окончательное содержание настоящего проекта следует рассматривать как компромиссный текст. В свете противоречивых замечаний относительно формулировки конкретной рекомендации предпочтение отдается тому подходу, который в наибольшей степени соответствует формулировкам и духу Конвенции. Тщательное рассмотрение было также уделено удовлетворению различных потребностей Сторон с точки зрения всеобъемлющего характера и степени детализации руководящих указаний с учетом различных уровней и подходов к осуществлению положений Конвенции. Что касается некоторых рекомендаций, то такие формулировки, как “надлежащая практика”, </w:t>
      </w:r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lastRenderedPageBreak/>
        <w:t xml:space="preserve">“наилучший доступный стандарт” и “наилучшая доступная современная цифровая технология”, используются во всем тексте для того, чтобы предоставить возможности тем, кто заинтересован в применении таких практик, стандартов и технологий. Новые существенные изменения и редакционные правки представлены в сопроводительном документе с отслеживаемыми изменениями </w:t>
      </w:r>
      <w:bookmarkStart w:id="7" w:name="_Hlk42969398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AC/WGP-24 / Inf.12</w:t>
      </w:r>
      <w:bookmarkEnd w:id="7"/>
      <w:r w:rsidRPr="000A06D1">
        <w:rPr>
          <w:rFonts w:asciiTheme="majorBidi" w:hAnsiTheme="majorBidi" w:cstheme="majorBidi"/>
          <w:color w:val="000000"/>
          <w:spacing w:val="-2"/>
          <w:shd w:val="clear" w:color="auto" w:fill="FFFFFF"/>
        </w:rPr>
        <w:t>.</w:t>
      </w:r>
    </w:p>
    <w:p w14:paraId="3A294B88" w14:textId="77777777" w:rsidR="005A26AF" w:rsidRPr="000A06D1" w:rsidRDefault="005A26AF" w:rsidP="005A26AF">
      <w:pPr>
        <w:pStyle w:val="SingleTxtG"/>
      </w:pPr>
      <w:r w:rsidRPr="000A06D1">
        <w:t>9.</w:t>
      </w:r>
      <w:r w:rsidRPr="000A06D1">
        <w:tab/>
        <w:t>Нынешний проект обновленных рекомендаций (см. приложение к настоящему документу) включает следующие разделы:</w:t>
      </w:r>
    </w:p>
    <w:p w14:paraId="5D438602" w14:textId="77777777" w:rsidR="005A26AF" w:rsidRPr="000A06D1" w:rsidRDefault="005A26AF" w:rsidP="005A26AF">
      <w:pPr>
        <w:pStyle w:val="SingleTxtG"/>
        <w:tabs>
          <w:tab w:val="left" w:pos="2127"/>
        </w:tabs>
        <w:ind w:left="1701"/>
        <w:rPr>
          <w:rFonts w:eastAsiaTheme="minorEastAsia"/>
        </w:rPr>
      </w:pPr>
      <w:r w:rsidRPr="000A06D1">
        <w:t>I.</w:t>
      </w:r>
      <w:r w:rsidRPr="000A06D1">
        <w:tab/>
        <w:t>Цель;</w:t>
      </w:r>
    </w:p>
    <w:p w14:paraId="0278E042" w14:textId="77777777" w:rsidR="005A26AF" w:rsidRPr="000A06D1" w:rsidRDefault="005A26AF" w:rsidP="005A26AF">
      <w:pPr>
        <w:pStyle w:val="SingleTxtG"/>
        <w:tabs>
          <w:tab w:val="left" w:pos="2127"/>
        </w:tabs>
        <w:ind w:left="1701"/>
      </w:pPr>
      <w:r w:rsidRPr="000A06D1">
        <w:t>II.</w:t>
      </w:r>
      <w:r w:rsidRPr="000A06D1">
        <w:tab/>
        <w:t>Общая политика;</w:t>
      </w:r>
    </w:p>
    <w:p w14:paraId="723FFC2C" w14:textId="77777777" w:rsidR="005A26AF" w:rsidRPr="000A06D1" w:rsidRDefault="005A26AF" w:rsidP="005A26AF">
      <w:pPr>
        <w:pStyle w:val="SingleTxtG"/>
        <w:tabs>
          <w:tab w:val="left" w:pos="2127"/>
        </w:tabs>
        <w:ind w:left="1701"/>
      </w:pPr>
      <w:r w:rsidRPr="000A06D1">
        <w:t>III.</w:t>
      </w:r>
      <w:r w:rsidRPr="000A06D1">
        <w:tab/>
        <w:t>Приоритетные виды информации и их доступность;</w:t>
      </w:r>
    </w:p>
    <w:p w14:paraId="1BBA06AB" w14:textId="77777777" w:rsidR="005A26AF" w:rsidRPr="000A06D1" w:rsidRDefault="005A26AF" w:rsidP="005A26AF">
      <w:pPr>
        <w:pStyle w:val="SingleTxtG"/>
        <w:tabs>
          <w:tab w:val="left" w:pos="2127"/>
        </w:tabs>
        <w:ind w:left="1701"/>
      </w:pPr>
      <w:r w:rsidRPr="000A06D1">
        <w:t>IV.</w:t>
      </w:r>
      <w:r w:rsidRPr="000A06D1">
        <w:tab/>
        <w:t>Средства и инфраструктура;</w:t>
      </w:r>
    </w:p>
    <w:p w14:paraId="4A9EA111" w14:textId="77777777" w:rsidR="005A26AF" w:rsidRPr="000A06D1" w:rsidRDefault="005A26AF" w:rsidP="005A26AF">
      <w:pPr>
        <w:pStyle w:val="SingleTxtG"/>
        <w:tabs>
          <w:tab w:val="left" w:pos="2127"/>
        </w:tabs>
        <w:ind w:left="1701"/>
      </w:pPr>
      <w:r w:rsidRPr="000A06D1">
        <w:t>V.</w:t>
      </w:r>
      <w:r w:rsidRPr="000A06D1">
        <w:tab/>
        <w:t>Вовлечение общественности, операторов деятельности и других заинтересованных сторон;</w:t>
      </w:r>
    </w:p>
    <w:p w14:paraId="4295E5F0" w14:textId="77777777" w:rsidR="005A26AF" w:rsidRPr="000A06D1" w:rsidRDefault="005A26AF" w:rsidP="005A26AF">
      <w:pPr>
        <w:pStyle w:val="SingleTxtG"/>
        <w:tabs>
          <w:tab w:val="left" w:pos="2127"/>
        </w:tabs>
        <w:ind w:left="1701"/>
      </w:pPr>
      <w:r w:rsidRPr="000A06D1">
        <w:t>VI.</w:t>
      </w:r>
      <w:r w:rsidRPr="000A06D1">
        <w:tab/>
        <w:t>Управление, институциональное развитие и укрепление потенциала;</w:t>
      </w:r>
    </w:p>
    <w:p w14:paraId="0BA2FD16" w14:textId="77777777" w:rsidR="005A26AF" w:rsidRPr="000A06D1" w:rsidRDefault="005A26AF" w:rsidP="005A26AF">
      <w:pPr>
        <w:pStyle w:val="SingleTxtG"/>
        <w:tabs>
          <w:tab w:val="left" w:pos="2127"/>
        </w:tabs>
        <w:ind w:left="1701"/>
      </w:pPr>
      <w:r w:rsidRPr="000A06D1">
        <w:t>VII.</w:t>
      </w:r>
      <w:r w:rsidRPr="000A06D1">
        <w:tab/>
        <w:t>Информационно-координационный механизм.</w:t>
      </w:r>
    </w:p>
    <w:p w14:paraId="06D3E0C1" w14:textId="77777777" w:rsidR="005A26AF" w:rsidRPr="000A06D1" w:rsidRDefault="005A26AF" w:rsidP="005A26AF">
      <w:pPr>
        <w:pStyle w:val="SingleTxtG"/>
      </w:pPr>
      <w:r w:rsidRPr="000A06D1">
        <w:t>10.</w:t>
      </w:r>
      <w:r w:rsidRPr="000A06D1">
        <w:tab/>
      </w:r>
      <w:bookmarkStart w:id="8" w:name="_Hlk35517739"/>
      <w:r w:rsidRPr="000A06D1">
        <w:t xml:space="preserve">Данный проект обновленных рекомендаций </w:t>
      </w:r>
      <w:bookmarkEnd w:id="8"/>
      <w:r w:rsidRPr="000A06D1">
        <w:t>также сопровождается дополнением (ECE/MP.PP/WG.1/2020/14/Add.1), которое содержит вспомогательные пояснительные примечания относительно терминологии, принципов обмена данными, принципов управления данными, стандартов цифровой экологической информационной системы и подходов</w:t>
      </w:r>
      <w:bookmarkStart w:id="9" w:name="_heading=h.gjdgxs"/>
      <w:bookmarkEnd w:id="9"/>
      <w:r w:rsidRPr="000A06D1">
        <w:t xml:space="preserve"> к единой универсальной точке доступа к сети Интернет (порталу) для использования данных рекомендаций. </w:t>
      </w:r>
    </w:p>
    <w:p w14:paraId="09620297" w14:textId="77777777" w:rsidR="005A26AF" w:rsidRPr="000A06D1" w:rsidRDefault="005A26AF" w:rsidP="005A26AF">
      <w:pPr>
        <w:pStyle w:val="SingleTxtG"/>
      </w:pPr>
      <w:r w:rsidRPr="000A06D1">
        <w:t>11.</w:t>
      </w:r>
      <w:r w:rsidRPr="000A06D1">
        <w:tab/>
        <w:t xml:space="preserve">Обновленные рекомендации будут направлены на оказание помощи Сторонам Конвенции, </w:t>
      </w:r>
      <w:proofErr w:type="spellStart"/>
      <w:r w:rsidRPr="000A06D1">
        <w:t>сигнатариям</w:t>
      </w:r>
      <w:proofErr w:type="spellEnd"/>
      <w:r w:rsidRPr="000A06D1">
        <w:t xml:space="preserve"> и другим заинтересованным государствам в поддержке осуществления Конвенции путем разработки, обслуживания, модернизации и использования электронных информационных средств на основе применения общих подходов и стандартов. Кроме того, они будут поддерживать усилия по осуществлению других соответствующих международных обязательств, таких как Цели и задачи в области устойчивого развития, связанные с окружающей средой, Парижское соглашение и другие многосторонние природоохранные соглашения, </w:t>
      </w:r>
      <w:hyperlink r:id="rId10" w:tgtFrame="_blank" w:tooltip="Opens internal link in current window" w:history="1">
        <w:proofErr w:type="spellStart"/>
        <w:r w:rsidRPr="000A06D1">
          <w:t>Сендайская</w:t>
        </w:r>
        <w:proofErr w:type="spellEnd"/>
        <w:r w:rsidRPr="000A06D1">
          <w:t xml:space="preserve"> рамочная программа по уменьшению опасности бедствий на 2015-2030 годы</w:t>
        </w:r>
      </w:hyperlink>
      <w:r w:rsidRPr="000A06D1">
        <w:t>, ряд резолюций Совета по правам человека, в частности резолюции 20/8 о поощрении, защите и осуществлении прав человека в Интернете (см. A/HRC/RES/23/2), 23/2 о роли свободы мнений и их выражения в расширении прав и возможностей женщин (см. A/HRC/RES/23/2), 31/32 о защите правозащитников, будь то отдельные лица, группы или общественные органы, занимающиеся защитой эконмических, социальных и культурных прав (см. А/HRC/</w:t>
      </w:r>
      <w:proofErr w:type="spellStart"/>
      <w:r w:rsidRPr="000A06D1">
        <w:t>Res</w:t>
      </w:r>
      <w:proofErr w:type="spellEnd"/>
      <w:r w:rsidRPr="000A06D1">
        <w:t>/31/32), 37/8 о правах человека и окружающей среде (см. A/HRC/</w:t>
      </w:r>
      <w:proofErr w:type="spellStart"/>
      <w:r w:rsidRPr="000A06D1">
        <w:t>Res</w:t>
      </w:r>
      <w:proofErr w:type="spellEnd"/>
      <w:r w:rsidRPr="000A06D1">
        <w:t>/37/8) и 40/11 о признании вклада правозащитников-экологов в осуществление прав человека, охрану окружающей среды и устойчивое развитие (см. A/HRC/RES/40/11) и соответствующих обязательств в рамках Всемирной метеорологической организации, Всемирной организации здравоохранения, Ассамблеи Организации Объединенных Наций по окружающей среде программы Организации Объединенных Наций по окружающей среде, конференции министров «Окружающая среда для Европы» и Группы по наблюдению Земли. Наконец, они будут направлены на расширение обмена знаниями и передачу технологий для преодоления цифрового разрыва и всех связанных с ним аспектов.</w:t>
      </w:r>
    </w:p>
    <w:p w14:paraId="6DADC2DE" w14:textId="77777777" w:rsidR="004C3C78" w:rsidRDefault="005A26AF" w:rsidP="005A26AF">
      <w:pPr>
        <w:pStyle w:val="SingleTxtG"/>
        <w:sectPr w:rsidR="004C3C78" w:rsidSect="005A26AF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 w:rsidRPr="000A06D1">
        <w:t>12.</w:t>
      </w:r>
      <w:r w:rsidRPr="000A06D1">
        <w:tab/>
        <w:t>Дальнейшие шаги в рамках подготовительного процесса изложены в ориентировочном графике обновления рекомендаций по электронным информационным средствам (AC/TF.AI-6/Inf.2).</w:t>
      </w:r>
      <w:r>
        <w:t xml:space="preserve"> </w:t>
      </w:r>
    </w:p>
    <w:p w14:paraId="100A105C" w14:textId="7D2B9DF8" w:rsidR="004C3C78" w:rsidRDefault="004C3C78" w:rsidP="005A26AF">
      <w:pPr>
        <w:pStyle w:val="SingleTxtG"/>
      </w:pPr>
      <w:r>
        <w:br w:type="page"/>
      </w:r>
    </w:p>
    <w:p w14:paraId="26AD60BD" w14:textId="0A4A5BC9" w:rsidR="005A26AF" w:rsidRPr="00831A4A" w:rsidRDefault="005A26AF" w:rsidP="004C3C78">
      <w:pPr>
        <w:pStyle w:val="HChG"/>
      </w:pPr>
      <w:r>
        <w:lastRenderedPageBreak/>
        <w:tab/>
      </w:r>
      <w:r>
        <w:tab/>
        <w:t>Приложение</w:t>
      </w:r>
    </w:p>
    <w:p w14:paraId="6464EC0E" w14:textId="77777777" w:rsidR="005A26AF" w:rsidRPr="00831A4A" w:rsidRDefault="005A26AF" w:rsidP="005A26AF">
      <w:pPr>
        <w:pStyle w:val="HChG"/>
      </w:pPr>
      <w:r>
        <w:tab/>
      </w:r>
      <w:r>
        <w:tab/>
        <w:t xml:space="preserve">Проект </w:t>
      </w:r>
      <w:r w:rsidRPr="008B1B3E">
        <w:t>обновленных</w:t>
      </w:r>
      <w:r>
        <w:t xml:space="preserve"> </w:t>
      </w:r>
      <w:r w:rsidRPr="00EA0F7A">
        <w:t>рекомендаций</w:t>
      </w:r>
      <w:r w:rsidRPr="00EA0F7A">
        <w:rPr>
          <w:rFonts w:asciiTheme="majorBidi" w:hAnsiTheme="majorBidi" w:cstheme="majorBidi"/>
          <w:color w:val="000000"/>
          <w:spacing w:val="-2"/>
          <w:shd w:val="clear" w:color="auto" w:fill="FFFFFF"/>
        </w:rPr>
        <w:t xml:space="preserve"> </w:t>
      </w:r>
      <w:r w:rsidRPr="00127C3C">
        <w:rPr>
          <w:rFonts w:asciiTheme="majorBidi" w:hAnsiTheme="majorBidi" w:cstheme="majorBidi"/>
          <w:color w:val="000000"/>
          <w:spacing w:val="-2"/>
          <w:shd w:val="clear" w:color="auto" w:fill="FFFFFF"/>
        </w:rPr>
        <w:t>по</w:t>
      </w:r>
      <w:r w:rsidRPr="00EA0F7A">
        <w:t xml:space="preserve"> по</w:t>
      </w:r>
      <w:r w:rsidRPr="00127C3C">
        <w:t>вышению эффективности использования электр</w:t>
      </w:r>
      <w:r>
        <w:t xml:space="preserve">онных информационных средств </w:t>
      </w:r>
    </w:p>
    <w:p w14:paraId="0EC0B42C" w14:textId="77777777" w:rsidR="005A26AF" w:rsidRPr="00831A4A" w:rsidRDefault="005A26AF" w:rsidP="005A26AF">
      <w:pPr>
        <w:pStyle w:val="SingleTxtG"/>
      </w:pPr>
      <w:r w:rsidRPr="00B539C2">
        <w:t xml:space="preserve">Совещание Сторон рекомендует Сторонам Конвенции, </w:t>
      </w:r>
      <w:proofErr w:type="spellStart"/>
      <w:r>
        <w:t>сигнаториям</w:t>
      </w:r>
      <w:proofErr w:type="spellEnd"/>
      <w:r>
        <w:t xml:space="preserve"> </w:t>
      </w:r>
      <w:r w:rsidRPr="00B539C2">
        <w:t>и другим заинтересованным государствам принять следующие меры:</w:t>
      </w:r>
    </w:p>
    <w:p w14:paraId="11CCC2B8" w14:textId="77777777" w:rsidR="005A26AF" w:rsidRPr="00831A4A" w:rsidRDefault="005A26AF" w:rsidP="005A26AF">
      <w:pPr>
        <w:pStyle w:val="HChG"/>
      </w:pPr>
      <w:r>
        <w:tab/>
        <w:t>I.</w:t>
      </w:r>
      <w:r>
        <w:tab/>
        <w:t>Цель</w:t>
      </w:r>
    </w:p>
    <w:p w14:paraId="7756D24D" w14:textId="77777777" w:rsidR="005A26AF" w:rsidRPr="00831A4A" w:rsidRDefault="005A26AF" w:rsidP="005A26AF">
      <w:pPr>
        <w:pStyle w:val="SingleTxtG"/>
      </w:pPr>
      <w:bookmarkStart w:id="10" w:name="_Hlk36041405"/>
      <w:r w:rsidRPr="00B539C2">
        <w:t>1.</w:t>
      </w:r>
      <w:r w:rsidRPr="00B539C2">
        <w:tab/>
        <w:t xml:space="preserve">Настоящие рекомендации </w:t>
      </w:r>
      <w:bookmarkStart w:id="11" w:name="_Hlk40180475"/>
      <w:r w:rsidRPr="00B539C2">
        <w:t xml:space="preserve">направлены на оказание помощи Сторонам, </w:t>
      </w:r>
      <w:proofErr w:type="spellStart"/>
      <w:r>
        <w:t>сигнаториям</w:t>
      </w:r>
      <w:proofErr w:type="spellEnd"/>
      <w:r w:rsidRPr="00B539C2">
        <w:t xml:space="preserve"> и другим заинтересованным государствам в поддержке осуществления Конвенции путем содействия разработке, техническому обслуживанию, модернизации и использованию электронных </w:t>
      </w:r>
      <w:r>
        <w:t xml:space="preserve">информационных </w:t>
      </w:r>
      <w:r w:rsidRPr="00B539C2">
        <w:t>средств на основе применения общих подходов и стандартов</w:t>
      </w:r>
      <w:bookmarkEnd w:id="11"/>
      <w:r w:rsidRPr="00B539C2">
        <w:t>. Кроме того, они будут поддерживать усилия по выполнению других соответствующих международных обязательств</w:t>
      </w:r>
      <w:r>
        <w:t>.</w:t>
      </w:r>
    </w:p>
    <w:p w14:paraId="58CEBC6C" w14:textId="77777777" w:rsidR="005A26AF" w:rsidRPr="00831A4A" w:rsidRDefault="005A26AF" w:rsidP="005A26AF">
      <w:pPr>
        <w:pStyle w:val="SingleTxtG"/>
      </w:pPr>
      <w:r w:rsidRPr="00B539C2">
        <w:t>2.</w:t>
      </w:r>
      <w:r w:rsidRPr="00B539C2">
        <w:tab/>
        <w:t>Для целей настоящих рекомендаций в добавлении к настоящему документу приводятся вспомогательные пояснительные комментарии относительно терминов и подходов</w:t>
      </w:r>
      <w:r>
        <w:t>.</w:t>
      </w:r>
    </w:p>
    <w:p w14:paraId="0E1F5D2B" w14:textId="77777777" w:rsidR="005A26AF" w:rsidRPr="00831A4A" w:rsidRDefault="005A26AF" w:rsidP="005A26AF">
      <w:pPr>
        <w:pStyle w:val="HChG"/>
      </w:pPr>
      <w:bookmarkStart w:id="12" w:name="_heading=h.30j0zll"/>
      <w:bookmarkEnd w:id="10"/>
      <w:bookmarkEnd w:id="12"/>
      <w:r>
        <w:tab/>
        <w:t>II.</w:t>
      </w:r>
      <w:r>
        <w:tab/>
        <w:t>Общая политика</w:t>
      </w:r>
    </w:p>
    <w:p w14:paraId="6445FD9B" w14:textId="77777777" w:rsidR="005A26AF" w:rsidRPr="00831A4A" w:rsidRDefault="005A26AF" w:rsidP="005A26AF">
      <w:pPr>
        <w:pStyle w:val="SingleTxtG"/>
      </w:pPr>
      <w:r w:rsidRPr="00F25EF3">
        <w:t>3.</w:t>
      </w:r>
      <w:bookmarkStart w:id="13" w:name="_Hlk36041689"/>
      <w:r w:rsidRPr="00F25EF3">
        <w:tab/>
        <w:t xml:space="preserve">Разработать и принять национальные/государственные стратегии, направленные на продвижение электронных </w:t>
      </w:r>
      <w:r>
        <w:t>средств</w:t>
      </w:r>
      <w:r w:rsidRPr="00F25EF3">
        <w:t xml:space="preserve"> для </w:t>
      </w:r>
      <w:r>
        <w:t>совершенствования</w:t>
      </w:r>
      <w:r w:rsidRPr="00F25EF3">
        <w:t xml:space="preserve"> административных процессов и услуг, </w:t>
      </w:r>
      <w:r>
        <w:t>связанных с</w:t>
      </w:r>
      <w:r w:rsidRPr="00F25EF3">
        <w:t xml:space="preserve"> оказани</w:t>
      </w:r>
      <w:r>
        <w:t>ем</w:t>
      </w:r>
      <w:r w:rsidRPr="00F25EF3">
        <w:t xml:space="preserve"> помощи </w:t>
      </w:r>
      <w:r>
        <w:t>общественности</w:t>
      </w:r>
      <w:r w:rsidRPr="00F25EF3">
        <w:t>, особенно</w:t>
      </w:r>
      <w:r>
        <w:t xml:space="preserve"> лицам,</w:t>
      </w:r>
      <w:r w:rsidRPr="00F25EF3">
        <w:t xml:space="preserve"> находящ</w:t>
      </w:r>
      <w:r>
        <w:t>им</w:t>
      </w:r>
      <w:r w:rsidRPr="00F25EF3">
        <w:t xml:space="preserve">ся в уязвимом положении, в осуществлении своих прав в соответствии с Конвенцией, таких как </w:t>
      </w:r>
      <w:r>
        <w:t>«</w:t>
      </w:r>
      <w:r w:rsidRPr="00F25EF3">
        <w:t>электронное правительство</w:t>
      </w:r>
      <w:r>
        <w:t>»</w:t>
      </w:r>
      <w:r w:rsidRPr="00F25EF3">
        <w:t xml:space="preserve">, </w:t>
      </w:r>
      <w:r>
        <w:t>«</w:t>
      </w:r>
      <w:r w:rsidRPr="00F25EF3">
        <w:t>открытое правительство</w:t>
      </w:r>
      <w:r>
        <w:t>»</w:t>
      </w:r>
      <w:r w:rsidRPr="00F25EF3">
        <w:t xml:space="preserve">, </w:t>
      </w:r>
      <w:r>
        <w:t>«</w:t>
      </w:r>
      <w:r w:rsidRPr="00F25EF3">
        <w:t>открытые данные</w:t>
      </w:r>
      <w:r>
        <w:t>»</w:t>
      </w:r>
      <w:r w:rsidRPr="00F25EF3">
        <w:t xml:space="preserve"> и </w:t>
      </w:r>
      <w:r>
        <w:t>«</w:t>
      </w:r>
      <w:r w:rsidRPr="00F25EF3">
        <w:t>цифровая трансформация</w:t>
      </w:r>
      <w:bookmarkEnd w:id="13"/>
      <w:r>
        <w:t>».</w:t>
      </w:r>
    </w:p>
    <w:p w14:paraId="6C1F0BFB" w14:textId="77777777" w:rsidR="005A26AF" w:rsidRPr="00831A4A" w:rsidRDefault="005A26AF" w:rsidP="005A26AF">
      <w:pPr>
        <w:pStyle w:val="SingleTxtG"/>
      </w:pPr>
      <w:bookmarkStart w:id="14" w:name="_Hlk36041479"/>
      <w:r w:rsidRPr="00F25EF3">
        <w:t>4.</w:t>
      </w:r>
      <w:r w:rsidRPr="00F25EF3">
        <w:tab/>
        <w:t>Принять необходимые законодательные, нормативные, институциональные, практические и другие меры для осуществления вышеупомянутых стратегий, с тем чтобы сделать государственное управление более прозрачным, подотчетным и эффективным в области предоставления экологической информации надлежащего качества и рассмотрения запросов общественности на такую информацию; для содействия участию общественности в процессе принятия решений и оказания помощи общественности в получении доступа к правосудию по вопросам, касающимся окружающей среды</w:t>
      </w:r>
      <w:r>
        <w:t>.</w:t>
      </w:r>
    </w:p>
    <w:p w14:paraId="7E1B92DE" w14:textId="77777777" w:rsidR="005A26AF" w:rsidRPr="00831A4A" w:rsidRDefault="005A26AF" w:rsidP="005A26AF">
      <w:pPr>
        <w:pStyle w:val="SingleTxtG"/>
      </w:pPr>
      <w:r w:rsidRPr="00F25EF3">
        <w:t>5.</w:t>
      </w:r>
      <w:r w:rsidRPr="00F25EF3">
        <w:tab/>
        <w:t xml:space="preserve">При применении вышеупомянутых мер следует учитывать </w:t>
      </w:r>
      <w:proofErr w:type="spellStart"/>
      <w:r w:rsidRPr="00F25EF3">
        <w:t>межсекторальный</w:t>
      </w:r>
      <w:proofErr w:type="spellEnd"/>
      <w:r w:rsidRPr="00F25EF3">
        <w:t xml:space="preserve"> характер и всеобъемлющий охват экологической информации в соответствии с Конвенцией и поощрять взаимодействие и обмен данными между различными информационными системами – такими как экологические, </w:t>
      </w:r>
      <w:proofErr w:type="spellStart"/>
      <w:r w:rsidRPr="00F25EF3">
        <w:t>геопространственные</w:t>
      </w:r>
      <w:proofErr w:type="spellEnd"/>
      <w:r w:rsidRPr="00F25EF3">
        <w:t>, статистические, метеорологические, медицинские, наблюдения Земли и другие соответствующие системы, руководствуясь наилучшими имеющимися международными стандартами (см. также разделы III и IV ниже и добавление к настоящему документу)</w:t>
      </w:r>
      <w:r>
        <w:t>.</w:t>
      </w:r>
    </w:p>
    <w:p w14:paraId="02DE4411" w14:textId="77777777" w:rsidR="005A26AF" w:rsidRPr="00831A4A" w:rsidRDefault="005A26AF" w:rsidP="005A26AF">
      <w:pPr>
        <w:pStyle w:val="SingleTxtG"/>
      </w:pPr>
      <w:bookmarkStart w:id="15" w:name="_heading=h.1fob9te"/>
      <w:bookmarkEnd w:id="15"/>
      <w:r w:rsidRPr="00F25EF3">
        <w:t>6.</w:t>
      </w:r>
      <w:r w:rsidRPr="00F25EF3">
        <w:tab/>
        <w:t xml:space="preserve">Разработать, где это отсутствует, постоянно поддерживать и обновлять общенациональную цифровую </w:t>
      </w:r>
      <w:r>
        <w:t xml:space="preserve">экологическую </w:t>
      </w:r>
      <w:r w:rsidRPr="00F25EF3">
        <w:t>информационную систему с использованием наилучших имеющихся современных цифровых технологий в соответствии с подходом “открыт</w:t>
      </w:r>
      <w:r>
        <w:t>а</w:t>
      </w:r>
      <w:r w:rsidRPr="00F25EF3">
        <w:t xml:space="preserve"> по замыслу и по </w:t>
      </w:r>
      <w:r>
        <w:t>определению</w:t>
      </w:r>
      <w:r w:rsidRPr="00F25EF3">
        <w:t xml:space="preserve">” (см. также раздел IV ниже и добавление к настоящему документу, главы  II, III и IV). Эта система должна содержать обновленные и исторические данные и информацию, как описано в пункте 20 ниже, и быть хорошо структурированной для предоставления информации при принятии </w:t>
      </w:r>
      <w:r>
        <w:t xml:space="preserve">обоснованных фактами </w:t>
      </w:r>
      <w:r w:rsidRPr="00F25EF3">
        <w:t xml:space="preserve">решений и разработке мер политики, </w:t>
      </w:r>
      <w:r>
        <w:t xml:space="preserve">связанных с </w:t>
      </w:r>
      <w:r>
        <w:lastRenderedPageBreak/>
        <w:t>окружающей средой</w:t>
      </w:r>
      <w:r w:rsidRPr="00F25EF3">
        <w:t xml:space="preserve">; для укрепления мер раннего уведомления; оказания помощи в оценке и предоставлении отчетности о ходе реализации соответствующих  целей и задач, согласованных на международном и национальном уровнях; для выявления возникающих экологических рисков и уязвимости; поддержки </w:t>
      </w:r>
      <w:r>
        <w:t xml:space="preserve">многоаспектной </w:t>
      </w:r>
      <w:r w:rsidRPr="00F25EF3">
        <w:t>системы раннего предупреждения</w:t>
      </w:r>
      <w:r>
        <w:t xml:space="preserve"> </w:t>
      </w:r>
      <w:r w:rsidRPr="00F25EF3">
        <w:t>опасност</w:t>
      </w:r>
      <w:r>
        <w:t>и</w:t>
      </w:r>
      <w:r w:rsidRPr="00F25EF3">
        <w:t>; а также для содействия экологической осведомленности общественности и других заинтересованных сторон</w:t>
      </w:r>
      <w:r>
        <w:t>.</w:t>
      </w:r>
    </w:p>
    <w:bookmarkEnd w:id="14"/>
    <w:p w14:paraId="23E5E591" w14:textId="77777777" w:rsidR="005A26AF" w:rsidRPr="00831A4A" w:rsidRDefault="005A26AF" w:rsidP="005A26AF">
      <w:pPr>
        <w:pStyle w:val="SingleTxtG"/>
      </w:pPr>
      <w:r w:rsidRPr="00F25EF3">
        <w:t>7.</w:t>
      </w:r>
      <w:bookmarkStart w:id="16" w:name="_Hlk36041541"/>
      <w:r w:rsidRPr="00F25EF3">
        <w:tab/>
        <w:t xml:space="preserve">Принять необходимые меры для сокращения и устранения </w:t>
      </w:r>
      <w:bookmarkEnd w:id="16"/>
      <w:r w:rsidRPr="00F25EF3">
        <w:t xml:space="preserve">социальных, финансовых и технологических барьеров, ограничивающих доступ общественности к экологической информации через телекоммуникационные сети, таких как высокая стоимость подключения и плохое соединение, а также отсутствие компьютерной грамотности; </w:t>
      </w:r>
      <w:bookmarkStart w:id="17" w:name="_Hlk36042073"/>
      <w:r w:rsidRPr="00F25EF3">
        <w:t xml:space="preserve">расширить инклюзивное использование цифровых технологий и электронных </w:t>
      </w:r>
      <w:r>
        <w:t xml:space="preserve">информационных </w:t>
      </w:r>
      <w:r w:rsidRPr="00F25EF3">
        <w:t>средств для содействия осуществлению своих прав в соответствии с Конвенцией группами и сообществами, находящимися в уязвимом положении, та</w:t>
      </w:r>
      <w:bookmarkStart w:id="18" w:name="_GoBack"/>
      <w:bookmarkEnd w:id="18"/>
      <w:r w:rsidRPr="00F25EF3">
        <w:t>кими как дети, пожилые люди,  в некоторых обществах - женщины, мигранты, инвалиды, коренные народы, лица с низкими навыками грамотности или сталкивающиеся с языковыми барьерами, этнические или религиозные меньшинства, экономически обездоленные группы и лица, не имеющие реального доступа к Интернету, телевидению или радио</w:t>
      </w:r>
      <w:r>
        <w:t>.</w:t>
      </w:r>
      <w:r>
        <w:rPr>
          <w:vertAlign w:val="superscript"/>
        </w:rPr>
        <w:footnoteReference w:id="10"/>
      </w:r>
      <w:r w:rsidRPr="00F25EF3">
        <w:t xml:space="preserve"> </w:t>
      </w:r>
      <w:bookmarkEnd w:id="17"/>
    </w:p>
    <w:p w14:paraId="45A4B7A8" w14:textId="77777777" w:rsidR="005A26AF" w:rsidRPr="00831A4A" w:rsidRDefault="005A26AF" w:rsidP="005A26AF">
      <w:pPr>
        <w:pStyle w:val="SingleTxtG"/>
      </w:pPr>
      <w:r w:rsidRPr="00F25EF3">
        <w:t>8.</w:t>
      </w:r>
      <w:r w:rsidRPr="00F25EF3">
        <w:tab/>
        <w:t xml:space="preserve">Поощрять и использовать электронные </w:t>
      </w:r>
      <w:r>
        <w:t xml:space="preserve">информационных средств </w:t>
      </w:r>
      <w:r w:rsidRPr="00F25EF3">
        <w:t>для облегчения участия общественности в процессе принятия решений по экологическим вопросам и контроля за ним, в частности для:</w:t>
      </w:r>
    </w:p>
    <w:p w14:paraId="5B26798D" w14:textId="77777777" w:rsidR="005A26AF" w:rsidRPr="00831A4A" w:rsidRDefault="005A26AF" w:rsidP="005A26AF">
      <w:pPr>
        <w:pStyle w:val="SingleTxtG"/>
        <w:ind w:firstLine="567"/>
      </w:pPr>
      <w:r w:rsidRPr="00F25EF3">
        <w:t>a)</w:t>
      </w:r>
      <w:r w:rsidRPr="00F25EF3">
        <w:tab/>
      </w:r>
      <w:r>
        <w:t>уведомления</w:t>
      </w:r>
      <w:r w:rsidRPr="00F25EF3">
        <w:t xml:space="preserve"> общественности о возможностях участия;</w:t>
      </w:r>
    </w:p>
    <w:p w14:paraId="6E120809" w14:textId="77777777" w:rsidR="005A26AF" w:rsidRPr="00831A4A" w:rsidRDefault="005A26AF" w:rsidP="005A26AF">
      <w:pPr>
        <w:pStyle w:val="SingleTxtG"/>
        <w:ind w:firstLine="567"/>
      </w:pPr>
      <w:r w:rsidRPr="00F25EF3">
        <w:t>b)</w:t>
      </w:r>
      <w:r w:rsidRPr="00F25EF3">
        <w:tab/>
      </w:r>
      <w:r>
        <w:t>о</w:t>
      </w:r>
      <w:r w:rsidRPr="00F25EF3">
        <w:t>беспечения возможностей общественности предоставлять в электронном виде публично задокументированные ответы по предлагаемым мероприятиям, планам, программам, политике и юридически обязательным документам;</w:t>
      </w:r>
    </w:p>
    <w:p w14:paraId="44CB3E1A" w14:textId="77777777" w:rsidR="005A26AF" w:rsidRPr="00831A4A" w:rsidRDefault="005A26AF" w:rsidP="005A26AF">
      <w:pPr>
        <w:pStyle w:val="SingleTxtG"/>
        <w:ind w:firstLine="567"/>
      </w:pPr>
      <w:r w:rsidRPr="00F25EF3">
        <w:t>c)</w:t>
      </w:r>
      <w:r w:rsidRPr="00F25EF3">
        <w:tab/>
      </w:r>
      <w:r>
        <w:t>о</w:t>
      </w:r>
      <w:r w:rsidRPr="00F25EF3">
        <w:t>беспечени</w:t>
      </w:r>
      <w:r>
        <w:t>я</w:t>
      </w:r>
      <w:r w:rsidRPr="00F25EF3">
        <w:t xml:space="preserve"> равно</w:t>
      </w:r>
      <w:r>
        <w:t xml:space="preserve">й значимости </w:t>
      </w:r>
      <w:r w:rsidRPr="00F25EF3">
        <w:t xml:space="preserve">материалов, полученных в электронном виде, с комментариями, полученными в </w:t>
      </w:r>
      <w:r>
        <w:t>не</w:t>
      </w:r>
      <w:r w:rsidRPr="00F25EF3">
        <w:t>электронном виде</w:t>
      </w:r>
      <w:r>
        <w:t>.</w:t>
      </w:r>
    </w:p>
    <w:p w14:paraId="441A3699" w14:textId="77777777" w:rsidR="005A26AF" w:rsidRPr="00831A4A" w:rsidRDefault="005A26AF" w:rsidP="005A26AF">
      <w:pPr>
        <w:pStyle w:val="SingleTxtG"/>
      </w:pPr>
      <w:bookmarkStart w:id="19" w:name="_Hlk36042229"/>
      <w:r w:rsidRPr="00F25EF3">
        <w:t>9.</w:t>
      </w:r>
      <w:r w:rsidRPr="00F25EF3">
        <w:tab/>
        <w:t xml:space="preserve">Обеспечить мобилизацию и достаточное выделение ресурсов для проектирования, разработки, постоянного обслуживания и модернизации электронных </w:t>
      </w:r>
      <w:r>
        <w:t xml:space="preserve">информационных </w:t>
      </w:r>
      <w:r w:rsidRPr="00F25EF3">
        <w:t>средств, помогающих осуществлению Конвенции, с использованием наилучших имеющихся современных цифровых технологий; использовать для содействия мобилизации ресурсов выгоды от снижения административной нагрузки государственных органов, особенно от обработки информационных запросов, и связанную с этим экономию средств за счет повышения эффективности</w:t>
      </w:r>
      <w:r>
        <w:t>.</w:t>
      </w:r>
    </w:p>
    <w:bookmarkEnd w:id="19"/>
    <w:p w14:paraId="3CAD6C8A" w14:textId="77777777" w:rsidR="005A26AF" w:rsidRPr="00831A4A" w:rsidRDefault="005A26AF" w:rsidP="005A26AF">
      <w:pPr>
        <w:pStyle w:val="SingleTxtG"/>
      </w:pPr>
      <w:r w:rsidRPr="00F25EF3">
        <w:t>10.</w:t>
      </w:r>
      <w:r w:rsidRPr="00F25EF3">
        <w:tab/>
        <w:t>Поощрять и содействовать международному политическому диалогу по вопросам использования электронных информаци</w:t>
      </w:r>
      <w:r>
        <w:t>онных</w:t>
      </w:r>
      <w:r w:rsidRPr="00F25EF3">
        <w:t xml:space="preserve"> средств для обеспечения доступа общественности к экологической информации и участия общественности в процессе принятия решений по вопросам</w:t>
      </w:r>
      <w:r>
        <w:t>, касающимся окружающей среды,</w:t>
      </w:r>
      <w:r w:rsidRPr="00F25EF3">
        <w:t xml:space="preserve"> путем обмена опытом и распространения </w:t>
      </w:r>
      <w:r>
        <w:t>надлежащей</w:t>
      </w:r>
      <w:r w:rsidRPr="00F25EF3">
        <w:t xml:space="preserve"> практики, передачи ноу-хау и оказания технической помощи, а также активно содействовать разработке глобальной стратегии в области экологических данных под эгидой Программы Организации Объединенных Наций по окружающей среде</w:t>
      </w:r>
      <w:r>
        <w:t>.</w:t>
      </w:r>
    </w:p>
    <w:p w14:paraId="6429C59E" w14:textId="77777777" w:rsidR="005A26AF" w:rsidRPr="00831A4A" w:rsidRDefault="005A26AF" w:rsidP="005A26AF">
      <w:pPr>
        <w:pStyle w:val="SingleTxtG"/>
      </w:pPr>
      <w:r w:rsidRPr="00F25EF3">
        <w:t>11.</w:t>
      </w:r>
      <w:r w:rsidRPr="00F25EF3">
        <w:tab/>
        <w:t xml:space="preserve">Использовать и далее развивать существующие схемы передачи технологий и экспертных знаний в целях преодоления или сокращения цифрового разрыва и всех связанных с ним аспектов – например, посредством двусторонних и многосторонних </w:t>
      </w:r>
      <w:r w:rsidRPr="00F25EF3">
        <w:lastRenderedPageBreak/>
        <w:t>проектов или партнерств – и содействовать интеграции цифровых технологий, особенно в отдаленных районах, а также гендерному равенству и равенству поколений. Там, где имеются ресурсы, создавать и, в случае стран-доноров, международных финансовых учреждений и других партнерских организаций, оказывать финансовую и технологическую поддержку новым схемам передачи технологий и экспертных знаний</w:t>
      </w:r>
      <w:r>
        <w:t>.</w:t>
      </w:r>
    </w:p>
    <w:p w14:paraId="318F3649" w14:textId="77777777" w:rsidR="005A26AF" w:rsidRPr="00831A4A" w:rsidRDefault="005A26AF" w:rsidP="005A26AF">
      <w:pPr>
        <w:pStyle w:val="SingleTxtG"/>
      </w:pPr>
      <w:r w:rsidRPr="00F25EF3">
        <w:t>12.</w:t>
      </w:r>
      <w:r w:rsidRPr="00F25EF3">
        <w:tab/>
        <w:t xml:space="preserve">Основывать предоставление, форму и содержание электронных </w:t>
      </w:r>
      <w:r>
        <w:t xml:space="preserve">информационных средств </w:t>
      </w:r>
      <w:r w:rsidRPr="00F25EF3">
        <w:t xml:space="preserve">на потребностях пользователей, выявленных в ходе обследований, оценки эффективности этих </w:t>
      </w:r>
      <w:r>
        <w:t>средств</w:t>
      </w:r>
      <w:r w:rsidRPr="00F25EF3">
        <w:t xml:space="preserve">, данных гражданской науки, механизмов обратной связи с пользователями, методологии прогнозирования и других инструментов исследований </w:t>
      </w:r>
      <w:r>
        <w:t xml:space="preserve">потребностей </w:t>
      </w:r>
      <w:r w:rsidRPr="00F25EF3">
        <w:t xml:space="preserve">пользователей в соответствии с </w:t>
      </w:r>
      <w:r>
        <w:t>надлежащей</w:t>
      </w:r>
      <w:r w:rsidRPr="00F25EF3">
        <w:t xml:space="preserve"> практикой; осуществлять мониторинг и оценку воздействия предоставляемой информации в целях повышения экологической осведомленности; содействовать эффективному доступу к информации, участию общественности и друг</w:t>
      </w:r>
      <w:r>
        <w:t>ому ее вовлечению</w:t>
      </w:r>
      <w:r w:rsidRPr="00F25EF3">
        <w:t xml:space="preserve"> </w:t>
      </w:r>
      <w:r>
        <w:t>в вопросы, касающиеся</w:t>
      </w:r>
      <w:r w:rsidRPr="00F25EF3">
        <w:t xml:space="preserve"> окружающей среды</w:t>
      </w:r>
      <w:r>
        <w:t>.</w:t>
      </w:r>
    </w:p>
    <w:p w14:paraId="5E2259F9" w14:textId="77777777" w:rsidR="005A26AF" w:rsidRPr="00831A4A" w:rsidRDefault="005A26AF" w:rsidP="005A26AF">
      <w:pPr>
        <w:pStyle w:val="SingleTxtG"/>
      </w:pPr>
      <w:bookmarkStart w:id="20" w:name="_Hlk36042448"/>
      <w:r w:rsidRPr="00F25EF3">
        <w:t>13.</w:t>
      </w:r>
      <w:r w:rsidRPr="00F25EF3">
        <w:tab/>
        <w:t>Обеспечить, чтобы обязательные системы, созданные для обеспечения надлежащего потока информации государственным органам о планируемой и существующей деятельности, которая может существенно повлиять на окружающую среду, постоянно поддерживались и модернизировались</w:t>
      </w:r>
      <w:bookmarkStart w:id="21" w:name="_Hlk42264483"/>
      <w:r w:rsidRPr="00F25EF3">
        <w:t xml:space="preserve"> с использованием наилучших доступных современных цифровых технологий и международных стандартов совместимости и других стандартов</w:t>
      </w:r>
      <w:bookmarkEnd w:id="21"/>
      <w:r>
        <w:t>.</w:t>
      </w:r>
      <w:r>
        <w:rPr>
          <w:vertAlign w:val="superscript"/>
        </w:rPr>
        <w:footnoteReference w:id="11"/>
      </w:r>
    </w:p>
    <w:p w14:paraId="66E27BEC" w14:textId="77777777" w:rsidR="005A26AF" w:rsidRPr="00831A4A" w:rsidRDefault="005A26AF" w:rsidP="005A26AF">
      <w:pPr>
        <w:pStyle w:val="SingleTxtG"/>
      </w:pPr>
      <w:r w:rsidRPr="00F25EF3">
        <w:t>14.</w:t>
      </w:r>
      <w:r w:rsidRPr="00F25EF3">
        <w:tab/>
        <w:t>Повысить доступность экологических данных и их качество, совместимость и управление для максимизации преимуществ общенациональной цифровой экологической информационной системы; поощрять интеграцию больших данных, включая, но не ограничиваясь ими, данны</w:t>
      </w:r>
      <w:r>
        <w:t>х</w:t>
      </w:r>
      <w:r w:rsidRPr="00F25EF3">
        <w:t xml:space="preserve"> дистанционного зондирования и данны</w:t>
      </w:r>
      <w:r>
        <w:t>х</w:t>
      </w:r>
      <w:r w:rsidRPr="00F25EF3">
        <w:t xml:space="preserve"> из других дополнительных источников, </w:t>
      </w:r>
      <w:r>
        <w:t>если это целесообразно</w:t>
      </w:r>
      <w:r w:rsidRPr="00F25EF3">
        <w:t xml:space="preserve">, в общенациональную цифровую экологическую информационную систему для содействия экологическому мониторингу, своевременности, открытости, пространственно-временному охвату данных и их экономической эффективности, полезности для выявления тенденций, повторного анализа, составления прогнозов и планов, а также для </w:t>
      </w:r>
      <w:proofErr w:type="spellStart"/>
      <w:r w:rsidRPr="00F25EF3">
        <w:t>межтематического</w:t>
      </w:r>
      <w:proofErr w:type="spellEnd"/>
      <w:r w:rsidRPr="00F25EF3">
        <w:t xml:space="preserve"> анализа</w:t>
      </w:r>
      <w:r>
        <w:t>.</w:t>
      </w:r>
    </w:p>
    <w:p w14:paraId="19B8FE1B" w14:textId="77777777" w:rsidR="005A26AF" w:rsidRPr="00831A4A" w:rsidRDefault="005A26AF" w:rsidP="005A26AF">
      <w:pPr>
        <w:pStyle w:val="SingleTxtG"/>
      </w:pPr>
      <w:r w:rsidRPr="00F25EF3">
        <w:t>15.</w:t>
      </w:r>
      <w:r w:rsidRPr="00F25EF3">
        <w:tab/>
      </w:r>
      <w:r>
        <w:t xml:space="preserve">Оказывать поддержку </w:t>
      </w:r>
      <w:r w:rsidRPr="00F25EF3">
        <w:t>и использова</w:t>
      </w:r>
      <w:r>
        <w:t>ть</w:t>
      </w:r>
      <w:r w:rsidRPr="00F25EF3">
        <w:t xml:space="preserve"> инициатив</w:t>
      </w:r>
      <w:r>
        <w:t>ы</w:t>
      </w:r>
      <w:r w:rsidRPr="00F25EF3">
        <w:t xml:space="preserve"> по открытой науке и открытым исследовательским данным, основанны</w:t>
      </w:r>
      <w:r>
        <w:t>е</w:t>
      </w:r>
      <w:r w:rsidRPr="00F25EF3">
        <w:t xml:space="preserve"> на надежных и научных методологиях, для их применения при</w:t>
      </w:r>
      <w:r>
        <w:t xml:space="preserve"> </w:t>
      </w:r>
      <w:r w:rsidRPr="00F25EF3">
        <w:t>разработке политики и содействия проведению прозрачных общественных обсуждений</w:t>
      </w:r>
      <w:r>
        <w:t xml:space="preserve"> по вопросам, касающимся окружающей среды.</w:t>
      </w:r>
    </w:p>
    <w:p w14:paraId="68F8FE77" w14:textId="77777777" w:rsidR="005A26AF" w:rsidRPr="00374310" w:rsidRDefault="005A26AF" w:rsidP="005A26AF">
      <w:pPr>
        <w:pStyle w:val="SingleTxtG"/>
      </w:pPr>
      <w:r w:rsidRPr="00F25EF3">
        <w:t>16.</w:t>
      </w:r>
      <w:r w:rsidRPr="00F25EF3">
        <w:tab/>
        <w:t>Содействовать использованию гражданской науки, краудсорсинга</w:t>
      </w:r>
      <w:r>
        <w:t>,</w:t>
      </w:r>
      <w:r w:rsidRPr="00F25EF3">
        <w:t xml:space="preserve"> знаний местного населения и коренных народов с помощью электронных </w:t>
      </w:r>
      <w:r>
        <w:t xml:space="preserve">информационных средств </w:t>
      </w:r>
      <w:r w:rsidRPr="00F25EF3">
        <w:t>для поддержки выполнения государственных функций и предоставления государственных услуг, связанных с экологическим мониторингом, а также для повышения экологической осведомленности общественности (см. Раздел V ниже)</w:t>
      </w:r>
      <w:r>
        <w:t>.</w:t>
      </w:r>
    </w:p>
    <w:bookmarkEnd w:id="20"/>
    <w:p w14:paraId="3346FEF6" w14:textId="77777777" w:rsidR="005A26AF" w:rsidRPr="00831A4A" w:rsidRDefault="005A26AF" w:rsidP="005A26AF">
      <w:pPr>
        <w:pStyle w:val="SingleTxtG"/>
      </w:pPr>
      <w:r w:rsidRPr="00F25EF3">
        <w:t>17.</w:t>
      </w:r>
      <w:r w:rsidRPr="00F25EF3">
        <w:tab/>
        <w:t xml:space="preserve">Содействовать использованию многоязычных электронных </w:t>
      </w:r>
      <w:r>
        <w:t xml:space="preserve">информационных </w:t>
      </w:r>
      <w:r w:rsidRPr="00F25EF3">
        <w:t>средств путем предоставления информации на национальном языке</w:t>
      </w:r>
      <w:r>
        <w:t xml:space="preserve"> </w:t>
      </w:r>
      <w:r w:rsidRPr="00F25EF3">
        <w:t>(языках) и, по крайней мере, базовой информации, представляющей интерес для международного сообщества, на официальных языках Организации Объединенных Наций</w:t>
      </w:r>
      <w:r>
        <w:t>.</w:t>
      </w:r>
    </w:p>
    <w:p w14:paraId="45AFF424" w14:textId="77777777" w:rsidR="005A26AF" w:rsidRPr="00831A4A" w:rsidRDefault="005A26AF" w:rsidP="005A26AF">
      <w:pPr>
        <w:pStyle w:val="SingleTxtG"/>
      </w:pPr>
      <w:r w:rsidRPr="00F25EF3">
        <w:t>18.</w:t>
      </w:r>
      <w:r w:rsidRPr="00F25EF3">
        <w:tab/>
        <w:t>Распространять надлежащие практики, связанные с применением Конвенции, на национальном/государственном, субнациональном и местном уровнях в областях, указанных в пункте 20 ниже, и обмен</w:t>
      </w:r>
      <w:r>
        <w:t>иваться</w:t>
      </w:r>
      <w:r w:rsidRPr="00F25EF3">
        <w:t xml:space="preserve"> информацией о такой надлежащей практике </w:t>
      </w:r>
      <w:bookmarkStart w:id="22" w:name="_Hlk36042583"/>
      <w:r w:rsidRPr="00F25EF3">
        <w:t>посредством информационно-координационного механизма Конвенции</w:t>
      </w:r>
      <w:r>
        <w:t>.</w:t>
      </w:r>
      <w:r>
        <w:rPr>
          <w:vertAlign w:val="superscript"/>
        </w:rPr>
        <w:footnoteReference w:id="12"/>
      </w:r>
      <w:bookmarkEnd w:id="22"/>
    </w:p>
    <w:p w14:paraId="0A35DB94" w14:textId="77777777" w:rsidR="005A26AF" w:rsidRPr="00831A4A" w:rsidRDefault="005A26AF" w:rsidP="005A26AF">
      <w:pPr>
        <w:pStyle w:val="SingleTxtG"/>
      </w:pPr>
      <w:bookmarkStart w:id="23" w:name="_heading=h.3znysh7"/>
      <w:bookmarkStart w:id="24" w:name="_Hlk36042621"/>
      <w:bookmarkEnd w:id="23"/>
      <w:r w:rsidRPr="00F25EF3">
        <w:lastRenderedPageBreak/>
        <w:t>19.</w:t>
      </w:r>
      <w:r w:rsidRPr="00F25EF3">
        <w:tab/>
        <w:t>Представлять информацию об осуществлении настоящих рекомендаций, в том числе о возникших препятствиях и путях их преодоления, в рамках национальных докладов об осуществлении Конвенции, с тем чтобы содействовать обзору прогресса в осуществлении Конвенции и обмену опытом в рамках ее соответствующих органов в этой области</w:t>
      </w:r>
      <w:r>
        <w:t>.</w:t>
      </w:r>
      <w:r>
        <w:rPr>
          <w:vertAlign w:val="superscript"/>
        </w:rPr>
        <w:footnoteReference w:id="13"/>
      </w:r>
      <w:bookmarkEnd w:id="24"/>
    </w:p>
    <w:p w14:paraId="4F356FB7" w14:textId="77777777" w:rsidR="005A26AF" w:rsidRPr="00831A4A" w:rsidRDefault="005A26AF" w:rsidP="005A26AF">
      <w:pPr>
        <w:pStyle w:val="HChG"/>
      </w:pPr>
      <w:r>
        <w:tab/>
        <w:t>III.</w:t>
      </w:r>
      <w:r>
        <w:tab/>
        <w:t>Приоритетные виды информации и их доступность</w:t>
      </w:r>
    </w:p>
    <w:p w14:paraId="500BAD1A" w14:textId="77777777" w:rsidR="005A26AF" w:rsidRPr="002E0D08" w:rsidRDefault="005A26AF" w:rsidP="005A26AF">
      <w:pPr>
        <w:pStyle w:val="SingleTxtG"/>
      </w:pPr>
      <w:r w:rsidRPr="002E0D08">
        <w:t>20.</w:t>
      </w:r>
      <w:r w:rsidRPr="002E0D08">
        <w:tab/>
        <w:t>Обеспечить, в случае необходимости, путем принятия соответствующих законодательных или нормативных мер, чтобы с учетом статьи 5 (10) Конвенции:</w:t>
      </w:r>
    </w:p>
    <w:p w14:paraId="6AFC8E51" w14:textId="77777777" w:rsidR="005A26AF" w:rsidRPr="002E0D08" w:rsidRDefault="005A26AF" w:rsidP="005A26AF">
      <w:pPr>
        <w:pStyle w:val="SingleTxtG"/>
        <w:ind w:firstLine="567"/>
      </w:pPr>
      <w:r w:rsidRPr="002E0D08">
        <w:t>a)</w:t>
      </w:r>
      <w:r w:rsidRPr="002E0D08">
        <w:tab/>
        <w:t>доступ общественности к экологической информации обеспечивался в электронной форме и предоставлялся через Интернет, с тем чтобы информация, требуемая для публичного доступа в соответствии с Конвенцией, предоставлялась в электронной форме, когда это требуется и когда информация существует в этой форме или может быть легко преобразована в эту форму по разумной цене;</w:t>
      </w:r>
    </w:p>
    <w:p w14:paraId="75ECAB64" w14:textId="77777777" w:rsidR="005A26AF" w:rsidRPr="002E0D08" w:rsidRDefault="005A26AF" w:rsidP="005A26AF">
      <w:pPr>
        <w:pStyle w:val="SingleTxtG"/>
        <w:ind w:firstLine="567"/>
      </w:pPr>
      <w:r w:rsidRPr="002E0D08">
        <w:t>b)</w:t>
      </w:r>
      <w:r w:rsidRPr="002E0D08">
        <w:tab/>
        <w:t>документация, которая должна быть подготовлена и/или представлена в контексте процедур принятия решений по экологическим вопросам, подпадающим под действие положений статей 6, 7 и 8 Конвенции, представлялась в электронной форме и постепенно становилась доступной для общественности через Интернет;</w:t>
      </w:r>
    </w:p>
    <w:p w14:paraId="1377FFCF" w14:textId="77777777" w:rsidR="005A26AF" w:rsidRPr="002E0D08" w:rsidRDefault="005A26AF" w:rsidP="005A26AF">
      <w:pPr>
        <w:pStyle w:val="SingleTxtG"/>
        <w:ind w:firstLine="567"/>
      </w:pPr>
      <w:bookmarkStart w:id="26" w:name="_Hlk36042891"/>
      <w:r w:rsidRPr="002E0D08">
        <w:t>c)</w:t>
      </w:r>
      <w:r w:rsidRPr="002E0D08">
        <w:tab/>
        <w:t>общенациональная цифровая экологическая информационная система поддерживала общественный доступ к динамичной, в том числе в режиме реального времени, и исторической, актуальной, точной и контролируемого качества, всеобъемлющей, стандартизированной и функциональной экологической информации; чтобы данная информация могла быть обнаружена и доступна через интернет в формах и форматах, отвечающих потребностям различных пользователей;</w:t>
      </w:r>
      <w:bookmarkEnd w:id="26"/>
      <w:r w:rsidRPr="002E0D08">
        <w:t xml:space="preserve"> </w:t>
      </w:r>
    </w:p>
    <w:p w14:paraId="7D9D7200" w14:textId="77777777" w:rsidR="005A26AF" w:rsidRPr="002E0D08" w:rsidRDefault="005A26AF" w:rsidP="005A26AF">
      <w:pPr>
        <w:pStyle w:val="SingleTxtG"/>
        <w:ind w:firstLine="567"/>
      </w:pPr>
      <w:r w:rsidRPr="002E0D08">
        <w:t>d)</w:t>
      </w:r>
      <w:r w:rsidRPr="002E0D08">
        <w:tab/>
        <w:t>следующие виды информации постепенно становились общедоступными, своевременно, через Интернет, предпочтительно через универсальную сетевую точку доступа:</w:t>
      </w:r>
    </w:p>
    <w:p w14:paraId="1C2B66FC" w14:textId="362780CB" w:rsidR="005A26AF" w:rsidRPr="002E0D08" w:rsidRDefault="005A26AF" w:rsidP="005A26AF">
      <w:pPr>
        <w:pStyle w:val="SingleTxtG"/>
        <w:ind w:left="1701"/>
      </w:pPr>
      <w:r w:rsidRPr="002E0D08">
        <w:t>i)</w:t>
      </w:r>
      <w:r w:rsidRPr="002E0D08">
        <w:tab/>
        <w:t>отчеты о состоянии окружающей среды</w:t>
      </w:r>
      <w:bookmarkStart w:id="27" w:name="_Hlk36042988"/>
      <w:r w:rsidRPr="002E0D08">
        <w:t>;</w:t>
      </w:r>
      <w:r w:rsidRPr="002E0D08">
        <w:rPr>
          <w:vertAlign w:val="superscript"/>
        </w:rPr>
        <w:footnoteReference w:id="14"/>
      </w:r>
      <w:bookmarkEnd w:id="27"/>
    </w:p>
    <w:p w14:paraId="481A8420" w14:textId="2484CDD4" w:rsidR="005A26AF" w:rsidRPr="002E0D08" w:rsidRDefault="005A26AF" w:rsidP="005A26AF">
      <w:pPr>
        <w:pStyle w:val="SingleTxtG"/>
        <w:ind w:left="1701"/>
      </w:pPr>
      <w:proofErr w:type="spellStart"/>
      <w:r w:rsidRPr="002E0D08">
        <w:t>ii</w:t>
      </w:r>
      <w:proofErr w:type="spellEnd"/>
      <w:r w:rsidRPr="002E0D08">
        <w:t>)</w:t>
      </w:r>
      <w:r w:rsidRPr="002E0D08">
        <w:tab/>
        <w:t>тексты, включая консолидированные тексты, законодательных актов, положений, правил и других юридически обязательных документов по вопросам, касающимся окружающей среды, и их проекты</w:t>
      </w:r>
      <w:bookmarkStart w:id="28" w:name="_Hlk36043037"/>
      <w:r w:rsidRPr="002E0D08">
        <w:t>;</w:t>
      </w:r>
      <w:r w:rsidRPr="002E0D08">
        <w:rPr>
          <w:vertAlign w:val="superscript"/>
        </w:rPr>
        <w:footnoteReference w:id="15"/>
      </w:r>
      <w:bookmarkEnd w:id="28"/>
    </w:p>
    <w:p w14:paraId="3C4B8A67" w14:textId="15D90EF1" w:rsidR="005A26AF" w:rsidRPr="002E0D08" w:rsidRDefault="005A26AF" w:rsidP="005A26AF">
      <w:pPr>
        <w:pStyle w:val="SingleTxtG"/>
        <w:ind w:left="1701"/>
      </w:pPr>
      <w:proofErr w:type="spellStart"/>
      <w:r w:rsidRPr="002E0D08">
        <w:t>iii</w:t>
      </w:r>
      <w:proofErr w:type="spellEnd"/>
      <w:r w:rsidRPr="002E0D08">
        <w:t>)</w:t>
      </w:r>
      <w:r w:rsidRPr="002E0D08">
        <w:tab/>
        <w:t>тексты, включая консолидированные тексты, мер политики, планов и программ, связанных с окружающей средой, а также природоохранные соглашения</w:t>
      </w:r>
      <w:bookmarkStart w:id="29" w:name="_Hlk36043078"/>
      <w:r w:rsidRPr="002E0D08">
        <w:t xml:space="preserve"> и их проекты;</w:t>
      </w:r>
      <w:r w:rsidRPr="002E0D08">
        <w:rPr>
          <w:vertAlign w:val="superscript"/>
        </w:rPr>
        <w:footnoteReference w:id="16"/>
      </w:r>
      <w:bookmarkEnd w:id="29"/>
    </w:p>
    <w:p w14:paraId="390975E6" w14:textId="431EED9F" w:rsidR="005A26AF" w:rsidRPr="002E0D08" w:rsidRDefault="005A26AF" w:rsidP="005A26AF">
      <w:pPr>
        <w:pStyle w:val="SingleTxtG"/>
        <w:ind w:left="1701"/>
      </w:pPr>
      <w:bookmarkStart w:id="30" w:name="_Hlk36043111"/>
      <w:proofErr w:type="spellStart"/>
      <w:r w:rsidRPr="002E0D08">
        <w:t>iv</w:t>
      </w:r>
      <w:proofErr w:type="spellEnd"/>
      <w:r w:rsidRPr="002E0D08">
        <w:t>)</w:t>
      </w:r>
      <w:r w:rsidRPr="002E0D08">
        <w:tab/>
        <w:t>международные договоры, конвенции и соглашения по экологическим вопросам, решения и доклады, имеющие отношение к их осуществлению и соблюдению на национальном/государственном уровне, включая выводы и рекомендации Комитета по вопросам соблюдения Конвенции в отношении соответствующей Стороны, а также обзоры результативности экологической деятельности, проводимые по запросу страны;</w:t>
      </w:r>
      <w:r w:rsidRPr="002E0D08">
        <w:rPr>
          <w:vertAlign w:val="superscript"/>
        </w:rPr>
        <w:footnoteReference w:id="17"/>
      </w:r>
      <w:bookmarkEnd w:id="30"/>
    </w:p>
    <w:p w14:paraId="3AFCC249" w14:textId="148EBDD6" w:rsidR="005A26AF" w:rsidRPr="002E0D08" w:rsidRDefault="005A26AF" w:rsidP="005A26AF">
      <w:pPr>
        <w:pStyle w:val="SingleTxtG"/>
        <w:ind w:left="1701"/>
      </w:pPr>
      <w:r w:rsidRPr="002E0D08">
        <w:t>v)</w:t>
      </w:r>
      <w:r w:rsidRPr="002E0D08">
        <w:tab/>
        <w:t>данные о выбросах и переносе загрязнителей в рамках сферы действия Конвенции;</w:t>
      </w:r>
      <w:r w:rsidRPr="002E0D08">
        <w:rPr>
          <w:vertAlign w:val="superscript"/>
        </w:rPr>
        <w:footnoteReference w:id="18"/>
      </w:r>
    </w:p>
    <w:p w14:paraId="0DB63A2C" w14:textId="431582C0" w:rsidR="005A26AF" w:rsidRPr="002E0D08" w:rsidRDefault="005A26AF" w:rsidP="005A26AF">
      <w:pPr>
        <w:pStyle w:val="SingleTxtG"/>
        <w:ind w:left="1701"/>
      </w:pPr>
      <w:proofErr w:type="spellStart"/>
      <w:r w:rsidRPr="002E0D08">
        <w:lastRenderedPageBreak/>
        <w:t>vi</w:t>
      </w:r>
      <w:proofErr w:type="spellEnd"/>
      <w:r w:rsidRPr="002E0D08">
        <w:t>)</w:t>
      </w:r>
      <w:r w:rsidRPr="002E0D08">
        <w:tab/>
        <w:t>документация, относящаяся к оценке воздействия на окружающую среду, государственной экологической экспертизе, процессам лицензирования или выдаче разрешений с учетом положений статьи 6 Конвенции (например, публичные уведомления, заявки, оценки рисков и другие исследования, вся другая соответствующая документация, комментарии третьих сторон, проекты и окончательные решения и прилагаемые условия), если она хранится в электронной форме или может быть легко преобразована в электронную форму.  Если она не доступна в электронном виде и не может быть преобразована в электронную форму по разумной цене, ссылка на то, где можно получить доступ к такой документации</w:t>
      </w:r>
      <w:bookmarkStart w:id="32" w:name="_Hlk36043405"/>
      <w:r w:rsidRPr="002E0D08">
        <w:t>;</w:t>
      </w:r>
      <w:r w:rsidRPr="002E0D08">
        <w:rPr>
          <w:vertAlign w:val="superscript"/>
        </w:rPr>
        <w:footnoteReference w:id="19"/>
      </w:r>
      <w:bookmarkEnd w:id="32"/>
    </w:p>
    <w:p w14:paraId="22E260AF" w14:textId="2B45C895" w:rsidR="005A26AF" w:rsidRPr="002E0D08" w:rsidRDefault="005A26AF" w:rsidP="005A26AF">
      <w:pPr>
        <w:pStyle w:val="SingleTxtG"/>
        <w:ind w:left="1701"/>
      </w:pPr>
      <w:proofErr w:type="spellStart"/>
      <w:r w:rsidRPr="002E0D08">
        <w:t>vii</w:t>
      </w:r>
      <w:proofErr w:type="spellEnd"/>
      <w:r w:rsidRPr="002E0D08">
        <w:t>)</w:t>
      </w:r>
      <w:bookmarkStart w:id="33" w:name="_Hlk36043468"/>
      <w:r w:rsidRPr="002E0D08">
        <w:tab/>
        <w:t>документация, относящаяся к стратегической экологической оценке или другим процессам подготовки планов, программ или политики в области окружающей среды с учетом положений статьи 7 Конвенции (например, публичные уведомления, вся другая соответствующая документация, включая оценку рисков и другие исследования, экономический анализ и допущения, комментарии третьих сторон, проекты и окончательные решения), если она хранится в электронной форме или может быть легко преобразована в электронную форму. Если она не доступна в электронном виде и не может быть преобразована в электронную форму с разумными затратами, ссылка на то, где можно получить доступ к такой документации;</w:t>
      </w:r>
      <w:r w:rsidRPr="002E0D08">
        <w:rPr>
          <w:vertAlign w:val="superscript"/>
        </w:rPr>
        <w:footnoteReference w:id="20"/>
      </w:r>
      <w:bookmarkEnd w:id="33"/>
      <w:r w:rsidRPr="002E0D08">
        <w:t xml:space="preserve"> </w:t>
      </w:r>
    </w:p>
    <w:p w14:paraId="61A3E3FA" w14:textId="2F2CC4E3" w:rsidR="005A26AF" w:rsidRPr="002E0D08" w:rsidRDefault="005A26AF" w:rsidP="005A26AF">
      <w:pPr>
        <w:pStyle w:val="SingleTxtG"/>
        <w:ind w:left="1701"/>
      </w:pPr>
      <w:bookmarkStart w:id="34" w:name="_Hlk36043539"/>
      <w:proofErr w:type="spellStart"/>
      <w:r w:rsidRPr="002E0D08">
        <w:t>viii</w:t>
      </w:r>
      <w:proofErr w:type="spellEnd"/>
      <w:r w:rsidRPr="002E0D08">
        <w:t>)</w:t>
      </w:r>
      <w:r w:rsidRPr="002E0D08">
        <w:tab/>
        <w:t>вся информация, которая может позволить общественности принимать меры по предотвращению или смягчению вреда, возникающего в результате непосредственной угрозы здоровью человека или окружающей среде, будь то вызванной деятельностью человека или вызванной естественными причинами;</w:t>
      </w:r>
      <w:r w:rsidRPr="002E0D08">
        <w:rPr>
          <w:vertAlign w:val="superscript"/>
        </w:rPr>
        <w:footnoteReference w:id="21"/>
      </w:r>
      <w:bookmarkEnd w:id="34"/>
    </w:p>
    <w:p w14:paraId="676DD5D2" w14:textId="6389FA40" w:rsidR="005A26AF" w:rsidRPr="002E0D08" w:rsidRDefault="005A26AF" w:rsidP="005A26AF">
      <w:pPr>
        <w:pStyle w:val="SingleTxtG"/>
        <w:ind w:left="1701"/>
      </w:pPr>
      <w:proofErr w:type="spellStart"/>
      <w:r w:rsidRPr="002E0D08">
        <w:t>ix</w:t>
      </w:r>
      <w:proofErr w:type="spellEnd"/>
      <w:r w:rsidRPr="002E0D08">
        <w:t>)</w:t>
      </w:r>
      <w:r w:rsidRPr="002E0D08">
        <w:tab/>
        <w:t xml:space="preserve">информация о механизмах, связанных с доступом к правосудию, </w:t>
      </w:r>
      <w:bookmarkStart w:id="35" w:name="_Hlk36043600"/>
      <w:r w:rsidRPr="002E0D08">
        <w:t>а также о решениях и докладах судов, уполномоченных по информации, омбудсменов, других национальных правозащитных учреждений и контрольных органов по вопросам, касающимся окружающей среды.</w:t>
      </w:r>
      <w:r w:rsidRPr="002E0D08">
        <w:rPr>
          <w:vertAlign w:val="superscript"/>
        </w:rPr>
        <w:footnoteReference w:id="22"/>
      </w:r>
      <w:bookmarkEnd w:id="35"/>
    </w:p>
    <w:p w14:paraId="7BB0B79F" w14:textId="77777777" w:rsidR="005A26AF" w:rsidRPr="002E0D08" w:rsidRDefault="005A26AF" w:rsidP="004C3C78">
      <w:pPr>
        <w:pStyle w:val="SingleTxtG"/>
        <w:ind w:firstLine="567"/>
      </w:pPr>
      <w:r w:rsidRPr="002E0D08">
        <w:t>e)</w:t>
      </w:r>
      <w:r w:rsidRPr="002E0D08">
        <w:tab/>
        <w:t xml:space="preserve">Следующие виды информации постепенно становятся общедоступными, своевременно, через Интернет, предпочтительно через универсальную сетевую точку доступа: </w:t>
      </w:r>
    </w:p>
    <w:p w14:paraId="458142E7" w14:textId="1D33B0ED" w:rsidR="005A26AF" w:rsidRPr="002E0D08" w:rsidRDefault="005A26AF" w:rsidP="005A26AF">
      <w:pPr>
        <w:pStyle w:val="SingleTxtG"/>
        <w:ind w:left="1701"/>
      </w:pPr>
      <w:r w:rsidRPr="002E0D08">
        <w:t>i)</w:t>
      </w:r>
      <w:r w:rsidRPr="002E0D08">
        <w:tab/>
        <w:t>данные экологического мониторинга</w:t>
      </w:r>
      <w:r w:rsidR="001F5C9B" w:rsidRPr="00144427">
        <w:t>,</w:t>
      </w:r>
      <w:r w:rsidRPr="002E0D08">
        <w:rPr>
          <w:vertAlign w:val="superscript"/>
        </w:rPr>
        <w:footnoteReference w:id="23"/>
      </w:r>
      <w:r w:rsidRPr="002E0D08">
        <w:t xml:space="preserve"> хранящиеся государственными органами или от их имени, включая </w:t>
      </w:r>
      <w:proofErr w:type="spellStart"/>
      <w:r w:rsidRPr="002E0D08">
        <w:t>пространственно</w:t>
      </w:r>
      <w:proofErr w:type="spellEnd"/>
      <w:r w:rsidRPr="002E0D08">
        <w:t xml:space="preserve"> привязанные исторические и динамические данные, как первичные, так и обработанные, касающиеся качества и загрязнения воздуха, почвы, воды и других элементов окружающей среды; </w:t>
      </w:r>
    </w:p>
    <w:p w14:paraId="0AF06061" w14:textId="54A7BB36" w:rsidR="005A26AF" w:rsidRPr="002E0D08" w:rsidRDefault="005A26AF" w:rsidP="005A26AF">
      <w:pPr>
        <w:pStyle w:val="SingleTxtG"/>
        <w:ind w:left="1701"/>
      </w:pPr>
      <w:bookmarkStart w:id="36" w:name="_Hlk36044297"/>
      <w:proofErr w:type="spellStart"/>
      <w:r w:rsidRPr="002E0D08">
        <w:t>ii</w:t>
      </w:r>
      <w:proofErr w:type="spellEnd"/>
      <w:r w:rsidRPr="002E0D08">
        <w:t>)</w:t>
      </w:r>
      <w:r w:rsidRPr="002E0D08">
        <w:tab/>
        <w:t>другая экологическая информация, такая как большие данные или космические данные, а также данные, содержащиеся в электронных базах данных, регистрах, кадастрах и реестров;</w:t>
      </w:r>
      <w:r w:rsidRPr="002E0D08">
        <w:rPr>
          <w:vertAlign w:val="superscript"/>
        </w:rPr>
        <w:footnoteReference w:id="24"/>
      </w:r>
    </w:p>
    <w:bookmarkEnd w:id="36"/>
    <w:p w14:paraId="42AE0F27" w14:textId="41C5F609" w:rsidR="005A26AF" w:rsidRPr="002E0D08" w:rsidRDefault="005A26AF" w:rsidP="005A26AF">
      <w:pPr>
        <w:pStyle w:val="SingleTxtG"/>
        <w:ind w:left="1701"/>
      </w:pPr>
      <w:proofErr w:type="spellStart"/>
      <w:r w:rsidRPr="002E0D08">
        <w:t>iii</w:t>
      </w:r>
      <w:proofErr w:type="spellEnd"/>
      <w:r w:rsidRPr="002E0D08">
        <w:t>)</w:t>
      </w:r>
      <w:r w:rsidRPr="002E0D08">
        <w:tab/>
        <w:t>данные и информация по конкретным продуктам, такие как материалы и энергетическая эффективность, токсичность, состав материалов, долговечность, ремонтопригодность и рециркуляция, которые позволяют потребителям, а также другим участникам производственно-сбытовых цепочек (например, осуществляющим надзор за рынком и управление отходами) улучшать свои экологические показатели;</w:t>
      </w:r>
      <w:r w:rsidRPr="002E0D08">
        <w:rPr>
          <w:vertAlign w:val="superscript"/>
        </w:rPr>
        <w:footnoteReference w:id="25"/>
      </w:r>
      <w:r w:rsidRPr="002E0D08">
        <w:t xml:space="preserve"> сотрудничество с частным сектором имеет важное значение для обеспечения предоставления этой информации. Примеры включают базы данных продуктов, цифровые паспорта </w:t>
      </w:r>
      <w:r w:rsidRPr="002E0D08">
        <w:lastRenderedPageBreak/>
        <w:t xml:space="preserve">продуктов, экологическую маркировку, схемы энергоэффективности и экологического аудита, а также экологические декларации продуктов; </w:t>
      </w:r>
    </w:p>
    <w:p w14:paraId="2A882190" w14:textId="627C94EE" w:rsidR="005A26AF" w:rsidRPr="002E0D08" w:rsidRDefault="005A26AF" w:rsidP="005A26AF">
      <w:pPr>
        <w:pStyle w:val="SingleTxtG"/>
        <w:ind w:left="1701"/>
      </w:pPr>
      <w:proofErr w:type="spellStart"/>
      <w:r w:rsidRPr="002E0D08">
        <w:t>iv</w:t>
      </w:r>
      <w:proofErr w:type="spellEnd"/>
      <w:r w:rsidRPr="002E0D08">
        <w:t>)</w:t>
      </w:r>
      <w:r w:rsidRPr="002E0D08">
        <w:tab/>
        <w:t>информация о надлежащей практике и руководящие принципы по улучшению управления окружающей средой</w:t>
      </w:r>
      <w:bookmarkStart w:id="37" w:name="_Hlk36044408"/>
      <w:r w:rsidRPr="002E0D08">
        <w:t>, устойчивому потреблению и производству, наилучшим доступным техническим методам, зеленым закупкам, зеленой и циклической экономике и устойчивому развитию;</w:t>
      </w:r>
      <w:r w:rsidRPr="002E0D08">
        <w:rPr>
          <w:vertAlign w:val="superscript"/>
        </w:rPr>
        <w:footnoteReference w:id="26"/>
      </w:r>
      <w:bookmarkEnd w:id="37"/>
    </w:p>
    <w:p w14:paraId="437C5559" w14:textId="606A4A3F" w:rsidR="005A26AF" w:rsidRPr="002E0D08" w:rsidRDefault="005A26AF" w:rsidP="005A26AF">
      <w:pPr>
        <w:pStyle w:val="SingleTxtG"/>
        <w:ind w:left="1701"/>
      </w:pPr>
      <w:bookmarkStart w:id="38" w:name="_Hlk36044463"/>
      <w:r w:rsidRPr="002E0D08">
        <w:t>v)</w:t>
      </w:r>
      <w:r w:rsidRPr="002E0D08">
        <w:tab/>
        <w:t>данные и информация по вопросам мониторинга окружающей среды, загрязнения окружающей среды, отходов и другие экологическим вопросам, полученные государственным органом посредством краудсорсинга, с использованием государственных средств или предоставленные государственному органу третьим лицом;</w:t>
      </w:r>
      <w:r w:rsidRPr="002E0D08">
        <w:rPr>
          <w:vertAlign w:val="superscript"/>
        </w:rPr>
        <w:footnoteReference w:id="27"/>
      </w:r>
    </w:p>
    <w:p w14:paraId="13E30E7A" w14:textId="68AF4048" w:rsidR="005A26AF" w:rsidRPr="002E0D08" w:rsidRDefault="005A26AF" w:rsidP="005A26AF">
      <w:pPr>
        <w:pStyle w:val="SingleTxtG"/>
        <w:ind w:left="1701"/>
      </w:pPr>
      <w:proofErr w:type="spellStart"/>
      <w:r w:rsidRPr="002E0D08">
        <w:t>vi</w:t>
      </w:r>
      <w:proofErr w:type="spellEnd"/>
      <w:r w:rsidRPr="002E0D08">
        <w:t>)</w:t>
      </w:r>
      <w:r w:rsidRPr="002E0D08">
        <w:tab/>
        <w:t>информация о правоприменении и соблюдении законодательства, относящегося к окружающей среде;</w:t>
      </w:r>
      <w:r w:rsidRPr="002E0D08">
        <w:rPr>
          <w:vertAlign w:val="superscript"/>
        </w:rPr>
        <w:footnoteReference w:id="28"/>
      </w:r>
      <w:r w:rsidRPr="002E0D08">
        <w:t xml:space="preserve"> </w:t>
      </w:r>
    </w:p>
    <w:p w14:paraId="08AF1B51" w14:textId="2641EB7D" w:rsidR="005A26AF" w:rsidRPr="002E0D08" w:rsidRDefault="005A26AF" w:rsidP="005A26AF">
      <w:pPr>
        <w:pStyle w:val="SingleTxtG"/>
        <w:ind w:left="1701"/>
      </w:pPr>
      <w:proofErr w:type="spellStart"/>
      <w:r w:rsidRPr="002E0D08">
        <w:t>vii</w:t>
      </w:r>
      <w:proofErr w:type="spellEnd"/>
      <w:r w:rsidRPr="002E0D08">
        <w:t>)</w:t>
      </w:r>
      <w:r w:rsidRPr="002E0D08">
        <w:tab/>
        <w:t>информация, предоставляемая правительством на всех уровнях, о финансируемых экологических проектах, включая международные проекты, о доходах и расходах фондов, связанных с окружающей средой, о государственных закупках и других государственных записях об исполнении государственных функций или предоставлении государственных услуг, связанных с окружающей средой;</w:t>
      </w:r>
      <w:r w:rsidRPr="002E0D08">
        <w:rPr>
          <w:vertAlign w:val="superscript"/>
        </w:rPr>
        <w:footnoteReference w:id="29"/>
      </w:r>
    </w:p>
    <w:bookmarkEnd w:id="38"/>
    <w:p w14:paraId="40B7A05B" w14:textId="49F3F260" w:rsidR="005A26AF" w:rsidRPr="002E0D08" w:rsidRDefault="005A26AF" w:rsidP="005A26AF">
      <w:pPr>
        <w:pStyle w:val="SingleTxtG"/>
        <w:ind w:left="1701"/>
      </w:pPr>
      <w:proofErr w:type="spellStart"/>
      <w:r w:rsidRPr="002E0D08">
        <w:t>viii</w:t>
      </w:r>
      <w:proofErr w:type="spellEnd"/>
      <w:r w:rsidRPr="002E0D08">
        <w:t>)</w:t>
      </w:r>
      <w:r w:rsidRPr="002E0D08">
        <w:tab/>
        <w:t>стандартизированные метаданные, с тем чтобы источник данных, дата его создания и обновления, ограничения, методы производства, проверки и валидации, процессы, правовые обязательства</w:t>
      </w:r>
      <w:bookmarkStart w:id="39" w:name="_Hlk36044685"/>
      <w:r w:rsidRPr="002E0D08">
        <w:t xml:space="preserve"> и контекст сбора данных и информации и управления ими</w:t>
      </w:r>
      <w:bookmarkEnd w:id="39"/>
      <w:r w:rsidRPr="002E0D08">
        <w:t xml:space="preserve"> были прозрачными</w:t>
      </w:r>
      <w:bookmarkStart w:id="40" w:name="_Hlk36044734"/>
      <w:r w:rsidRPr="002E0D08">
        <w:t>, позволяли обнаруживать и отбирать данные, межмашинную связь, использовать и повторно использовать (см. также главу IV добавления к настоящему документу);</w:t>
      </w:r>
      <w:r w:rsidRPr="002E0D08">
        <w:rPr>
          <w:vertAlign w:val="superscript"/>
        </w:rPr>
        <w:footnoteReference w:id="30"/>
      </w:r>
      <w:bookmarkEnd w:id="40"/>
    </w:p>
    <w:p w14:paraId="5F8FAA29" w14:textId="2EA63028" w:rsidR="005A26AF" w:rsidRPr="002E0D08" w:rsidRDefault="005A26AF" w:rsidP="005A26AF">
      <w:pPr>
        <w:pStyle w:val="SingleTxtG"/>
        <w:ind w:left="1701"/>
      </w:pPr>
      <w:proofErr w:type="spellStart"/>
      <w:r w:rsidRPr="002E0D08">
        <w:t>ix</w:t>
      </w:r>
      <w:proofErr w:type="spellEnd"/>
      <w:r w:rsidRPr="002E0D08">
        <w:t>)</w:t>
      </w:r>
      <w:r w:rsidRPr="002E0D08">
        <w:tab/>
        <w:t>метаинформация, включая каталоги источников данных и подробную информацию об объеме информации, имеющейся в распоряжении государственных органов, и механизмах обеспечения доступа к экологической информации</w:t>
      </w:r>
      <w:bookmarkStart w:id="41" w:name="_Hlk36044814"/>
      <w:r w:rsidRPr="002E0D08">
        <w:t>;</w:t>
      </w:r>
      <w:r w:rsidRPr="002E0D08">
        <w:rPr>
          <w:vertAlign w:val="superscript"/>
        </w:rPr>
        <w:footnoteReference w:id="31"/>
      </w:r>
      <w:bookmarkEnd w:id="41"/>
    </w:p>
    <w:p w14:paraId="257FBE56" w14:textId="77777777" w:rsidR="005A26AF" w:rsidRPr="002E0D08" w:rsidRDefault="005A26AF" w:rsidP="005A26AF">
      <w:pPr>
        <w:pStyle w:val="SingleTxtG"/>
        <w:ind w:firstLine="567"/>
      </w:pPr>
      <w:bookmarkStart w:id="42" w:name="_Hlk36044845"/>
      <w:r w:rsidRPr="002E0D08">
        <w:t>f)</w:t>
      </w:r>
      <w:r w:rsidRPr="002E0D08">
        <w:tab/>
        <w:t>доклад о состоянии окружающей среды,</w:t>
      </w:r>
      <w:r w:rsidRPr="002E0D08">
        <w:rPr>
          <w:vertAlign w:val="superscript"/>
        </w:rPr>
        <w:footnoteReference w:id="32"/>
      </w:r>
      <w:r w:rsidRPr="002E0D08">
        <w:t xml:space="preserve"> подлежащий опубликованию и распространению в соответствии со статьей 5 (4) Конвенции и включающий информацию о качестве окружающей среды и информацию о давлении на окружающую среду, должен основываться на национальных/государственных экологических показателях и соответствующих показателях достижения Целей в области устойчивого развития или на экологических показателях, согласованных в рамках ЕЭК</w:t>
      </w:r>
      <w:r w:rsidRPr="002E0D08">
        <w:rPr>
          <w:rStyle w:val="ab"/>
          <w:sz w:val="20"/>
        </w:rPr>
        <w:footnoteReference w:id="33"/>
      </w:r>
      <w:r w:rsidRPr="002E0D08">
        <w:t xml:space="preserve"> или других международных процессов. В докладе должны содержаться ссылки на базовые наборы данных из общенационального регистра выбросов и переноса загрязнителей и других соответствующих источников. Доклад должен быть подготовлен в рамках инклюзивного процесса консультаций со всеми заинтересованными представителями общественности и другими заинтересованными сторонами; </w:t>
      </w:r>
    </w:p>
    <w:p w14:paraId="30B5C21C" w14:textId="77777777" w:rsidR="005A26AF" w:rsidRPr="002E0D08" w:rsidRDefault="005A26AF" w:rsidP="005A26AF">
      <w:pPr>
        <w:pStyle w:val="SingleTxtG"/>
        <w:ind w:firstLine="567"/>
      </w:pPr>
      <w:r w:rsidRPr="002E0D08">
        <w:t>g)</w:t>
      </w:r>
      <w:r w:rsidRPr="002E0D08">
        <w:tab/>
        <w:t>обеспечить, чтобы резюме и пресс-релизы, относящиеся к информации, перечисленной в подпунктах (d)–(f) выше, содержали ссылки на источники, где эти данные и информация могут быть отслежены и доступны общественности;</w:t>
      </w:r>
    </w:p>
    <w:p w14:paraId="47E46FFB" w14:textId="77777777" w:rsidR="005A26AF" w:rsidRPr="002E0D08" w:rsidRDefault="005A26AF" w:rsidP="005A26AF">
      <w:pPr>
        <w:pStyle w:val="SingleTxtG"/>
        <w:ind w:firstLine="567"/>
      </w:pPr>
      <w:r w:rsidRPr="002E0D08">
        <w:t>h)</w:t>
      </w:r>
      <w:r w:rsidRPr="002E0D08">
        <w:tab/>
        <w:t xml:space="preserve">открытые лицензии должны выдаваться для содействия использованию и повторному использованию экологической информации. Однако в некоторых </w:t>
      </w:r>
      <w:r w:rsidRPr="002E0D08">
        <w:lastRenderedPageBreak/>
        <w:t xml:space="preserve">случаях, оправданных целями общественного интереса, может выдаваться лицензия, устанавливающая условия повторного использования лицензиатом по таким вопросам, как ответственность, защита личных данных, надлежащее использование документов, гарантирующая неизменность и признание источника. Если государственные органы лицензируют экологическую информацию для повторного использования, то лицензионные условия должны быть объективными, соразмерными и недискриминационными и соответствовать статьям 4-8 Конвенции.  </w:t>
      </w:r>
    </w:p>
    <w:bookmarkEnd w:id="42"/>
    <w:p w14:paraId="21A8D8C9" w14:textId="77777777" w:rsidR="005A26AF" w:rsidRPr="002E0D08" w:rsidRDefault="005A26AF" w:rsidP="005A26AF">
      <w:pPr>
        <w:pStyle w:val="SingleTxtG"/>
      </w:pPr>
      <w:r w:rsidRPr="002E0D08">
        <w:t>21.</w:t>
      </w:r>
      <w:r w:rsidRPr="002E0D08">
        <w:tab/>
        <w:t>Термин «постепенно» в статье 5 (3) Конвенции и в пунктах 20 (d) и (e) выше должен подразумевать наглядный прогресс в отношении следующих параметров:</w:t>
      </w:r>
    </w:p>
    <w:p w14:paraId="6591605F" w14:textId="77777777" w:rsidR="005A26AF" w:rsidRPr="002E0D08" w:rsidRDefault="005A26AF" w:rsidP="005A26AF">
      <w:pPr>
        <w:pStyle w:val="SingleTxtG"/>
        <w:ind w:firstLine="567"/>
      </w:pPr>
      <w:r w:rsidRPr="002E0D08">
        <w:t>a)</w:t>
      </w:r>
      <w:r w:rsidRPr="002E0D08">
        <w:tab/>
        <w:t>доля представителей общественности, имеющих электронный доступ;</w:t>
      </w:r>
    </w:p>
    <w:p w14:paraId="152B160C" w14:textId="77777777" w:rsidR="005A26AF" w:rsidRPr="002E0D08" w:rsidRDefault="005A26AF" w:rsidP="005A26AF">
      <w:pPr>
        <w:pStyle w:val="SingleTxtG"/>
        <w:ind w:firstLine="567"/>
      </w:pPr>
      <w:r w:rsidRPr="002E0D08">
        <w:t>b)</w:t>
      </w:r>
      <w:r w:rsidRPr="002E0D08">
        <w:tab/>
        <w:t>объем и качество информации, доступной в электронном виде;</w:t>
      </w:r>
    </w:p>
    <w:p w14:paraId="30F995AA" w14:textId="77777777" w:rsidR="005A26AF" w:rsidRPr="002E0D08" w:rsidRDefault="005A26AF" w:rsidP="005A26AF">
      <w:pPr>
        <w:pStyle w:val="SingleTxtG"/>
        <w:ind w:firstLine="567"/>
      </w:pPr>
      <w:r w:rsidRPr="002E0D08">
        <w:t>c)</w:t>
      </w:r>
      <w:r w:rsidRPr="002E0D08">
        <w:tab/>
        <w:t>качество электронного доступа;</w:t>
      </w:r>
    </w:p>
    <w:p w14:paraId="71EF6349" w14:textId="77777777" w:rsidR="005A26AF" w:rsidRPr="002E0D08" w:rsidRDefault="005A26AF" w:rsidP="005A26AF">
      <w:pPr>
        <w:pStyle w:val="SingleTxtG"/>
        <w:ind w:firstLine="567"/>
      </w:pPr>
      <w:r w:rsidRPr="002E0D08">
        <w:t>d)</w:t>
      </w:r>
      <w:r w:rsidRPr="002E0D08">
        <w:tab/>
        <w:t>уровень понимания потребностей пользователей;</w:t>
      </w:r>
    </w:p>
    <w:p w14:paraId="07C0E122" w14:textId="77777777" w:rsidR="005A26AF" w:rsidRPr="002E0D08" w:rsidRDefault="005A26AF" w:rsidP="005A26AF">
      <w:pPr>
        <w:pStyle w:val="SingleTxtG"/>
        <w:ind w:firstLine="567"/>
      </w:pPr>
      <w:r w:rsidRPr="002E0D08">
        <w:t>e)</w:t>
      </w:r>
      <w:r w:rsidRPr="002E0D08">
        <w:tab/>
        <w:t xml:space="preserve">степень удовлетворения потребностей пользователей; </w:t>
      </w:r>
    </w:p>
    <w:p w14:paraId="0D898156" w14:textId="77777777" w:rsidR="005A26AF" w:rsidRPr="002E0D08" w:rsidRDefault="005A26AF" w:rsidP="005A26AF">
      <w:pPr>
        <w:pStyle w:val="SingleTxtG"/>
      </w:pPr>
      <w:r w:rsidRPr="002E0D08">
        <w:t>и что такой прогресс должен доводиться до сведения общественности, в том числе посредством доклада о состоянии окружающей среды.</w:t>
      </w:r>
    </w:p>
    <w:p w14:paraId="6F338B9E" w14:textId="77777777" w:rsidR="005A26AF" w:rsidRPr="00831A4A" w:rsidRDefault="005A26AF" w:rsidP="005A26AF">
      <w:pPr>
        <w:pStyle w:val="HChG"/>
      </w:pPr>
      <w:r>
        <w:tab/>
        <w:t>IV.</w:t>
      </w:r>
      <w:r>
        <w:tab/>
        <w:t>Средства и инфраструктура</w:t>
      </w:r>
    </w:p>
    <w:p w14:paraId="27802243" w14:textId="77777777" w:rsidR="005A26AF" w:rsidRPr="00831A4A" w:rsidRDefault="005A26AF" w:rsidP="005A26AF">
      <w:pPr>
        <w:pStyle w:val="SingleTxtG"/>
      </w:pPr>
      <w:r w:rsidRPr="00C25B53">
        <w:t>22.</w:t>
      </w:r>
      <w:r w:rsidRPr="00C25B53">
        <w:tab/>
        <w:t xml:space="preserve">Экологическая информация может быть распространена общественности с использованием различных электронных </w:t>
      </w:r>
      <w:r>
        <w:t>информационных</w:t>
      </w:r>
      <w:r w:rsidRPr="00C25B53">
        <w:t xml:space="preserve"> средств, в зависимости от обстоятельств, включая:</w:t>
      </w:r>
    </w:p>
    <w:p w14:paraId="79AF3389" w14:textId="77777777" w:rsidR="005A26AF" w:rsidRPr="00831A4A" w:rsidRDefault="005A26AF" w:rsidP="005A26AF">
      <w:pPr>
        <w:pStyle w:val="SingleTxtG"/>
        <w:ind w:firstLine="567"/>
      </w:pPr>
      <w:r w:rsidRPr="00F25EF3">
        <w:t>a)</w:t>
      </w:r>
      <w:r w:rsidRPr="00F25EF3">
        <w:tab/>
        <w:t xml:space="preserve">вебсайты </w:t>
      </w:r>
      <w:r>
        <w:t xml:space="preserve">государственных </w:t>
      </w:r>
      <w:r w:rsidRPr="00F25EF3">
        <w:t xml:space="preserve">органов, выполняющих государственные функции или предоставляющих государственные услуги, связанные с окружающей средой, на национальном, субнациональном и местном уровнях; </w:t>
      </w:r>
    </w:p>
    <w:p w14:paraId="51590EBF" w14:textId="77777777" w:rsidR="005A26AF" w:rsidRPr="00831A4A" w:rsidRDefault="005A26AF" w:rsidP="005A26AF">
      <w:pPr>
        <w:pStyle w:val="SingleTxtG"/>
        <w:ind w:firstLine="567"/>
      </w:pPr>
      <w:r w:rsidRPr="00F25EF3">
        <w:t>b)</w:t>
      </w:r>
      <w:r w:rsidRPr="00F25EF3">
        <w:tab/>
        <w:t>един</w:t>
      </w:r>
      <w:r>
        <w:t>ую</w:t>
      </w:r>
      <w:r w:rsidRPr="00F25EF3">
        <w:t xml:space="preserve"> универсальн</w:t>
      </w:r>
      <w:r>
        <w:t>ую</w:t>
      </w:r>
      <w:r w:rsidRPr="00F25EF3">
        <w:t xml:space="preserve"> </w:t>
      </w:r>
      <w:r>
        <w:t xml:space="preserve">сетевую </w:t>
      </w:r>
      <w:r w:rsidRPr="00F25EF3">
        <w:t>точк</w:t>
      </w:r>
      <w:r>
        <w:t>у</w:t>
      </w:r>
      <w:r w:rsidRPr="00F25EF3">
        <w:t xml:space="preserve"> доступа (далее – экологический портал) к экологической информации, включая виды информации, перечисленные в разделе III выше;</w:t>
      </w:r>
      <w:r>
        <w:rPr>
          <w:vertAlign w:val="superscript"/>
        </w:rPr>
        <w:footnoteReference w:id="34"/>
      </w:r>
    </w:p>
    <w:p w14:paraId="60979884" w14:textId="77777777" w:rsidR="005A26AF" w:rsidRPr="00831A4A" w:rsidRDefault="005A26AF" w:rsidP="005A26AF">
      <w:pPr>
        <w:pStyle w:val="SingleTxtG"/>
        <w:ind w:firstLine="567"/>
      </w:pPr>
      <w:r w:rsidRPr="00F25EF3">
        <w:t>c)</w:t>
      </w:r>
      <w:r w:rsidRPr="00F25EF3">
        <w:tab/>
        <w:t>портал открыты</w:t>
      </w:r>
      <w:r>
        <w:t>х</w:t>
      </w:r>
      <w:r w:rsidRPr="00F25EF3">
        <w:t xml:space="preserve"> данных;</w:t>
      </w:r>
    </w:p>
    <w:p w14:paraId="32C2E5B5" w14:textId="77777777" w:rsidR="005A26AF" w:rsidRPr="00831A4A" w:rsidRDefault="005A26AF" w:rsidP="005A26AF">
      <w:pPr>
        <w:pStyle w:val="SingleTxtG"/>
        <w:ind w:firstLine="567"/>
      </w:pPr>
      <w:r w:rsidRPr="00F25EF3">
        <w:t>d)</w:t>
      </w:r>
      <w:r w:rsidRPr="00F25EF3">
        <w:tab/>
      </w:r>
      <w:proofErr w:type="spellStart"/>
      <w:r w:rsidRPr="00F25EF3">
        <w:t>общеправительственный</w:t>
      </w:r>
      <w:proofErr w:type="spellEnd"/>
      <w:r w:rsidRPr="00F25EF3">
        <w:t xml:space="preserve"> портал или портал электронного правительства;</w:t>
      </w:r>
    </w:p>
    <w:p w14:paraId="79F31DDA" w14:textId="77777777" w:rsidR="005A26AF" w:rsidRPr="00831A4A" w:rsidRDefault="005A26AF" w:rsidP="005A26AF">
      <w:pPr>
        <w:pStyle w:val="SingleTxtG"/>
        <w:ind w:firstLine="567"/>
      </w:pPr>
      <w:r w:rsidRPr="00F25EF3">
        <w:t>e)</w:t>
      </w:r>
      <w:r w:rsidRPr="00F25EF3">
        <w:tab/>
        <w:t xml:space="preserve">порталы других ключевых поставщиков информации, имеющей отношение к законодательству, </w:t>
      </w:r>
      <w:r>
        <w:t>судебной практике</w:t>
      </w:r>
      <w:r w:rsidRPr="00F25EF3">
        <w:t>, законотворчеству, правосудию и другой информации</w:t>
      </w:r>
      <w:r>
        <w:t xml:space="preserve"> по вопросам</w:t>
      </w:r>
      <w:r w:rsidRPr="00F25EF3">
        <w:t xml:space="preserve"> прав</w:t>
      </w:r>
      <w:r>
        <w:t>а</w:t>
      </w:r>
      <w:r w:rsidRPr="00F25EF3">
        <w:t xml:space="preserve">, </w:t>
      </w:r>
      <w:r>
        <w:t>политики</w:t>
      </w:r>
      <w:r w:rsidRPr="00F25EF3">
        <w:t xml:space="preserve"> и</w:t>
      </w:r>
      <w:r>
        <w:t xml:space="preserve"> государственных записей</w:t>
      </w:r>
      <w:r w:rsidRPr="00F25EF3">
        <w:t>;</w:t>
      </w:r>
    </w:p>
    <w:p w14:paraId="7ECD30DF" w14:textId="77777777" w:rsidR="005A26AF" w:rsidRPr="00831A4A" w:rsidRDefault="005A26AF" w:rsidP="005A26AF">
      <w:pPr>
        <w:pStyle w:val="SingleTxtG"/>
        <w:ind w:firstLine="567"/>
      </w:pPr>
      <w:r w:rsidRPr="00F25EF3">
        <w:t>f)</w:t>
      </w:r>
      <w:r w:rsidRPr="00F25EF3">
        <w:tab/>
        <w:t>виджеты;</w:t>
      </w:r>
    </w:p>
    <w:p w14:paraId="20D8E4CF" w14:textId="77777777" w:rsidR="005A26AF" w:rsidRPr="00831A4A" w:rsidRDefault="005A26AF" w:rsidP="005A26AF">
      <w:pPr>
        <w:pStyle w:val="SingleTxtG"/>
        <w:ind w:firstLine="567"/>
      </w:pPr>
      <w:r w:rsidRPr="00F25EF3">
        <w:t>g)</w:t>
      </w:r>
      <w:r w:rsidRPr="00F25EF3">
        <w:tab/>
        <w:t>мобильные приложения;</w:t>
      </w:r>
    </w:p>
    <w:p w14:paraId="3BCE8E2D" w14:textId="77777777" w:rsidR="005A26AF" w:rsidRPr="00831A4A" w:rsidRDefault="005A26AF" w:rsidP="005A26AF">
      <w:pPr>
        <w:pStyle w:val="SingleTxtG"/>
        <w:ind w:firstLine="567"/>
      </w:pPr>
      <w:r w:rsidRPr="00F25EF3">
        <w:t>h)</w:t>
      </w:r>
      <w:r w:rsidRPr="00F25EF3">
        <w:tab/>
        <w:t xml:space="preserve">социальные сети и </w:t>
      </w:r>
      <w:r>
        <w:t>онлайновые средства массовой информации</w:t>
      </w:r>
      <w:r w:rsidRPr="00F25EF3">
        <w:t>;</w:t>
      </w:r>
    </w:p>
    <w:p w14:paraId="7E3117EE" w14:textId="77777777" w:rsidR="005A26AF" w:rsidRPr="00831A4A" w:rsidRDefault="005A26AF" w:rsidP="005A26AF">
      <w:pPr>
        <w:pStyle w:val="SingleTxtG"/>
        <w:ind w:firstLine="567"/>
      </w:pPr>
      <w:r w:rsidRPr="00F25EF3">
        <w:t>i)</w:t>
      </w:r>
      <w:r w:rsidRPr="00F25EF3">
        <w:tab/>
        <w:t>оповещения по электронной почте;</w:t>
      </w:r>
    </w:p>
    <w:p w14:paraId="3C6FFF85" w14:textId="77777777" w:rsidR="005A26AF" w:rsidRPr="00831A4A" w:rsidRDefault="005A26AF" w:rsidP="005A26AF">
      <w:pPr>
        <w:pStyle w:val="SingleTxtG"/>
        <w:ind w:firstLine="567"/>
      </w:pPr>
      <w:r w:rsidRPr="00F25EF3">
        <w:t>j)</w:t>
      </w:r>
      <w:r w:rsidRPr="00F25EF3">
        <w:tab/>
        <w:t>инструменты для доступа к экологической информации с помощью сканирования штрих-кода или кода быстрого реагирования (QR);</w:t>
      </w:r>
    </w:p>
    <w:p w14:paraId="2FAA671C" w14:textId="77777777" w:rsidR="005A26AF" w:rsidRPr="00831A4A" w:rsidRDefault="005A26AF" w:rsidP="005A26AF">
      <w:pPr>
        <w:pStyle w:val="SingleTxtG"/>
        <w:ind w:firstLine="567"/>
      </w:pPr>
      <w:r w:rsidRPr="00F25EF3">
        <w:t>к)</w:t>
      </w:r>
      <w:r w:rsidRPr="00F25EF3">
        <w:tab/>
        <w:t>инструменты для доступа к экологической информации с помощью сенсорного набора номера;</w:t>
      </w:r>
    </w:p>
    <w:p w14:paraId="37427630" w14:textId="77777777" w:rsidR="005A26AF" w:rsidRPr="00831A4A" w:rsidRDefault="005A26AF" w:rsidP="005A26AF">
      <w:pPr>
        <w:pStyle w:val="SingleTxtG"/>
        <w:ind w:firstLine="567"/>
      </w:pPr>
      <w:r w:rsidRPr="00F25EF3">
        <w:t>l)</w:t>
      </w:r>
      <w:r w:rsidRPr="00F25EF3">
        <w:tab/>
        <w:t>службы коротких сообщений (SMS) и мобильные приложения для обмена сообщениями, включая чат-боты;</w:t>
      </w:r>
    </w:p>
    <w:p w14:paraId="0BBCE130" w14:textId="77777777" w:rsidR="005A26AF" w:rsidRPr="00831A4A" w:rsidRDefault="005A26AF" w:rsidP="005A26AF">
      <w:pPr>
        <w:pStyle w:val="SingleTxtG"/>
        <w:ind w:firstLine="567"/>
      </w:pPr>
      <w:r w:rsidRPr="00F25EF3">
        <w:t>m)</w:t>
      </w:r>
      <w:r w:rsidRPr="00F25EF3">
        <w:tab/>
        <w:t>публичные электронные информационные киоски;</w:t>
      </w:r>
    </w:p>
    <w:p w14:paraId="6817A86E" w14:textId="77777777" w:rsidR="005A26AF" w:rsidRPr="00831A4A" w:rsidRDefault="005A26AF" w:rsidP="005A26AF">
      <w:pPr>
        <w:pStyle w:val="SingleTxtG"/>
        <w:ind w:firstLine="567"/>
      </w:pPr>
      <w:r w:rsidRPr="00F25EF3">
        <w:t>n)</w:t>
      </w:r>
      <w:r w:rsidRPr="00F25EF3">
        <w:tab/>
        <w:t>горячая телефонная линия;</w:t>
      </w:r>
    </w:p>
    <w:p w14:paraId="6EA5746D" w14:textId="77777777" w:rsidR="005A26AF" w:rsidRPr="00831A4A" w:rsidRDefault="005A26AF" w:rsidP="005A26AF">
      <w:pPr>
        <w:pStyle w:val="SingleTxtG"/>
        <w:ind w:firstLine="567"/>
      </w:pPr>
      <w:r w:rsidRPr="00F25EF3">
        <w:lastRenderedPageBreak/>
        <w:t>(o)</w:t>
      </w:r>
      <w:r w:rsidRPr="00F25EF3">
        <w:tab/>
        <w:t>телевизионный телетекст</w:t>
      </w:r>
      <w:r>
        <w:t>.</w:t>
      </w:r>
      <w:r>
        <w:rPr>
          <w:vertAlign w:val="superscript"/>
        </w:rPr>
        <w:footnoteReference w:id="35"/>
      </w:r>
    </w:p>
    <w:p w14:paraId="5C706C16" w14:textId="77777777" w:rsidR="005A26AF" w:rsidRPr="00831A4A" w:rsidRDefault="005A26AF" w:rsidP="005A26AF">
      <w:pPr>
        <w:pStyle w:val="SingleTxtG"/>
      </w:pPr>
      <w:r w:rsidRPr="00F25EF3">
        <w:t>23.</w:t>
      </w:r>
      <w:r w:rsidRPr="00F25EF3">
        <w:tab/>
        <w:t>Разработать, если таковой отсутствует, и постоянно поддерживать и модернизировать экологический портал на основе общенациональной цифровой экологической информационной системы в целях обеспечения эффективного доступа общественности к информации через Интернет, содействия экологическому просвещению и повышению осведомленности, а также поддержки эффективного участия общественности в принятии решений и других общественных мероприятиях по экологическим вопросам (см. главу V добавления к настоящему документу)</w:t>
      </w:r>
      <w:r>
        <w:t>.</w:t>
      </w:r>
    </w:p>
    <w:p w14:paraId="5FEF76CF" w14:textId="77777777" w:rsidR="005A26AF" w:rsidRPr="00831A4A" w:rsidRDefault="005A26AF" w:rsidP="005A26AF">
      <w:pPr>
        <w:pStyle w:val="SingleTxtG"/>
      </w:pPr>
      <w:r w:rsidRPr="00F25EF3">
        <w:t>24.</w:t>
      </w:r>
      <w:r w:rsidRPr="00F25EF3">
        <w:tab/>
        <w:t xml:space="preserve">Обеспечить, чтобы базы данных, реестры, перечни, кадастры и другие ресурсы, содержащие экологическую информацию, перечисленную в разделе III выше, разрабатывались, постоянно поддерживались и преобразовывались, где это возможно, или обновлялись в цифровой форме по </w:t>
      </w:r>
      <w:r>
        <w:t>определению</w:t>
      </w:r>
      <w:r w:rsidRPr="00F25EF3">
        <w:t xml:space="preserve"> в качестве неотъемлемых частей общенациональной цифровой экологической информационной системы. Модульный подход может быть использован для обеспечения автономного обновления различных составных частей по мере необходимости.</w:t>
      </w:r>
    </w:p>
    <w:p w14:paraId="00ADD5D8" w14:textId="77777777" w:rsidR="005A26AF" w:rsidRPr="00831A4A" w:rsidRDefault="005A26AF" w:rsidP="005A26AF">
      <w:pPr>
        <w:pStyle w:val="SingleTxtG"/>
      </w:pPr>
      <w:r w:rsidRPr="00F25EF3">
        <w:t>25.</w:t>
      </w:r>
      <w:r w:rsidRPr="00F25EF3">
        <w:tab/>
        <w:t>Обеспечить, что</w:t>
      </w:r>
      <w:r>
        <w:t>бы</w:t>
      </w:r>
      <w:r w:rsidRPr="00F25EF3">
        <w:t xml:space="preserve"> экологический портал:</w:t>
      </w:r>
    </w:p>
    <w:p w14:paraId="27F16F80" w14:textId="77777777" w:rsidR="005A26AF" w:rsidRPr="00831A4A" w:rsidRDefault="005A26AF" w:rsidP="005A26AF">
      <w:pPr>
        <w:pStyle w:val="SingleTxtG"/>
        <w:ind w:firstLine="567"/>
      </w:pPr>
      <w:r w:rsidRPr="00F25EF3">
        <w:t>a)</w:t>
      </w:r>
      <w:r w:rsidRPr="00F25EF3">
        <w:tab/>
        <w:t>явля</w:t>
      </w:r>
      <w:r>
        <w:t>л</w:t>
      </w:r>
      <w:r w:rsidRPr="00F25EF3">
        <w:t>ся удобным для пользовател</w:t>
      </w:r>
      <w:r>
        <w:t>ей</w:t>
      </w:r>
      <w:r w:rsidRPr="00F25EF3">
        <w:t>, предусматрива</w:t>
      </w:r>
      <w:r>
        <w:t>л</w:t>
      </w:r>
      <w:r w:rsidRPr="00F25EF3">
        <w:t xml:space="preserve"> пользовательские настройки и явля</w:t>
      </w:r>
      <w:r>
        <w:t>л</w:t>
      </w:r>
      <w:r w:rsidRPr="00F25EF3">
        <w:t>ся доступным;</w:t>
      </w:r>
    </w:p>
    <w:p w14:paraId="744F4588" w14:textId="77777777" w:rsidR="005A26AF" w:rsidRPr="00831A4A" w:rsidRDefault="005A26AF" w:rsidP="005A26AF">
      <w:pPr>
        <w:pStyle w:val="SingleTxtG"/>
        <w:ind w:firstLine="567"/>
      </w:pPr>
      <w:r w:rsidRPr="00F25EF3">
        <w:t>b)</w:t>
      </w:r>
      <w:r w:rsidRPr="00F25EF3">
        <w:tab/>
        <w:t>агрегир</w:t>
      </w:r>
      <w:r>
        <w:t>овал</w:t>
      </w:r>
      <w:r w:rsidRPr="00F25EF3">
        <w:t xml:space="preserve"> данные и информацию, полученн</w:t>
      </w:r>
      <w:r>
        <w:t>ую</w:t>
      </w:r>
      <w:r w:rsidRPr="00F25EF3">
        <w:t xml:space="preserve"> из различных источников, или предоставля</w:t>
      </w:r>
      <w:r>
        <w:t>л</w:t>
      </w:r>
      <w:r w:rsidRPr="00F25EF3">
        <w:t xml:space="preserve"> видимые ссылки на другие тематические порталы (см. главу V добавления к настоящему документу);</w:t>
      </w:r>
    </w:p>
    <w:p w14:paraId="202B7B6A" w14:textId="77777777" w:rsidR="005A26AF" w:rsidRPr="00831A4A" w:rsidRDefault="005A26AF" w:rsidP="005A26AF">
      <w:pPr>
        <w:pStyle w:val="SingleTxtG"/>
        <w:ind w:firstLine="567"/>
      </w:pPr>
      <w:r w:rsidRPr="005F7F58">
        <w:t>c)</w:t>
      </w:r>
      <w:r w:rsidRPr="005F7F58">
        <w:tab/>
        <w:t>поддержива</w:t>
      </w:r>
      <w:r>
        <w:t>л</w:t>
      </w:r>
      <w:r w:rsidRPr="005F7F58">
        <w:t xml:space="preserve"> реализацию национальны</w:t>
      </w:r>
      <w:r>
        <w:t>е</w:t>
      </w:r>
      <w:r w:rsidRPr="005F7F58">
        <w:t xml:space="preserve"> </w:t>
      </w:r>
      <w:r>
        <w:t>рамки</w:t>
      </w:r>
      <w:r w:rsidRPr="005F7F58">
        <w:t xml:space="preserve"> </w:t>
      </w:r>
      <w:r>
        <w:t>«</w:t>
      </w:r>
      <w:r w:rsidRPr="005F7F58">
        <w:t>электронно</w:t>
      </w:r>
      <w:r>
        <w:t>го</w:t>
      </w:r>
      <w:r w:rsidRPr="005F7F58">
        <w:t xml:space="preserve"> правительств</w:t>
      </w:r>
      <w:r>
        <w:t>а»</w:t>
      </w:r>
      <w:r w:rsidRPr="005F7F58">
        <w:t xml:space="preserve">, </w:t>
      </w:r>
      <w:r>
        <w:t>«</w:t>
      </w:r>
      <w:r w:rsidRPr="005F7F58">
        <w:t>открыто</w:t>
      </w:r>
      <w:r>
        <w:t>го</w:t>
      </w:r>
      <w:r w:rsidRPr="005F7F58">
        <w:t xml:space="preserve"> правительств</w:t>
      </w:r>
      <w:r>
        <w:t>а»</w:t>
      </w:r>
      <w:r w:rsidRPr="005F7F58">
        <w:t xml:space="preserve">, </w:t>
      </w:r>
      <w:r>
        <w:t>«</w:t>
      </w:r>
      <w:r w:rsidRPr="005F7F58">
        <w:t>открыты</w:t>
      </w:r>
      <w:r>
        <w:t>х</w:t>
      </w:r>
      <w:r w:rsidRPr="005F7F58">
        <w:t xml:space="preserve"> данны</w:t>
      </w:r>
      <w:r>
        <w:t>х»</w:t>
      </w:r>
      <w:r w:rsidRPr="005F7F58">
        <w:t xml:space="preserve"> и </w:t>
      </w:r>
      <w:r>
        <w:t>«</w:t>
      </w:r>
      <w:r w:rsidRPr="005F7F58">
        <w:t>цифров</w:t>
      </w:r>
      <w:r>
        <w:t>ой</w:t>
      </w:r>
      <w:r w:rsidRPr="005F7F58">
        <w:t xml:space="preserve"> трансформаци</w:t>
      </w:r>
      <w:r>
        <w:t>и»</w:t>
      </w:r>
      <w:r w:rsidRPr="005F7F58">
        <w:t>;</w:t>
      </w:r>
    </w:p>
    <w:p w14:paraId="3F2A5D43" w14:textId="77777777" w:rsidR="005A26AF" w:rsidRPr="00831A4A" w:rsidRDefault="005A26AF" w:rsidP="005A26AF">
      <w:pPr>
        <w:pStyle w:val="SingleTxtG"/>
        <w:ind w:firstLine="567"/>
      </w:pPr>
      <w:r w:rsidRPr="00F730F2">
        <w:t>d)</w:t>
      </w:r>
      <w:r w:rsidRPr="00F730F2">
        <w:tab/>
        <w:t>поддержива</w:t>
      </w:r>
      <w:r>
        <w:t>л</w:t>
      </w:r>
      <w:r w:rsidRPr="00F730F2">
        <w:t xml:space="preserve"> осуществление принципов общей экологической информационной системы (см. главу III добавления к настоящему документу);</w:t>
      </w:r>
    </w:p>
    <w:p w14:paraId="57489F51" w14:textId="77777777" w:rsidR="005A26AF" w:rsidRPr="00831A4A" w:rsidRDefault="005A26AF" w:rsidP="005A26AF">
      <w:pPr>
        <w:pStyle w:val="SingleTxtG"/>
        <w:ind w:firstLine="567"/>
      </w:pPr>
      <w:r w:rsidRPr="00F730F2">
        <w:t>e)</w:t>
      </w:r>
      <w:r w:rsidRPr="00F730F2">
        <w:tab/>
        <w:t>поддержива</w:t>
      </w:r>
      <w:r>
        <w:t>л</w:t>
      </w:r>
      <w:r w:rsidRPr="00F730F2">
        <w:t xml:space="preserve"> внедрение </w:t>
      </w:r>
      <w:r>
        <w:t xml:space="preserve">разработанными </w:t>
      </w:r>
      <w:r w:rsidRPr="00F730F2">
        <w:t>Групп</w:t>
      </w:r>
      <w:r>
        <w:t>ой</w:t>
      </w:r>
      <w:r w:rsidRPr="00F730F2">
        <w:t xml:space="preserve"> </w:t>
      </w:r>
      <w:r>
        <w:t xml:space="preserve">по </w:t>
      </w:r>
      <w:r w:rsidRPr="00F730F2">
        <w:t>наблюдения</w:t>
      </w:r>
      <w:r>
        <w:t>м за</w:t>
      </w:r>
      <w:r w:rsidRPr="00F730F2">
        <w:t xml:space="preserve"> Земл</w:t>
      </w:r>
      <w:r>
        <w:t>ей</w:t>
      </w:r>
      <w:r w:rsidRPr="00F730F2">
        <w:t xml:space="preserve"> принципов по обмену данными и принципов управления данными, охватывающих весь жизненный цикл данных (см. главу II добавления к настоящему документу);</w:t>
      </w:r>
    </w:p>
    <w:p w14:paraId="1814C750" w14:textId="77777777" w:rsidR="005A26AF" w:rsidRPr="00831A4A" w:rsidRDefault="005A26AF" w:rsidP="005A26AF">
      <w:pPr>
        <w:pStyle w:val="SingleTxtG"/>
        <w:ind w:firstLine="567"/>
      </w:pPr>
      <w:r w:rsidRPr="00F730F2">
        <w:t>f)</w:t>
      </w:r>
      <w:r w:rsidRPr="00F730F2">
        <w:tab/>
        <w:t xml:space="preserve">способствует межмашинной коммуникации и взаимодействию со статистическими, </w:t>
      </w:r>
      <w:proofErr w:type="spellStart"/>
      <w:r w:rsidRPr="00F730F2">
        <w:t>геопространственными</w:t>
      </w:r>
      <w:proofErr w:type="spellEnd"/>
      <w:r w:rsidRPr="00F730F2">
        <w:t>, медицинскими и другими информационными системами во всех технических, семантических и правовых аспектах;</w:t>
      </w:r>
    </w:p>
    <w:p w14:paraId="702EF637" w14:textId="77777777" w:rsidR="005A26AF" w:rsidRPr="00831A4A" w:rsidRDefault="005A26AF" w:rsidP="005A26AF">
      <w:pPr>
        <w:pStyle w:val="SingleTxtG"/>
        <w:ind w:firstLine="567"/>
      </w:pPr>
      <w:r w:rsidRPr="00F730F2">
        <w:t>g)</w:t>
      </w:r>
      <w:r w:rsidRPr="00F730F2">
        <w:tab/>
        <w:t>позволяет использовать облачные вычислительные сервисы и другие наилучшие доступные современные цифровые технологии</w:t>
      </w:r>
      <w:r>
        <w:t>.</w:t>
      </w:r>
    </w:p>
    <w:p w14:paraId="54A897FC" w14:textId="77777777" w:rsidR="005A26AF" w:rsidRPr="00831A4A" w:rsidRDefault="005A26AF" w:rsidP="005A26AF">
      <w:pPr>
        <w:pStyle w:val="SingleTxtG"/>
      </w:pPr>
      <w:r w:rsidRPr="005F7F58">
        <w:t>26.</w:t>
      </w:r>
      <w:r w:rsidRPr="005F7F58">
        <w:tab/>
        <w:t>Способствует развитию, постоянному обслуживанию и модернизации онлайн-порталов, обеспечивающих доступ к информационным системам законодательств</w:t>
      </w:r>
      <w:r>
        <w:t>а</w:t>
      </w:r>
      <w:r w:rsidRPr="005F7F58">
        <w:t xml:space="preserve">, </w:t>
      </w:r>
      <w:r>
        <w:t>судебной практики</w:t>
      </w:r>
      <w:r w:rsidRPr="005F7F58">
        <w:t>, законотворчеств</w:t>
      </w:r>
      <w:r>
        <w:t>а</w:t>
      </w:r>
      <w:r w:rsidRPr="005F7F58">
        <w:t>, правосуди</w:t>
      </w:r>
      <w:r>
        <w:t>я</w:t>
      </w:r>
      <w:r w:rsidRPr="005F7F58">
        <w:t xml:space="preserve"> и другим </w:t>
      </w:r>
      <w:r>
        <w:t xml:space="preserve">вопросам </w:t>
      </w:r>
      <w:r w:rsidRPr="005F7F58">
        <w:t>прав</w:t>
      </w:r>
      <w:r>
        <w:t>а</w:t>
      </w:r>
      <w:r w:rsidRPr="005F7F58">
        <w:t>, полити</w:t>
      </w:r>
      <w:r>
        <w:t>ки</w:t>
      </w:r>
      <w:r w:rsidRPr="005F7F58">
        <w:t xml:space="preserve"> и </w:t>
      </w:r>
      <w:r>
        <w:t xml:space="preserve">государственных записей </w:t>
      </w:r>
      <w:r w:rsidRPr="005F7F58">
        <w:t>с использованием наилучших доступных международных стандартов и современных цифровых технологий. Ресурсы таких систем должны быть надлежащим образом классифицированы согласно соответствующим экологическим вопросам и сделаны доступными для общественности в соответствии с Конвенцией через эти порталы и экологический портал</w:t>
      </w:r>
      <w:r>
        <w:t>.</w:t>
      </w:r>
      <w:r>
        <w:rPr>
          <w:vertAlign w:val="superscript"/>
        </w:rPr>
        <w:footnoteReference w:id="36"/>
      </w:r>
    </w:p>
    <w:p w14:paraId="62DB9010" w14:textId="77777777" w:rsidR="005A26AF" w:rsidRPr="00831A4A" w:rsidRDefault="005A26AF" w:rsidP="005A26AF">
      <w:pPr>
        <w:pStyle w:val="SingleTxtG"/>
      </w:pPr>
      <w:r w:rsidRPr="00F730F2">
        <w:t>27.</w:t>
      </w:r>
      <w:r w:rsidRPr="00F730F2">
        <w:tab/>
        <w:t>Для поддержки эффективного участия общественности в принятии решений по экологическим вопросам</w:t>
      </w:r>
      <w:r>
        <w:rPr>
          <w:vertAlign w:val="superscript"/>
        </w:rPr>
        <w:footnoteReference w:id="37"/>
      </w:r>
      <w:r>
        <w:t xml:space="preserve"> </w:t>
      </w:r>
      <w:r w:rsidRPr="00F730F2">
        <w:t xml:space="preserve">можно использовать следующие инструменты, не пренебрегая при этом необходимостью использования традиционных средств </w:t>
      </w:r>
      <w:r w:rsidRPr="00F730F2">
        <w:lastRenderedPageBreak/>
        <w:t>коммуникации, таких как официальные доски объявлений, плакаты на предполагаемых объектах деятельности, уведомления в соответствующих местных, региональных или общенациональных  печатных и онлайн газетах и в телевизионных средствах массовой информации:</w:t>
      </w:r>
    </w:p>
    <w:p w14:paraId="1C3296C6" w14:textId="77777777" w:rsidR="005A26AF" w:rsidRPr="00831A4A" w:rsidRDefault="005A26AF" w:rsidP="005A26AF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5F7F58">
        <w:rPr>
          <w:rFonts w:asciiTheme="majorBidi" w:eastAsia="Arial" w:hAnsiTheme="majorBidi" w:cstheme="majorBidi"/>
          <w:color w:val="000000"/>
        </w:rPr>
        <w:t>a)</w:t>
      </w:r>
      <w:r w:rsidRPr="005F7F58">
        <w:rPr>
          <w:rFonts w:asciiTheme="majorBidi" w:eastAsia="Arial" w:hAnsiTheme="majorBidi" w:cstheme="majorBidi"/>
          <w:color w:val="000000"/>
        </w:rPr>
        <w:tab/>
      </w:r>
      <w:r w:rsidRPr="008C0C0B">
        <w:t xml:space="preserve">электронные доски </w:t>
      </w:r>
      <w:r w:rsidRPr="005F7F58">
        <w:rPr>
          <w:rFonts w:asciiTheme="majorBidi" w:eastAsia="Arial" w:hAnsiTheme="majorBidi" w:cstheme="majorBidi"/>
          <w:color w:val="000000"/>
        </w:rPr>
        <w:t>объявлений государственн</w:t>
      </w:r>
      <w:r>
        <w:rPr>
          <w:rFonts w:asciiTheme="majorBidi" w:eastAsia="Arial" w:hAnsiTheme="majorBidi" w:cstheme="majorBidi"/>
          <w:color w:val="000000"/>
        </w:rPr>
        <w:t>ых</w:t>
      </w:r>
      <w:r w:rsidRPr="005F7F58">
        <w:rPr>
          <w:rFonts w:asciiTheme="majorBidi" w:eastAsia="Arial" w:hAnsiTheme="majorBidi" w:cstheme="majorBidi"/>
          <w:color w:val="000000"/>
        </w:rPr>
        <w:t xml:space="preserve"> органов;</w:t>
      </w:r>
    </w:p>
    <w:p w14:paraId="5BCEDF0D" w14:textId="77777777" w:rsidR="005A26AF" w:rsidRPr="00831A4A" w:rsidRDefault="005A26AF" w:rsidP="005A26AF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5F7F58">
        <w:rPr>
          <w:rFonts w:asciiTheme="majorBidi" w:eastAsia="Arial" w:hAnsiTheme="majorBidi" w:cstheme="majorBidi"/>
          <w:color w:val="000000"/>
        </w:rPr>
        <w:t>b)</w:t>
      </w:r>
      <w:r w:rsidRPr="005F7F58">
        <w:rPr>
          <w:rFonts w:asciiTheme="majorBidi" w:eastAsia="Arial" w:hAnsiTheme="majorBidi" w:cstheme="majorBidi"/>
          <w:color w:val="000000"/>
        </w:rPr>
        <w:tab/>
        <w:t>общественные консультативные электронные комитеты;</w:t>
      </w:r>
    </w:p>
    <w:p w14:paraId="2A4FED9C" w14:textId="77777777" w:rsidR="005A26AF" w:rsidRPr="00831A4A" w:rsidRDefault="005A26AF" w:rsidP="005A26AF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5F7F58">
        <w:rPr>
          <w:rFonts w:asciiTheme="majorBidi" w:eastAsia="Arial" w:hAnsiTheme="majorBidi" w:cstheme="majorBidi"/>
          <w:color w:val="000000"/>
        </w:rPr>
        <w:t>c)</w:t>
      </w:r>
      <w:r w:rsidRPr="005F7F58">
        <w:rPr>
          <w:rFonts w:asciiTheme="majorBidi" w:eastAsia="Arial" w:hAnsiTheme="majorBidi" w:cstheme="majorBidi"/>
          <w:color w:val="000000"/>
        </w:rPr>
        <w:tab/>
        <w:t>веб-</w:t>
      </w:r>
      <w:r w:rsidRPr="008C0C0B">
        <w:t>совещания</w:t>
      </w:r>
      <w:r w:rsidRPr="005F7F58">
        <w:rPr>
          <w:rFonts w:asciiTheme="majorBidi" w:eastAsia="Arial" w:hAnsiTheme="majorBidi" w:cstheme="majorBidi"/>
          <w:color w:val="000000"/>
        </w:rPr>
        <w:t>;</w:t>
      </w:r>
    </w:p>
    <w:p w14:paraId="575B4520" w14:textId="77777777" w:rsidR="005A26AF" w:rsidRPr="00831A4A" w:rsidRDefault="005A26AF" w:rsidP="005A26AF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5F7F58">
        <w:rPr>
          <w:rFonts w:asciiTheme="majorBidi" w:eastAsia="Arial" w:hAnsiTheme="majorBidi" w:cstheme="majorBidi"/>
          <w:color w:val="000000"/>
        </w:rPr>
        <w:t>d)</w:t>
      </w:r>
      <w:r w:rsidRPr="005F7F58">
        <w:rPr>
          <w:rFonts w:asciiTheme="majorBidi" w:eastAsia="Arial" w:hAnsiTheme="majorBidi" w:cstheme="majorBidi"/>
          <w:color w:val="000000"/>
        </w:rPr>
        <w:tab/>
        <w:t>платформы публичных электронных консультаций;</w:t>
      </w:r>
    </w:p>
    <w:p w14:paraId="6377B317" w14:textId="77777777" w:rsidR="005A26AF" w:rsidRPr="00831A4A" w:rsidRDefault="005A26AF" w:rsidP="005A26AF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5F7F58">
        <w:rPr>
          <w:rFonts w:asciiTheme="majorBidi" w:eastAsia="Arial" w:hAnsiTheme="majorBidi" w:cstheme="majorBidi"/>
          <w:color w:val="000000"/>
        </w:rPr>
        <w:t>e)</w:t>
      </w:r>
      <w:r w:rsidRPr="005F7F58">
        <w:rPr>
          <w:rFonts w:asciiTheme="majorBidi" w:eastAsia="Arial" w:hAnsiTheme="majorBidi" w:cstheme="majorBidi"/>
          <w:color w:val="000000"/>
        </w:rPr>
        <w:tab/>
        <w:t>платформы для электронных петиций;</w:t>
      </w:r>
    </w:p>
    <w:p w14:paraId="021E6ABA" w14:textId="77777777" w:rsidR="005A26AF" w:rsidRPr="00831A4A" w:rsidRDefault="005A26AF" w:rsidP="005A26AF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5F7F58">
        <w:rPr>
          <w:rFonts w:asciiTheme="majorBidi" w:eastAsia="Arial" w:hAnsiTheme="majorBidi" w:cstheme="majorBidi"/>
          <w:color w:val="000000"/>
        </w:rPr>
        <w:t>f)</w:t>
      </w:r>
      <w:r w:rsidRPr="005F7F58">
        <w:rPr>
          <w:rFonts w:asciiTheme="majorBidi" w:eastAsia="Arial" w:hAnsiTheme="majorBidi" w:cstheme="majorBidi"/>
          <w:color w:val="000000"/>
        </w:rPr>
        <w:tab/>
        <w:t xml:space="preserve">группы в социальных </w:t>
      </w:r>
      <w:r w:rsidRPr="008C0C0B">
        <w:t>сетях</w:t>
      </w:r>
      <w:r w:rsidRPr="005F7F58">
        <w:rPr>
          <w:rFonts w:asciiTheme="majorBidi" w:eastAsia="Arial" w:hAnsiTheme="majorBidi" w:cstheme="majorBidi"/>
          <w:color w:val="000000"/>
        </w:rPr>
        <w:t>;</w:t>
      </w:r>
    </w:p>
    <w:p w14:paraId="63F10E3A" w14:textId="77777777" w:rsidR="005A26AF" w:rsidRPr="00831A4A" w:rsidRDefault="005A26AF" w:rsidP="005A26AF">
      <w:pPr>
        <w:pStyle w:val="SingleTxtG"/>
        <w:ind w:firstLine="567"/>
        <w:rPr>
          <w:rFonts w:asciiTheme="majorBidi" w:eastAsia="Arial" w:hAnsiTheme="majorBidi" w:cstheme="majorBidi"/>
          <w:color w:val="000000"/>
        </w:rPr>
      </w:pPr>
      <w:r w:rsidRPr="005F7F58">
        <w:rPr>
          <w:rFonts w:asciiTheme="majorBidi" w:hAnsiTheme="majorBidi" w:cstheme="majorBidi"/>
        </w:rPr>
        <w:t>g)</w:t>
      </w:r>
      <w:r w:rsidRPr="005F7F58">
        <w:rPr>
          <w:rFonts w:asciiTheme="majorBidi" w:hAnsiTheme="majorBidi" w:cstheme="majorBidi"/>
        </w:rPr>
        <w:tab/>
        <w:t>мобильные приложения для обмена сообщениями, включая чат-боты;</w:t>
      </w:r>
    </w:p>
    <w:p w14:paraId="31BBAACE" w14:textId="77777777" w:rsidR="005A26AF" w:rsidRPr="00831A4A" w:rsidRDefault="005A26AF" w:rsidP="005A26AF">
      <w:pPr>
        <w:pStyle w:val="SingleTxtG"/>
        <w:ind w:firstLine="567"/>
      </w:pPr>
      <w:r w:rsidRPr="005F7F58">
        <w:t>h)</w:t>
      </w:r>
      <w:r w:rsidRPr="005F7F58">
        <w:tab/>
        <w:t>телеконференции</w:t>
      </w:r>
      <w:r>
        <w:t>.</w:t>
      </w:r>
    </w:p>
    <w:p w14:paraId="07946241" w14:textId="77777777" w:rsidR="005A26AF" w:rsidRPr="00831A4A" w:rsidRDefault="005A26AF" w:rsidP="005A26AF">
      <w:pPr>
        <w:pStyle w:val="SingleTxtG"/>
      </w:pPr>
      <w:r w:rsidRPr="00C41F28">
        <w:t>28.</w:t>
      </w:r>
      <w:r w:rsidRPr="00C41F28">
        <w:tab/>
        <w:t xml:space="preserve">В случае возникновения </w:t>
      </w:r>
      <w:r>
        <w:t>любой надвигающейся</w:t>
      </w:r>
      <w:r w:rsidRPr="00C41F28">
        <w:t xml:space="preserve"> угрозы здоровью человека или окружающей среде обеспечить немедленное и безотлагательное распространение всей информации </w:t>
      </w:r>
      <w:r>
        <w:t>общественности</w:t>
      </w:r>
      <w:r w:rsidRPr="00C41F28">
        <w:t>, котор</w:t>
      </w:r>
      <w:r>
        <w:t>ая</w:t>
      </w:r>
      <w:r w:rsidRPr="00C41F28">
        <w:t xml:space="preserve"> может быть затронуто.</w:t>
      </w:r>
      <w:r>
        <w:rPr>
          <w:vertAlign w:val="superscript"/>
        </w:rPr>
        <w:footnoteReference w:id="38"/>
      </w:r>
      <w:r w:rsidRPr="00C41F28">
        <w:t xml:space="preserve"> Поощрять создание много</w:t>
      </w:r>
      <w:r>
        <w:t>аспектной</w:t>
      </w:r>
      <w:r w:rsidRPr="00C41F28">
        <w:t xml:space="preserve"> системы раннего предупреждения об опасности; использование телефонных номеров экстренной помощи, мобильных приложений обмена сообщениями, включая чат-боты, радиосетей экстренной связи, средств массовой информации, включая традиционные средства и социальные сети, онлайн-порталов и мобильных приложений, используемых для регулярного распространения экологической информации с целью предоставления информации в случае </w:t>
      </w:r>
      <w:r>
        <w:t>надвигающейся</w:t>
      </w:r>
      <w:r w:rsidRPr="00C41F28">
        <w:t xml:space="preserve"> угроз</w:t>
      </w:r>
      <w:r>
        <w:t>е</w:t>
      </w:r>
      <w:r w:rsidRPr="00C41F28">
        <w:t xml:space="preserve"> здоровью человека или окружающей среде в формах и форматах, удовлетворяющих потребности различных пользователей</w:t>
      </w:r>
      <w:r>
        <w:t>.</w:t>
      </w:r>
    </w:p>
    <w:p w14:paraId="6289FAAE" w14:textId="77777777" w:rsidR="005A26AF" w:rsidRPr="00831A4A" w:rsidRDefault="005A26AF" w:rsidP="005A26AF">
      <w:pPr>
        <w:pStyle w:val="SingleTxtG"/>
      </w:pPr>
      <w:r w:rsidRPr="00C41F28">
        <w:t>29.</w:t>
      </w:r>
      <w:r w:rsidRPr="00C41F28">
        <w:tab/>
        <w:t>Электронные информаци</w:t>
      </w:r>
      <w:r>
        <w:t>онные</w:t>
      </w:r>
      <w:r w:rsidRPr="00C41F28">
        <w:t xml:space="preserve"> средства постепенно должны содержать открытый интерфейс прикладного программирования для предоставления соответствующих данных и метаданных, подкрепленный четкой технической документацией, которая является полной и доступной в режиме онлайн. Настройка и использование интерфейса прикладного программирования должны основываться на нескольких принципах: доступность, стабильность, обслуживание в течение всего жизненного цикла, единообразие использования и стандартов, удобство для пользователя и безопасность. Если открытые интерфейсы прикладного программирования невозможны, электронные информационные средства должны содержать </w:t>
      </w:r>
      <w:r>
        <w:t xml:space="preserve">об этом </w:t>
      </w:r>
      <w:r w:rsidRPr="00C41F28">
        <w:t>общедоступное обоснование</w:t>
      </w:r>
      <w:r>
        <w:t>.</w:t>
      </w:r>
    </w:p>
    <w:p w14:paraId="6262BF59" w14:textId="77777777" w:rsidR="005A26AF" w:rsidRPr="00831A4A" w:rsidRDefault="005A26AF" w:rsidP="005A26AF">
      <w:pPr>
        <w:pStyle w:val="SingleTxtG"/>
      </w:pPr>
      <w:r w:rsidRPr="005F7F58">
        <w:t>30.</w:t>
      </w:r>
      <w:r w:rsidRPr="005F7F58">
        <w:tab/>
        <w:t>Обеспечить наличие машиночитаемых, удобных для пользователя и открытых форматов данных и информации, перечисленных в разделе III выше, таким образом, чтобы они могли совместно использоваться и использоваться повторно (см. главу IV добавления к настоящему документу).</w:t>
      </w:r>
    </w:p>
    <w:p w14:paraId="0153A6E2" w14:textId="77777777" w:rsidR="005A26AF" w:rsidRPr="00831A4A" w:rsidRDefault="005A26AF" w:rsidP="005A26AF">
      <w:pPr>
        <w:pStyle w:val="SingleTxtG"/>
      </w:pPr>
      <w:r w:rsidRPr="005F7F58">
        <w:t>31.</w:t>
      </w:r>
      <w:r w:rsidRPr="005F7F58">
        <w:tab/>
        <w:t xml:space="preserve">Обеспечить непрерывное обслуживание и обновление электронных </w:t>
      </w:r>
      <w:r>
        <w:t xml:space="preserve">информационных </w:t>
      </w:r>
      <w:r w:rsidRPr="005F7F58">
        <w:t>средств</w:t>
      </w:r>
      <w:r>
        <w:t xml:space="preserve"> </w:t>
      </w:r>
      <w:r w:rsidRPr="005F7F58">
        <w:t>и их содержания, в том числе ссылок, информации о достоверности источников информации и датах последних обновлений. Если государственный орган больше не может предоставлять определенную экологическую информацию или электронные информаци</w:t>
      </w:r>
      <w:r>
        <w:t>онные</w:t>
      </w:r>
      <w:r w:rsidRPr="005F7F58">
        <w:t xml:space="preserve"> средства для использования или повторного использования или должен прекратить обновление этой информации или этих средств, он должен сделать это известным</w:t>
      </w:r>
      <w:r>
        <w:t xml:space="preserve"> общественности</w:t>
      </w:r>
      <w:r w:rsidRPr="005F7F58">
        <w:t xml:space="preserve"> и при первой же возможности указать причины </w:t>
      </w:r>
      <w:r>
        <w:t xml:space="preserve">при помощи </w:t>
      </w:r>
      <w:r w:rsidRPr="005F7F58">
        <w:t>электронных средств связи, где это возможно.</w:t>
      </w:r>
    </w:p>
    <w:p w14:paraId="0135CEA6" w14:textId="77777777" w:rsidR="005A26AF" w:rsidRPr="00831A4A" w:rsidRDefault="005A26AF" w:rsidP="005A26AF">
      <w:pPr>
        <w:pStyle w:val="SingleTxtG"/>
      </w:pPr>
      <w:r w:rsidRPr="003D4271">
        <w:t>32.</w:t>
      </w:r>
      <w:r w:rsidRPr="003D4271">
        <w:tab/>
        <w:t xml:space="preserve">Поощрять и поддерживать усилия по разработке методологий, мобильных приложений и инструментов для предоставления общественности доступной, всеобъемлющей, актуальной и сопоставимой информации о воздействии продуктов на </w:t>
      </w:r>
      <w:r w:rsidRPr="003D4271">
        <w:lastRenderedPageBreak/>
        <w:t>окружающую среду, позволяющей потребителям делать осознанный экологический выбор.</w:t>
      </w:r>
    </w:p>
    <w:p w14:paraId="08455FAC" w14:textId="7E8224D8" w:rsidR="005A26AF" w:rsidRPr="00831A4A" w:rsidRDefault="005A26AF" w:rsidP="005A26AF">
      <w:pPr>
        <w:pStyle w:val="SingleTxtG"/>
      </w:pPr>
      <w:bookmarkStart w:id="43" w:name="_heading=h.2et92p0"/>
      <w:bookmarkEnd w:id="43"/>
      <w:r w:rsidRPr="003D4271">
        <w:t>33.</w:t>
      </w:r>
      <w:r w:rsidRPr="003D4271">
        <w:tab/>
        <w:t xml:space="preserve">Поощрять использование пилотных и лабораторных проектов и современных процессов вовлечения общественности для разработки и модернизации электронных </w:t>
      </w:r>
      <w:r>
        <w:t>информационных</w:t>
      </w:r>
      <w:r w:rsidRPr="003D4271">
        <w:t xml:space="preserve"> </w:t>
      </w:r>
      <w:r>
        <w:t xml:space="preserve">средств </w:t>
      </w:r>
      <w:r w:rsidRPr="003D4271">
        <w:t>или применения новых или появляющихся цифровых технологий, включая облачные вычислительные сервисы, кубы данных</w:t>
      </w:r>
      <w:r w:rsidR="00144427" w:rsidRPr="00144427">
        <w:t xml:space="preserve"> </w:t>
      </w:r>
      <w:r w:rsidR="00144427">
        <w:t xml:space="preserve">с </w:t>
      </w:r>
      <w:r w:rsidR="00144427" w:rsidRPr="003D4271">
        <w:t>открыты</w:t>
      </w:r>
      <w:r w:rsidR="00144427">
        <w:t>м исходным кодом</w:t>
      </w:r>
      <w:r w:rsidRPr="003D4271">
        <w:t xml:space="preserve">, искусственный интеллект, машинное обучение, </w:t>
      </w:r>
      <w:proofErr w:type="spellStart"/>
      <w:r w:rsidRPr="003D4271">
        <w:t>блокчейн</w:t>
      </w:r>
      <w:proofErr w:type="spellEnd"/>
      <w:r w:rsidRPr="003D4271">
        <w:t>, связанные данные, интеллектуальный анализ текста, автономные технологии для дронов и других беспилотных летательных аппаратов, а также интернет устройства.</w:t>
      </w:r>
    </w:p>
    <w:p w14:paraId="6873EC49" w14:textId="77777777" w:rsidR="005A26AF" w:rsidRPr="00831A4A" w:rsidRDefault="005A26AF" w:rsidP="005A26AF">
      <w:pPr>
        <w:pStyle w:val="HChG"/>
      </w:pPr>
      <w:r>
        <w:tab/>
        <w:t>V.</w:t>
      </w:r>
      <w:r>
        <w:tab/>
        <w:t xml:space="preserve">Вовлечение общественности, операторов деятельности и других заинтересованных сторон </w:t>
      </w:r>
    </w:p>
    <w:p w14:paraId="423C90D2" w14:textId="77777777" w:rsidR="005A26AF" w:rsidRPr="00831A4A" w:rsidRDefault="005A26AF" w:rsidP="005A26AF">
      <w:pPr>
        <w:pStyle w:val="SingleTxtG"/>
      </w:pPr>
      <w:r w:rsidRPr="003D4271">
        <w:t>34.</w:t>
      </w:r>
      <w:r w:rsidRPr="003D4271">
        <w:tab/>
        <w:t xml:space="preserve">Обеспечить возможности для участия общественности в </w:t>
      </w:r>
      <w:r>
        <w:t>планировании</w:t>
      </w:r>
      <w:r w:rsidRPr="003D4271">
        <w:t xml:space="preserve">, разработке и модернизации электронных </w:t>
      </w:r>
      <w:r>
        <w:t xml:space="preserve">информационных </w:t>
      </w:r>
      <w:r w:rsidRPr="003D4271">
        <w:t xml:space="preserve">средств с учетом </w:t>
      </w:r>
      <w:r>
        <w:t>надлежащей</w:t>
      </w:r>
      <w:r w:rsidRPr="003D4271">
        <w:t xml:space="preserve"> практики для обеспечения удовлетворения потребностей различных пользователей</w:t>
      </w:r>
      <w:r>
        <w:t>.</w:t>
      </w:r>
    </w:p>
    <w:p w14:paraId="288CA307" w14:textId="77777777" w:rsidR="005A26AF" w:rsidRPr="00831A4A" w:rsidRDefault="005A26AF" w:rsidP="005A26AF">
      <w:pPr>
        <w:pStyle w:val="SingleTxtG"/>
      </w:pPr>
      <w:r w:rsidRPr="003D4271">
        <w:t>35.</w:t>
      </w:r>
      <w:r w:rsidRPr="003D4271">
        <w:tab/>
        <w:t>Принять надлежащие меры в соответствии с наилучшими имеющимися международными стандартами для того, чтобы электронные информаци</w:t>
      </w:r>
      <w:r>
        <w:t>онные</w:t>
      </w:r>
      <w:r w:rsidRPr="003D4271">
        <w:t xml:space="preserve"> средства были более доступными для пользователей, в частности, для пожилых людей, инвалидов, лиц с низкими навыками грамотности или лиц, сталкивающихся с языковыми барьерами, и других лиц, находящихся в уязвимом положении, - сделав их удобными для пользователя, работоспособными, понятными и надежными.</w:t>
      </w:r>
    </w:p>
    <w:p w14:paraId="36571C1C" w14:textId="77777777" w:rsidR="005A26AF" w:rsidRPr="00831A4A" w:rsidRDefault="005A26AF" w:rsidP="005A26AF">
      <w:pPr>
        <w:pStyle w:val="SingleTxtG"/>
      </w:pPr>
      <w:r w:rsidRPr="003D4271">
        <w:t>36.</w:t>
      </w:r>
      <w:r w:rsidRPr="003D4271">
        <w:tab/>
        <w:t xml:space="preserve">Внедрить </w:t>
      </w:r>
      <w:r>
        <w:t xml:space="preserve">ознакомление </w:t>
      </w:r>
      <w:r w:rsidRPr="003D4271">
        <w:t>различных типов потенциальных пользователей (например, лиц, принимающих решения, научного сообщества и исследователей, специалистов в области образования, операторов</w:t>
      </w:r>
      <w:r>
        <w:t xml:space="preserve"> деятельности</w:t>
      </w:r>
      <w:r w:rsidRPr="003D4271">
        <w:t xml:space="preserve">, журналистов, НПО, содействующих охране окружающей среды, </w:t>
      </w:r>
      <w:proofErr w:type="spellStart"/>
      <w:r w:rsidRPr="003D4271">
        <w:t>Орхусских</w:t>
      </w:r>
      <w:proofErr w:type="spellEnd"/>
      <w:r w:rsidRPr="003D4271">
        <w:t xml:space="preserve"> центров, коренных народов, детей и молодежи, других групп общественности с конкретными интересами), разработанн</w:t>
      </w:r>
      <w:r>
        <w:t>ое</w:t>
      </w:r>
      <w:r w:rsidRPr="003D4271">
        <w:t xml:space="preserve"> для каждого электронного </w:t>
      </w:r>
      <w:r>
        <w:t>информационные средства</w:t>
      </w:r>
      <w:r w:rsidRPr="003D4271">
        <w:t xml:space="preserve">. </w:t>
      </w:r>
    </w:p>
    <w:p w14:paraId="46DE2C79" w14:textId="77777777" w:rsidR="005A26AF" w:rsidRPr="00831A4A" w:rsidRDefault="005A26AF" w:rsidP="005A26AF">
      <w:pPr>
        <w:pStyle w:val="SingleTxtG"/>
      </w:pPr>
      <w:bookmarkStart w:id="44" w:name="_Hlk42763991"/>
      <w:r w:rsidRPr="003D4271">
        <w:t>37.</w:t>
      </w:r>
      <w:r w:rsidRPr="003D4271">
        <w:tab/>
        <w:t xml:space="preserve">Обеспечить, чтобы электронные </w:t>
      </w:r>
      <w:r>
        <w:t xml:space="preserve">информационные </w:t>
      </w:r>
      <w:r w:rsidRPr="003D4271">
        <w:t>средства имели механизм обратной связи с пользователями с открытым исходным кодом, который предоставляет возможность всем заинтересованным пользователям комментировать доступность данных и информации, качество, устойчивость использования и повторного использования, а также вопросы или события, обусловливающие интерпретацию данных</w:t>
      </w:r>
      <w:bookmarkEnd w:id="44"/>
      <w:r w:rsidRPr="003D4271">
        <w:t>.</w:t>
      </w:r>
    </w:p>
    <w:p w14:paraId="545CF0AD" w14:textId="77777777" w:rsidR="005A26AF" w:rsidRPr="00831A4A" w:rsidRDefault="005A26AF" w:rsidP="005A26AF">
      <w:pPr>
        <w:pStyle w:val="SingleTxtG"/>
      </w:pPr>
      <w:r w:rsidRPr="003D4271">
        <w:t>38.</w:t>
      </w:r>
      <w:r w:rsidRPr="003D4271">
        <w:tab/>
        <w:t xml:space="preserve">Содействовать использованию и повторному использованию экологической информации общественностью и другими заинтересованными сторонами путем организации </w:t>
      </w:r>
      <w:proofErr w:type="spellStart"/>
      <w:r w:rsidRPr="003D4271">
        <w:t>хакатонов</w:t>
      </w:r>
      <w:proofErr w:type="spellEnd"/>
      <w:r w:rsidRPr="003D4271">
        <w:t xml:space="preserve">, форумов, рекламных кампаний, инкубаторов </w:t>
      </w:r>
      <w:r>
        <w:t xml:space="preserve">для </w:t>
      </w:r>
      <w:r w:rsidRPr="003D4271">
        <w:t xml:space="preserve">стартапов, государственно-частного партнерства и других форм взаимодействия. </w:t>
      </w:r>
    </w:p>
    <w:p w14:paraId="0C8A0B12" w14:textId="77777777" w:rsidR="005A26AF" w:rsidRPr="00831A4A" w:rsidRDefault="005A26AF" w:rsidP="005A26AF">
      <w:pPr>
        <w:pStyle w:val="SingleTxtG"/>
      </w:pPr>
      <w:r w:rsidRPr="003D4271">
        <w:t>39.</w:t>
      </w:r>
      <w:r w:rsidRPr="003D4271">
        <w:tab/>
        <w:t>Поощрять сбор</w:t>
      </w:r>
      <w:r>
        <w:t xml:space="preserve"> знаний местного населения</w:t>
      </w:r>
      <w:r w:rsidRPr="003D4271">
        <w:t xml:space="preserve"> и коренных</w:t>
      </w:r>
      <w:r>
        <w:t xml:space="preserve"> народов</w:t>
      </w:r>
      <w:r w:rsidRPr="003D4271">
        <w:t>, гражданской науки и краудсорсинговых данных, предоставляемых или генерируемых представителями общественности через обсерватории гражданской науки или другие соответствующие инициативы, а также содействовать совместимости таких данных в соответствии с наилучшими имеющимися международными стандартами.</w:t>
      </w:r>
    </w:p>
    <w:p w14:paraId="26D76C6F" w14:textId="77777777" w:rsidR="005A26AF" w:rsidRPr="00831A4A" w:rsidRDefault="005A26AF" w:rsidP="005A26AF">
      <w:pPr>
        <w:pStyle w:val="SingleTxtG"/>
      </w:pPr>
      <w:r w:rsidRPr="003D4271">
        <w:t>40.</w:t>
      </w:r>
      <w:r w:rsidRPr="003D4271">
        <w:tab/>
        <w:t>Содействовать обеспечению доступности, повторного использования и совместимости исследовательских данных с учетом принципов управления научными данными и их рационального использования, а также других наилучших имеющихся международных стандартов (см. главы II-IV добавления к настоящему документу).</w:t>
      </w:r>
    </w:p>
    <w:p w14:paraId="3167AF53" w14:textId="77777777" w:rsidR="005A26AF" w:rsidRPr="00831A4A" w:rsidRDefault="005A26AF" w:rsidP="005A26AF">
      <w:pPr>
        <w:pStyle w:val="SingleTxtG"/>
      </w:pPr>
      <w:r w:rsidRPr="002A4779">
        <w:t>41.</w:t>
      </w:r>
      <w:r w:rsidRPr="002A4779">
        <w:tab/>
        <w:t>Поощрять операторов, деятельность которых оказывает значительное воздействие на окружающую среду, разрабатывать и использовать в соответствующих случаях веб-приложения, мобильные приложения и приложения для социальных сетей с учетом наилучших имеющихся современных цифровых технологий, а также международных стандартов совместимости  и других стандартов (см. пункт 33 выше и главу IV добавления к настоящему документу)</w:t>
      </w:r>
      <w:r>
        <w:t xml:space="preserve"> для:</w:t>
      </w:r>
    </w:p>
    <w:p w14:paraId="71BDC430" w14:textId="77777777" w:rsidR="005A26AF" w:rsidRPr="00831A4A" w:rsidRDefault="005A26AF" w:rsidP="005A26AF">
      <w:pPr>
        <w:pStyle w:val="SingleTxtG"/>
        <w:ind w:firstLine="567"/>
      </w:pPr>
      <w:r w:rsidRPr="003D4271">
        <w:lastRenderedPageBreak/>
        <w:t>a)</w:t>
      </w:r>
      <w:r w:rsidRPr="003D4271">
        <w:tab/>
        <w:t>регулярно</w:t>
      </w:r>
      <w:r>
        <w:t>го</w:t>
      </w:r>
      <w:r w:rsidRPr="003D4271">
        <w:t xml:space="preserve"> информирова</w:t>
      </w:r>
      <w:r>
        <w:t>ния</w:t>
      </w:r>
      <w:r w:rsidRPr="003D4271">
        <w:t xml:space="preserve"> общественност</w:t>
      </w:r>
      <w:r>
        <w:t>и</w:t>
      </w:r>
      <w:r w:rsidRPr="003D4271">
        <w:t xml:space="preserve"> о воздействии деятельности и продукции операторов на окружающую среду и другой экологической информации, собираемой в соответствии с юридическим обязательством делать это;</w:t>
      </w:r>
    </w:p>
    <w:p w14:paraId="181C58C1" w14:textId="77777777" w:rsidR="005A26AF" w:rsidRPr="00831A4A" w:rsidRDefault="005A26AF" w:rsidP="005A26AF">
      <w:pPr>
        <w:pStyle w:val="SingleTxtG"/>
        <w:ind w:firstLine="567"/>
      </w:pPr>
      <w:r w:rsidRPr="003D4271">
        <w:t>b)</w:t>
      </w:r>
      <w:r w:rsidRPr="003D4271">
        <w:tab/>
        <w:t>регулярно</w:t>
      </w:r>
      <w:r>
        <w:t>го</w:t>
      </w:r>
      <w:r w:rsidRPr="003D4271">
        <w:t xml:space="preserve"> и в случае возникновения любой </w:t>
      </w:r>
      <w:r>
        <w:t>надвигающейся</w:t>
      </w:r>
      <w:r w:rsidRPr="003D4271">
        <w:t xml:space="preserve"> угрозы здоровью человека или окружающей среде предоставлять государственным органам надлежащий поток информации об этих видах деятельности через обязательную систему (см. пункт 13 выше).</w:t>
      </w:r>
      <w:r>
        <w:rPr>
          <w:vertAlign w:val="superscript"/>
        </w:rPr>
        <w:footnoteReference w:id="39"/>
      </w:r>
    </w:p>
    <w:p w14:paraId="1285AC92" w14:textId="77777777" w:rsidR="005A26AF" w:rsidRPr="00831A4A" w:rsidRDefault="005A26AF" w:rsidP="005A26AF">
      <w:pPr>
        <w:pStyle w:val="HChG"/>
      </w:pPr>
      <w:r>
        <w:tab/>
        <w:t>VI.</w:t>
      </w:r>
      <w:r>
        <w:tab/>
        <w:t>Управление, институциональное развитие и укрепление потенциала</w:t>
      </w:r>
    </w:p>
    <w:p w14:paraId="2D3A2951" w14:textId="77777777" w:rsidR="005A26AF" w:rsidRPr="002E0D08" w:rsidRDefault="005A26AF" w:rsidP="005A26AF">
      <w:pPr>
        <w:pStyle w:val="SingleTxtG"/>
      </w:pPr>
      <w:r w:rsidRPr="002E0D08">
        <w:t>42.</w:t>
      </w:r>
      <w:r w:rsidRPr="002E0D08">
        <w:tab/>
        <w:t>Создание в физической и/или виртуальной среде центров экологической информации или эквивалентных им условий, которые будут содействовать доступу общественности к информации и участию общественности в принятии решений по вопросам, касающимся окружающей среды.</w:t>
      </w:r>
    </w:p>
    <w:p w14:paraId="2B4FDED2" w14:textId="77777777" w:rsidR="005A26AF" w:rsidRPr="002E0D08" w:rsidRDefault="005A26AF" w:rsidP="005A26AF">
      <w:pPr>
        <w:pStyle w:val="SingleTxtG"/>
      </w:pPr>
      <w:r w:rsidRPr="002E0D08">
        <w:t>43.</w:t>
      </w:r>
      <w:r w:rsidRPr="002E0D08">
        <w:tab/>
        <w:t xml:space="preserve">Содействовать доступу к хранящейся в электронном виде экологической информации путем создания и поддержания точек доступа в Интернет для местного населения на информационных местах общественного пользования, в том числе в </w:t>
      </w:r>
      <w:proofErr w:type="spellStart"/>
      <w:r w:rsidRPr="002E0D08">
        <w:t>Орхусских</w:t>
      </w:r>
      <w:proofErr w:type="spellEnd"/>
      <w:r w:rsidRPr="002E0D08">
        <w:t xml:space="preserve"> центрах, публичных библиотеках, центрах экологической информации, музеях, архивах и на других местах.</w:t>
      </w:r>
    </w:p>
    <w:p w14:paraId="3223E253" w14:textId="77777777" w:rsidR="005A26AF" w:rsidRPr="002E0D08" w:rsidRDefault="005A26AF" w:rsidP="0015434B">
      <w:pPr>
        <w:pStyle w:val="SingleTxtG"/>
      </w:pPr>
      <w:r w:rsidRPr="002E0D08">
        <w:t>44.</w:t>
      </w:r>
      <w:r w:rsidRPr="002E0D08">
        <w:tab/>
        <w:t xml:space="preserve">Обеспечить, чтобы системы управления «электронным правительством» и «открытыми данными» включали вопросы, касающиеся окружающей среды. </w:t>
      </w:r>
    </w:p>
    <w:p w14:paraId="25AE614C" w14:textId="65C30BEA" w:rsidR="005A26AF" w:rsidRPr="002E0D08" w:rsidRDefault="005A26AF" w:rsidP="005A26AF">
      <w:pPr>
        <w:pStyle w:val="SingleTxtG"/>
      </w:pPr>
      <w:r w:rsidRPr="002E0D08">
        <w:t>45.</w:t>
      </w:r>
      <w:r w:rsidR="0015434B" w:rsidRPr="002E0D08">
        <w:tab/>
      </w:r>
      <w:r w:rsidRPr="002E0D08">
        <w:t>Определение контактных пунктов и управляющих данными, которые будут отвечать за управление информацией, распространение экологической информации и техническое обслуживание электронных информационных средств.</w:t>
      </w:r>
      <w:r w:rsidRPr="002E0D08">
        <w:rPr>
          <w:vertAlign w:val="superscript"/>
        </w:rPr>
        <w:footnoteReference w:id="40"/>
      </w:r>
    </w:p>
    <w:p w14:paraId="2DD75D9A" w14:textId="77777777" w:rsidR="005A26AF" w:rsidRPr="002E0D08" w:rsidRDefault="005A26AF" w:rsidP="005A26AF">
      <w:pPr>
        <w:pStyle w:val="SingleTxtG"/>
      </w:pPr>
      <w:r w:rsidRPr="002E0D08">
        <w:t>46.</w:t>
      </w:r>
      <w:r w:rsidRPr="002E0D08">
        <w:tab/>
        <w:t>Содействовать разработке и более широкому использованию электронных информационных средств, основанных на наилучших имеющихся современных цифровых технологиях, в качестве эффективного инструмента осуществления на практике положений Конвенции, в том числе на основе государственно-частного партнерства.</w:t>
      </w:r>
    </w:p>
    <w:p w14:paraId="3A2EB13E" w14:textId="77777777" w:rsidR="005A26AF" w:rsidRPr="002E0D08" w:rsidRDefault="005A26AF" w:rsidP="005A26AF">
      <w:pPr>
        <w:pStyle w:val="SingleTxtG"/>
      </w:pPr>
      <w:r w:rsidRPr="002E0D08">
        <w:t>47.</w:t>
      </w:r>
      <w:r w:rsidRPr="002E0D08">
        <w:tab/>
        <w:t xml:space="preserve">Развивать кадровый потенциал для использования электронных информационных средств в целях содействия осуществлению Конвенции посредством всеобъемлющих и перспективных учебных и образовательных программ для государственных должностных лиц, научных кругов и исследователей, специалистов в области образования, деловых кругов, журналистов, НПО, содействующих охране окружающей среды, </w:t>
      </w:r>
      <w:proofErr w:type="spellStart"/>
      <w:r w:rsidRPr="002E0D08">
        <w:t>Орхусских</w:t>
      </w:r>
      <w:proofErr w:type="spellEnd"/>
      <w:r w:rsidRPr="002E0D08">
        <w:t xml:space="preserve"> центров, коренных народов, детей и молодежи, женщин и других групп общественности, имеющих конкретные интересы.</w:t>
      </w:r>
    </w:p>
    <w:p w14:paraId="2C525843" w14:textId="77777777" w:rsidR="005A26AF" w:rsidRPr="002E0D08" w:rsidRDefault="005A26AF" w:rsidP="005A26AF">
      <w:pPr>
        <w:pStyle w:val="SingleTxtG"/>
      </w:pPr>
      <w:r w:rsidRPr="002E0D08">
        <w:t>48.</w:t>
      </w:r>
      <w:r w:rsidRPr="002E0D08">
        <w:tab/>
        <w:t>Принимать меры по развитию институционального потенциала органов государственной власти по сбору, обновлению, систематизации и хранению экологических данных и информации в электронной и цифровой формах по определению в общенациональной цифровой экологической информационной системе и распространению их с помощью электронных информационных средств.</w:t>
      </w:r>
    </w:p>
    <w:p w14:paraId="6E10D9C7" w14:textId="77777777" w:rsidR="005A26AF" w:rsidRPr="002E0D08" w:rsidRDefault="005A26AF" w:rsidP="005A26AF">
      <w:pPr>
        <w:pStyle w:val="SingleTxtG"/>
      </w:pPr>
      <w:r w:rsidRPr="002E0D08">
        <w:t>49.</w:t>
      </w:r>
      <w:r w:rsidRPr="002E0D08">
        <w:tab/>
        <w:t>Разработка и применение комплексных экологических образовательных программ и программ укрепления потенциала, которые также охватывают использование электронных информационных средств и наилучших имеющихся современных цифровых технологий.</w:t>
      </w:r>
    </w:p>
    <w:p w14:paraId="177FA686" w14:textId="77777777" w:rsidR="005A26AF" w:rsidRPr="002E0D08" w:rsidRDefault="005A26AF" w:rsidP="005A26AF">
      <w:pPr>
        <w:pStyle w:val="SingleTxtG"/>
      </w:pPr>
      <w:r w:rsidRPr="002E0D08">
        <w:t>50.</w:t>
      </w:r>
      <w:r w:rsidRPr="002E0D08">
        <w:tab/>
        <w:t>Обмен передовым опытом, тематическими исследованиями, результатами проектов и другими полезными материалами посредством информационно-координационного механизма Конвенции (см. раздел VII ниже).</w:t>
      </w:r>
    </w:p>
    <w:p w14:paraId="172426A4" w14:textId="77777777" w:rsidR="005A26AF" w:rsidRPr="002E0D08" w:rsidRDefault="005A26AF" w:rsidP="005A26AF">
      <w:pPr>
        <w:pStyle w:val="HChG"/>
        <w:rPr>
          <w:sz w:val="20"/>
        </w:rPr>
      </w:pPr>
      <w:bookmarkStart w:id="45" w:name="_heading=h.tyjcwt"/>
      <w:bookmarkEnd w:id="45"/>
      <w:r w:rsidRPr="002E0D08">
        <w:rPr>
          <w:sz w:val="20"/>
        </w:rPr>
        <w:lastRenderedPageBreak/>
        <w:tab/>
        <w:t>VII.</w:t>
      </w:r>
      <w:r w:rsidRPr="002E0D08">
        <w:rPr>
          <w:sz w:val="20"/>
        </w:rPr>
        <w:tab/>
        <w:t>Информационно-координационный механизм</w:t>
      </w:r>
    </w:p>
    <w:p w14:paraId="60EB31C0" w14:textId="77777777" w:rsidR="005A26AF" w:rsidRPr="002E0D08" w:rsidRDefault="005A26AF" w:rsidP="005A26AF">
      <w:pPr>
        <w:pStyle w:val="SingleTxtG"/>
      </w:pPr>
      <w:r w:rsidRPr="002E0D08">
        <w:rPr>
          <w:rFonts w:asciiTheme="majorBidi" w:eastAsia="Arial" w:hAnsiTheme="majorBidi" w:cstheme="majorBidi"/>
          <w:color w:val="000000"/>
        </w:rPr>
        <w:t>51.</w:t>
      </w:r>
      <w:r w:rsidRPr="002E0D08">
        <w:rPr>
          <w:rFonts w:asciiTheme="majorBidi" w:eastAsia="Arial" w:hAnsiTheme="majorBidi" w:cstheme="majorBidi"/>
          <w:color w:val="000000"/>
        </w:rPr>
        <w:tab/>
        <w:t>Поддерживать национальный веб-сайт</w:t>
      </w:r>
      <w:bookmarkStart w:id="46" w:name="_Hlk36046954"/>
      <w:r w:rsidRPr="002E0D08">
        <w:rPr>
          <w:rFonts w:asciiTheme="majorBidi" w:eastAsia="Arial" w:hAnsiTheme="majorBidi" w:cstheme="majorBidi"/>
          <w:color w:val="000000"/>
        </w:rPr>
        <w:t xml:space="preserve">, предпочтительно как экологический портал (см. пункт 23 выше и главу V добавления к настоящему документу), </w:t>
      </w:r>
      <w:bookmarkEnd w:id="46"/>
      <w:r w:rsidRPr="002E0D08">
        <w:rPr>
          <w:rFonts w:asciiTheme="majorBidi" w:eastAsia="Arial" w:hAnsiTheme="majorBidi" w:cstheme="majorBidi"/>
          <w:color w:val="000000"/>
        </w:rPr>
        <w:t>содержащий информацию, касающуюся осуществления Конвенции на национальном уровне</w:t>
      </w:r>
      <w:r w:rsidRPr="002E0D08">
        <w:t>, который будет служить национальным узлом информационно-координационного механизма Конвенции</w:t>
      </w:r>
      <w:bookmarkStart w:id="47" w:name="_Hlk36046997"/>
      <w:r w:rsidRPr="002E0D08">
        <w:t xml:space="preserve"> и обеспечивать его связь с секретариатом Конвенции для загрузки на </w:t>
      </w:r>
      <w:bookmarkEnd w:id="47"/>
      <w:r w:rsidRPr="002E0D08">
        <w:t>центральный узел</w:t>
      </w:r>
      <w:r w:rsidRPr="002E0D08">
        <w:rPr>
          <w:rFonts w:asciiTheme="majorBidi" w:eastAsia="Arial" w:hAnsiTheme="majorBidi" w:cstheme="majorBidi"/>
          <w:color w:val="000000"/>
        </w:rPr>
        <w:t>.</w:t>
      </w:r>
    </w:p>
    <w:p w14:paraId="39E07A3A" w14:textId="77777777" w:rsidR="005A26AF" w:rsidRPr="002E0D08" w:rsidRDefault="005A26AF" w:rsidP="005A26AF">
      <w:pPr>
        <w:pStyle w:val="SingleTxtG"/>
      </w:pPr>
      <w:r w:rsidRPr="002E0D08">
        <w:t>52.</w:t>
      </w:r>
      <w:r w:rsidRPr="002E0D08">
        <w:tab/>
        <w:t>Назначить контактные лица, ответственные за сбор, управление и обновление информации, содержащейся в национальном узле, а также за предоставление необходимой информации центральному узлу информационно-координационного механизма Конвенции, и принять меры по распространению среди общественности информации об информационно-координационном механизме.</w:t>
      </w:r>
    </w:p>
    <w:p w14:paraId="5AB54052" w14:textId="159BB362" w:rsidR="00D1462E" w:rsidRPr="002E0D08" w:rsidRDefault="005A26AF" w:rsidP="0015434B">
      <w:pPr>
        <w:pStyle w:val="SingleTxtG"/>
      </w:pPr>
      <w:r w:rsidRPr="002E0D08">
        <w:t>53.</w:t>
      </w:r>
      <w:r w:rsidRPr="002E0D08">
        <w:tab/>
        <w:t>Укреплять потенциал государственных должностных лиц по управлению информацией для национального узла и ее обновлению, а также по предоставлению необходимой информации центральному узлу информационно-координационного механизма.</w:t>
      </w:r>
    </w:p>
    <w:p w14:paraId="113D759F" w14:textId="7DD5FF05" w:rsidR="0015434B" w:rsidRPr="0015434B" w:rsidRDefault="0015434B" w:rsidP="0015434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434B" w:rsidRPr="0015434B" w:rsidSect="004C3C78">
      <w:footnotePr>
        <w:numRestart w:val="eachSect"/>
      </w:footnotePr>
      <w:endnotePr>
        <w:numFmt w:val="decimal"/>
      </w:endnotePr>
      <w:type w:val="continuous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DA9ED" w14:textId="77777777" w:rsidR="005A26AF" w:rsidRPr="00A312BC" w:rsidRDefault="005A26AF" w:rsidP="00A312BC"/>
  </w:endnote>
  <w:endnote w:type="continuationSeparator" w:id="0">
    <w:p w14:paraId="09CA4C1E" w14:textId="77777777" w:rsidR="005A26AF" w:rsidRPr="00A312BC" w:rsidRDefault="005A26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C0A1" w14:textId="77777777" w:rsidR="005A26AF" w:rsidRPr="005A26AF" w:rsidRDefault="005A26AF">
    <w:pPr>
      <w:pStyle w:val="a9"/>
      <w:rPr>
        <w:sz w:val="18"/>
      </w:rPr>
    </w:pPr>
    <w:r w:rsidRPr="005A26AF">
      <w:rPr>
        <w:b/>
        <w:sz w:val="18"/>
      </w:rPr>
      <w:fldChar w:fldCharType="begin"/>
    </w:r>
    <w:r w:rsidRPr="005A26AF">
      <w:rPr>
        <w:b/>
        <w:sz w:val="18"/>
      </w:rPr>
      <w:instrText xml:space="preserve"> PAGE  \* MERGEFORMAT </w:instrText>
    </w:r>
    <w:r w:rsidRPr="005A26AF">
      <w:rPr>
        <w:b/>
        <w:sz w:val="18"/>
      </w:rPr>
      <w:fldChar w:fldCharType="separate"/>
    </w:r>
    <w:r w:rsidRPr="005A26AF">
      <w:rPr>
        <w:b/>
        <w:noProof/>
        <w:sz w:val="18"/>
      </w:rPr>
      <w:t>2</w:t>
    </w:r>
    <w:r w:rsidRPr="005A26A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3836" w14:textId="77777777" w:rsidR="005A26AF" w:rsidRPr="005A26AF" w:rsidRDefault="005A26AF">
    <w:pPr>
      <w:pStyle w:val="a9"/>
      <w:rPr>
        <w:b/>
        <w:sz w:val="18"/>
      </w:rPr>
    </w:pPr>
    <w:r>
      <w:tab/>
    </w:r>
    <w:r w:rsidRPr="005A26AF">
      <w:rPr>
        <w:b/>
        <w:sz w:val="18"/>
      </w:rPr>
      <w:fldChar w:fldCharType="begin"/>
    </w:r>
    <w:r w:rsidRPr="005A26AF">
      <w:rPr>
        <w:b/>
        <w:sz w:val="18"/>
      </w:rPr>
      <w:instrText xml:space="preserve"> PAGE  \* MERGEFORMAT </w:instrText>
    </w:r>
    <w:r w:rsidRPr="005A26AF">
      <w:rPr>
        <w:b/>
        <w:sz w:val="18"/>
      </w:rPr>
      <w:fldChar w:fldCharType="separate"/>
    </w:r>
    <w:r w:rsidRPr="005A26AF">
      <w:rPr>
        <w:b/>
        <w:noProof/>
        <w:sz w:val="18"/>
      </w:rPr>
      <w:t>3</w:t>
    </w:r>
    <w:r w:rsidRPr="005A2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BBD4" w14:textId="653F58C4" w:rsidR="00042B72" w:rsidRPr="005A26AF" w:rsidRDefault="00EC7D11" w:rsidP="00EC7D11">
    <w:pPr>
      <w:spacing w:before="120" w:line="240" w:lineRule="auto"/>
    </w:pPr>
    <w:r>
      <w:rPr>
        <w:rFonts w:ascii="C39T30Lfz" w:hAnsi="C39T30Lfz"/>
        <w:noProof/>
        <w:kern w:val="14"/>
        <w:sz w:val="56"/>
      </w:rPr>
      <w:drawing>
        <wp:anchor distT="0" distB="0" distL="114300" distR="114300" simplePos="0" relativeHeight="251661312" behindDoc="0" locked="0" layoutInCell="1" allowOverlap="1" wp14:anchorId="46F6BF34" wp14:editId="057DC578">
          <wp:simplePos x="0" y="0"/>
          <wp:positionH relativeFrom="column">
            <wp:posOffset>5454650</wp:posOffset>
          </wp:positionH>
          <wp:positionV relativeFrom="paragraph">
            <wp:posOffset>12700</wp:posOffset>
          </wp:positionV>
          <wp:extent cx="628650" cy="628650"/>
          <wp:effectExtent l="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E534B9D" wp14:editId="0C88C8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r w:rsidRPr="00EC7D11">
      <w:t>08452</w:t>
    </w:r>
    <w:r>
      <w:t xml:space="preserve">  (R)</w:t>
    </w:r>
    <w:r>
      <w:t xml:space="preserve"> </w:t>
    </w:r>
    <w:r>
      <w:br/>
    </w:r>
    <w:r w:rsidRPr="00EC7D11">
      <w:rPr>
        <w:rFonts w:ascii="C39T30Lfz" w:hAnsi="C39T30Lfz"/>
        <w:kern w:val="14"/>
        <w:sz w:val="56"/>
      </w:rPr>
      <w:t></w:t>
    </w:r>
    <w:r w:rsidRPr="00EC7D11">
      <w:rPr>
        <w:rFonts w:ascii="C39T30Lfz" w:hAnsi="C39T30Lfz"/>
        <w:kern w:val="14"/>
        <w:sz w:val="56"/>
      </w:rPr>
      <w:t></w:t>
    </w:r>
    <w:r w:rsidRPr="00EC7D11">
      <w:rPr>
        <w:rFonts w:ascii="C39T30Lfz" w:hAnsi="C39T30Lfz"/>
        <w:kern w:val="14"/>
        <w:sz w:val="56"/>
      </w:rPr>
      <w:t></w:t>
    </w:r>
    <w:r w:rsidRPr="00EC7D11">
      <w:rPr>
        <w:rFonts w:ascii="C39T30Lfz" w:hAnsi="C39T30Lfz"/>
        <w:kern w:val="14"/>
        <w:sz w:val="56"/>
      </w:rPr>
      <w:t></w:t>
    </w:r>
    <w:r w:rsidRPr="00EC7D11">
      <w:rPr>
        <w:rFonts w:ascii="C39T30Lfz" w:hAnsi="C39T30Lfz"/>
        <w:kern w:val="14"/>
        <w:sz w:val="56"/>
      </w:rPr>
      <w:t></w:t>
    </w:r>
    <w:r w:rsidRPr="00EC7D11">
      <w:rPr>
        <w:rFonts w:ascii="C39T30Lfz" w:hAnsi="C39T30Lfz"/>
        <w:kern w:val="14"/>
        <w:sz w:val="56"/>
      </w:rPr>
      <w:t></w:t>
    </w:r>
    <w:r w:rsidRPr="00EC7D11">
      <w:rPr>
        <w:rFonts w:ascii="C39T30Lfz" w:hAnsi="C39T30Lfz"/>
        <w:kern w:val="14"/>
        <w:sz w:val="56"/>
      </w:rPr>
      <w:t></w:t>
    </w:r>
    <w:r w:rsidRPr="00EC7D11">
      <w:rPr>
        <w:rFonts w:ascii="C39T30Lfz" w:hAnsi="C39T30Lfz"/>
        <w:kern w:val="14"/>
        <w:sz w:val="56"/>
      </w:rPr>
      <w:t></w:t>
    </w:r>
    <w:r w:rsidRPr="00EC7D11">
      <w:rPr>
        <w:rFonts w:ascii="C39T30Lfz" w:hAnsi="C39T30Lfz"/>
        <w:kern w:val="14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F1DA" w14:textId="77777777" w:rsidR="005A26AF" w:rsidRPr="001075E9" w:rsidRDefault="005A26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A21766" w14:textId="77777777" w:rsidR="005A26AF" w:rsidRDefault="005A26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88E445" w14:textId="48B26C43" w:rsidR="00951988" w:rsidRPr="00144427" w:rsidRDefault="00951988">
      <w:pPr>
        <w:pStyle w:val="ae"/>
      </w:pPr>
      <w:r>
        <w:rPr>
          <w:rStyle w:val="ab"/>
        </w:rPr>
        <w:tab/>
      </w:r>
      <w:r w:rsidRPr="00951988">
        <w:rPr>
          <w:rStyle w:val="ab"/>
          <w:sz w:val="20"/>
          <w:vertAlign w:val="baseline"/>
        </w:rPr>
        <w:t>*</w:t>
      </w:r>
      <w:r>
        <w:rPr>
          <w:rStyle w:val="ab"/>
          <w:sz w:val="20"/>
          <w:vertAlign w:val="baseline"/>
        </w:rPr>
        <w:tab/>
      </w:r>
      <w:r w:rsidRPr="00F25EF3">
        <w:t>Подготовка настоящего документа была поддержана консультантом, обладающим специальными знаниями в области электронных информационных средств, по заказу Секретариата Конвенции.</w:t>
      </w:r>
    </w:p>
  </w:footnote>
  <w:footnote w:id="2">
    <w:p w14:paraId="68F9B400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 xml:space="preserve">Доступно на вкладке с пометкой "Межсессионные документы" по адресу </w:t>
      </w:r>
      <w:hyperlink r:id="rId1" w:history="1">
        <w:r w:rsidRPr="005F25D7">
          <w:rPr>
            <w:rStyle w:val="af2"/>
          </w:rPr>
          <w:t>www.unece.org/env/pp/aarhus/mop6_docs.html</w:t>
        </w:r>
      </w:hyperlink>
      <w:r>
        <w:t>.</w:t>
      </w:r>
    </w:p>
  </w:footnote>
  <w:footnote w:id="3">
    <w:p w14:paraId="4E7B5BA9" w14:textId="77777777" w:rsidR="005A26AF" w:rsidRPr="00831A4A" w:rsidRDefault="005A26AF" w:rsidP="005A26AF">
      <w:pPr>
        <w:pStyle w:val="ae"/>
      </w:pPr>
      <w:r w:rsidRPr="00E77063">
        <w:tab/>
      </w:r>
      <w:r>
        <w:rPr>
          <w:rStyle w:val="ab"/>
        </w:rPr>
        <w:footnoteRef/>
      </w:r>
      <w:r w:rsidRPr="00E77063">
        <w:tab/>
        <w:t xml:space="preserve">Доступно по адресу </w:t>
      </w:r>
      <w:hyperlink r:id="rId2" w:history="1">
        <w:r w:rsidRPr="00C37152">
          <w:rPr>
            <w:rStyle w:val="af2"/>
          </w:rPr>
          <w:t>www.unece.org/index.php?id=50574</w:t>
        </w:r>
      </w:hyperlink>
      <w:r w:rsidRPr="00E77063">
        <w:t>.</w:t>
      </w:r>
    </w:p>
  </w:footnote>
  <w:footnote w:id="4">
    <w:p w14:paraId="6D783F4E" w14:textId="77777777" w:rsidR="005A26AF" w:rsidRPr="00831A4A" w:rsidRDefault="005A26AF" w:rsidP="005A26AF">
      <w:pPr>
        <w:pStyle w:val="ae"/>
      </w:pPr>
      <w:r w:rsidRPr="00C37152">
        <w:tab/>
      </w:r>
      <w:r>
        <w:rPr>
          <w:rStyle w:val="ab"/>
        </w:rPr>
        <w:footnoteRef/>
      </w:r>
      <w:r w:rsidRPr="00C37152">
        <w:tab/>
        <w:t>Если не указано иное, документы, перечисленные в настоящем пункте, можно найти по адресу</w:t>
      </w:r>
      <w:hyperlink r:id="rId3" w:history="1">
        <w:r w:rsidRPr="000C4C4D">
          <w:rPr>
            <w:rStyle w:val="af2"/>
            <w:rFonts w:ascii="inherit" w:hAnsi="inherit"/>
            <w:spacing w:val="-2"/>
            <w:shd w:val="clear" w:color="auto" w:fill="FFFFFF"/>
          </w:rPr>
          <w:t>: www.unece.org/index.php?id=50574</w:t>
        </w:r>
      </w:hyperlink>
      <w:r>
        <w:rPr>
          <w:rStyle w:val="af2"/>
          <w:rFonts w:ascii="inherit" w:hAnsi="inherit"/>
          <w:spacing w:val="-2"/>
          <w:shd w:val="clear" w:color="auto" w:fill="FFFFFF"/>
        </w:rPr>
        <w:t>.</w:t>
      </w:r>
    </w:p>
  </w:footnote>
  <w:footnote w:id="5">
    <w:p w14:paraId="3921762B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 xml:space="preserve">Доступно по адресу </w:t>
      </w:r>
      <w:hyperlink r:id="rId4" w:history="1">
        <w:r w:rsidRPr="000C4C4D">
          <w:rPr>
            <w:rStyle w:val="af2"/>
          </w:rPr>
          <w:t>www.unece.org/env/pp/aarhus/tfai5.html</w:t>
        </w:r>
      </w:hyperlink>
      <w:r w:rsidRPr="000106B9">
        <w:rPr>
          <w:rStyle w:val="af2"/>
        </w:rPr>
        <w:t xml:space="preserve"> .</w:t>
      </w:r>
      <w:r>
        <w:t xml:space="preserve"> </w:t>
      </w:r>
    </w:p>
  </w:footnote>
  <w:footnote w:id="6">
    <w:p w14:paraId="53BF1993" w14:textId="77777777" w:rsidR="005A26AF" w:rsidRPr="00831A4A" w:rsidRDefault="005A26AF" w:rsidP="005A26AF">
      <w:pPr>
        <w:pStyle w:val="ae"/>
      </w:pPr>
      <w:r w:rsidRPr="003964C9">
        <w:tab/>
      </w:r>
      <w:r>
        <w:rPr>
          <w:rStyle w:val="ab"/>
        </w:rPr>
        <w:footnoteRef/>
      </w:r>
      <w:r w:rsidRPr="003964C9">
        <w:tab/>
        <w:t xml:space="preserve">См. </w:t>
      </w:r>
      <w:hyperlink r:id="rId5" w:history="1">
        <w:r w:rsidRPr="000C4C4D">
          <w:rPr>
            <w:rStyle w:val="af2"/>
          </w:rPr>
          <w:t>www.eis-data.eu/</w:t>
        </w:r>
      </w:hyperlink>
      <w:r w:rsidRPr="003964C9">
        <w:t>.</w:t>
      </w:r>
    </w:p>
  </w:footnote>
  <w:footnote w:id="7">
    <w:p w14:paraId="654500F4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 xml:space="preserve">См. </w:t>
      </w:r>
      <w:hyperlink r:id="rId6" w:history="1">
        <w:r>
          <w:rPr>
            <w:rStyle w:val="af2"/>
          </w:rPr>
          <w:t>https://eni-seis.eionet.europa.eu/east</w:t>
        </w:r>
      </w:hyperlink>
      <w:r>
        <w:t xml:space="preserve"> .</w:t>
      </w:r>
    </w:p>
  </w:footnote>
  <w:footnote w:id="8">
    <w:p w14:paraId="234287B4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 xml:space="preserve">Доступно по адресу </w:t>
      </w:r>
      <w:hyperlink r:id="rId7" w:history="1">
        <w:r w:rsidRPr="000C4C4D">
          <w:rPr>
            <w:rStyle w:val="af2"/>
          </w:rPr>
          <w:t>www.unece.org/environmental-policy/conventions/public-participation/aarhus-convention/tfwg/task-force-on-access-to-information/consultation-on-the-recommendations-on-electronic-information-tools.html</w:t>
        </w:r>
      </w:hyperlink>
      <w:r>
        <w:t xml:space="preserve"> .</w:t>
      </w:r>
    </w:p>
  </w:footnote>
  <w:footnote w:id="9">
    <w:p w14:paraId="4A5CCFEB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 xml:space="preserve">Доступно по адресу </w:t>
      </w:r>
      <w:hyperlink r:id="rId8" w:history="1">
        <w:r w:rsidRPr="000C4C4D">
          <w:rPr>
            <w:rStyle w:val="af2"/>
          </w:rPr>
          <w:t>www.unece.org/environmental-policy/conventions/public-participation/aarhus-convention/tfwg/task-force-on-access-to-information/consultation-on-the-recommendations-on-electronic-information-tools.html</w:t>
        </w:r>
      </w:hyperlink>
      <w:r>
        <w:t xml:space="preserve"> .</w:t>
      </w:r>
    </w:p>
  </w:footnote>
  <w:footnote w:id="10">
    <w:p w14:paraId="65A147CE" w14:textId="77777777" w:rsidR="005A26AF" w:rsidRPr="00A96BC8" w:rsidRDefault="005A26AF" w:rsidP="005A26AF">
      <w:pPr>
        <w:pStyle w:val="ae"/>
      </w:pPr>
      <w:r w:rsidRPr="008C0C0B">
        <w:tab/>
      </w:r>
      <w:r w:rsidRPr="008C0C0B">
        <w:rPr>
          <w:rStyle w:val="ab"/>
        </w:rPr>
        <w:footnoteRef/>
      </w:r>
      <w:r w:rsidRPr="008C0C0B">
        <w:tab/>
        <w:t xml:space="preserve">См. также резолюции Совета по правам человека 20/8 о поощрении, защите и осуществлении прав человека в Интернете (см. A/HRC/RES/20/8), 23/2 о роли свободы мнений и их свободного выражения в расширении прав и возможностей женщин (см. A/HRC/RES/23/2) и 31/32 о защите правозащитников, будь то отдельных лиц, групп или органов общества, касающихся экономических, социальных и культурных прав (см. A/HRC/RES/31/32); и пункт 20 Маастрихтских рекомендаций о поощрении эффективного участия общественности в процессе принятия решений по экологическим вопросам (см. ECE/MP.PP/2014/2/Add.2). </w:t>
      </w:r>
    </w:p>
  </w:footnote>
  <w:footnote w:id="11">
    <w:p w14:paraId="774C9714" w14:textId="77777777" w:rsidR="005A26AF" w:rsidRPr="00831A4A" w:rsidRDefault="005A26AF" w:rsidP="005A26AF">
      <w:pPr>
        <w:pStyle w:val="ae"/>
      </w:pPr>
      <w:r>
        <w:tab/>
      </w:r>
      <w:r w:rsidRPr="008C0C0B">
        <w:rPr>
          <w:rStyle w:val="ab"/>
        </w:rPr>
        <w:footnoteRef/>
      </w:r>
      <w:r>
        <w:tab/>
        <w:t>Конвенция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>
        <w:t>Орхусская</w:t>
      </w:r>
      <w:proofErr w:type="spellEnd"/>
      <w:r>
        <w:t xml:space="preserve"> конвенция), статьи 5 (1) (b) и (9).</w:t>
      </w:r>
    </w:p>
  </w:footnote>
  <w:footnote w:id="12">
    <w:p w14:paraId="504CD406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См. ECE/MP.PP/2005/2/Add.4, решение II/ 3, пункт 2; и раздел VII настоящих рекомендаций;</w:t>
      </w:r>
    </w:p>
  </w:footnote>
  <w:footnote w:id="13">
    <w:p w14:paraId="2E6ECA77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 xml:space="preserve">См. формат доклада об осуществлении </w:t>
      </w:r>
      <w:proofErr w:type="spellStart"/>
      <w:r>
        <w:t>Орхусской</w:t>
      </w:r>
      <w:proofErr w:type="spellEnd"/>
      <w:r>
        <w:t xml:space="preserve"> конвенции (</w:t>
      </w:r>
      <w:bookmarkStart w:id="25" w:name="_Hlk43133843"/>
      <w:r>
        <w:t>ECE/MP.PP/2011/2/Add.1</w:t>
      </w:r>
      <w:bookmarkEnd w:id="25"/>
      <w:r>
        <w:t>, решение IV/4, приложение, вопросы XI-XIV).</w:t>
      </w:r>
    </w:p>
  </w:footnote>
  <w:footnote w:id="14">
    <w:p w14:paraId="6B59FA5D" w14:textId="77777777" w:rsidR="005A26AF" w:rsidRPr="00831A4A" w:rsidRDefault="005A26AF" w:rsidP="005A26AF">
      <w:pPr>
        <w:pStyle w:val="ae"/>
      </w:pPr>
      <w:r>
        <w:tab/>
      </w:r>
      <w:r w:rsidRPr="00B328CC">
        <w:rPr>
          <w:rStyle w:val="ab"/>
        </w:rPr>
        <w:footnoteRef/>
      </w:r>
      <w:r>
        <w:tab/>
      </w:r>
      <w:proofErr w:type="spellStart"/>
      <w:r>
        <w:t>Орхусская</w:t>
      </w:r>
      <w:proofErr w:type="spellEnd"/>
      <w:r>
        <w:t xml:space="preserve"> конвенция, статья 5 (3) (а) и (4).</w:t>
      </w:r>
    </w:p>
  </w:footnote>
  <w:footnote w:id="15">
    <w:p w14:paraId="75E6B865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статьи 5 (3) (b), (5) (a) и 8 (b).</w:t>
      </w:r>
    </w:p>
  </w:footnote>
  <w:footnote w:id="16">
    <w:p w14:paraId="2F3CE936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статья 5 (3) (с) и (5) (а).</w:t>
      </w:r>
    </w:p>
  </w:footnote>
  <w:footnote w:id="17">
    <w:p w14:paraId="4ECB9375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bookmarkStart w:id="31" w:name="_Hlk34914918"/>
      <w:r>
        <w:tab/>
        <w:t>Там же, статья 5 (5) (b)</w:t>
      </w:r>
      <w:bookmarkEnd w:id="31"/>
      <w:r>
        <w:t xml:space="preserve"> и (c); и Алматинские руководящие принципы содействия применению принципов </w:t>
      </w:r>
      <w:proofErr w:type="spellStart"/>
      <w:r>
        <w:t>Орхусской</w:t>
      </w:r>
      <w:proofErr w:type="spellEnd"/>
      <w:r>
        <w:t xml:space="preserve"> конвенции на международных форумах (ECE/MP.PP/2005/2/Add.5, приложение). </w:t>
      </w:r>
    </w:p>
  </w:footnote>
  <w:footnote w:id="18">
    <w:p w14:paraId="72E4DD59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</w:r>
      <w:proofErr w:type="spellStart"/>
      <w:r>
        <w:t>Орхусская</w:t>
      </w:r>
      <w:proofErr w:type="spellEnd"/>
      <w:r>
        <w:t xml:space="preserve"> конвенция, статья 5 (9).</w:t>
      </w:r>
    </w:p>
  </w:footnote>
  <w:footnote w:id="19">
    <w:p w14:paraId="510C841C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статьи 5 (3) (d) и 6.</w:t>
      </w:r>
    </w:p>
  </w:footnote>
  <w:footnote w:id="20">
    <w:p w14:paraId="68350BD9" w14:textId="77777777" w:rsidR="005A26AF" w:rsidRPr="00831A4A" w:rsidRDefault="005A26AF" w:rsidP="005A26AF">
      <w:pPr>
        <w:pStyle w:val="ae"/>
      </w:pPr>
      <w:r>
        <w:tab/>
      </w:r>
      <w:r w:rsidRPr="00562D72">
        <w:rPr>
          <w:rStyle w:val="ab"/>
        </w:rPr>
        <w:footnoteRef/>
      </w:r>
      <w:r>
        <w:tab/>
        <w:t>Там же, статьи 5 (3) (d) и 7.</w:t>
      </w:r>
    </w:p>
  </w:footnote>
  <w:footnote w:id="21">
    <w:p w14:paraId="56147054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статья 5 (1) (с).</w:t>
      </w:r>
    </w:p>
  </w:footnote>
  <w:footnote w:id="22">
    <w:p w14:paraId="692620F4" w14:textId="77777777" w:rsidR="005A26AF" w:rsidRPr="00831A4A" w:rsidRDefault="005A26AF" w:rsidP="005A26AF">
      <w:pPr>
        <w:pStyle w:val="ae"/>
      </w:pPr>
      <w:r>
        <w:tab/>
      </w:r>
      <w:r w:rsidRPr="00A75FBB">
        <w:rPr>
          <w:rStyle w:val="ab"/>
        </w:rPr>
        <w:footnoteRef/>
      </w:r>
      <w:r>
        <w:tab/>
        <w:t>Там же, статья 9, в частности пункты 4 и 5.</w:t>
      </w:r>
    </w:p>
  </w:footnote>
  <w:footnote w:id="23">
    <w:p w14:paraId="76CB13B1" w14:textId="77777777" w:rsidR="005A26AF" w:rsidRPr="00831A4A" w:rsidRDefault="005A26AF" w:rsidP="005A26AF">
      <w:pPr>
        <w:pStyle w:val="ae"/>
      </w:pPr>
      <w:r>
        <w:tab/>
      </w:r>
      <w:r w:rsidRPr="00A75FBB">
        <w:rPr>
          <w:rStyle w:val="ab"/>
        </w:rPr>
        <w:footnoteRef/>
      </w:r>
      <w:r>
        <w:tab/>
        <w:t>Там же, статьи 5 (2) (b) и (c), (3) (d), (7) (a) и (9).</w:t>
      </w:r>
    </w:p>
  </w:footnote>
  <w:footnote w:id="24">
    <w:p w14:paraId="67BF7272" w14:textId="77777777" w:rsidR="005A26AF" w:rsidRPr="00831A4A" w:rsidRDefault="005A26AF" w:rsidP="005A26AF">
      <w:pPr>
        <w:pStyle w:val="ae"/>
      </w:pPr>
      <w:r>
        <w:tab/>
      </w:r>
      <w:r w:rsidRPr="00A75FBB">
        <w:rPr>
          <w:rStyle w:val="ab"/>
        </w:rPr>
        <w:footnoteRef/>
      </w:r>
      <w:r>
        <w:tab/>
        <w:t>Там же, статьи 5 (2) (b) и (c), (3) (d), (7) (a) и (9).</w:t>
      </w:r>
    </w:p>
  </w:footnote>
  <w:footnote w:id="25">
    <w:p w14:paraId="36967713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статья 5 (6) и (8).</w:t>
      </w:r>
    </w:p>
  </w:footnote>
  <w:footnote w:id="26">
    <w:p w14:paraId="4562F0D0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 xml:space="preserve"> Там же, статья 5 (7) (b).</w:t>
      </w:r>
    </w:p>
  </w:footnote>
  <w:footnote w:id="27">
    <w:p w14:paraId="7FBD3E64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статья 5 (1) (b) и (9).</w:t>
      </w:r>
    </w:p>
  </w:footnote>
  <w:footnote w:id="28">
    <w:p w14:paraId="1A0F7293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статьи 5 (7) (с) и 9 (3).</w:t>
      </w:r>
    </w:p>
  </w:footnote>
  <w:footnote w:id="29">
    <w:p w14:paraId="5DAB28C6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статьи 5 (2) (b) и (c), (3) (d), (7) (с) и (9).</w:t>
      </w:r>
    </w:p>
  </w:footnote>
  <w:footnote w:id="30">
    <w:p w14:paraId="0A4816B0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статья 5 (2) (b) и (c), (3) и (9).</w:t>
      </w:r>
    </w:p>
  </w:footnote>
  <w:footnote w:id="31">
    <w:p w14:paraId="0A9B20DA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статья 5 (2).</w:t>
      </w:r>
    </w:p>
  </w:footnote>
  <w:footnote w:id="32">
    <w:p w14:paraId="7C480689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статья 5 (3) (а) и (4).</w:t>
      </w:r>
    </w:p>
  </w:footnote>
  <w:footnote w:id="33">
    <w:p w14:paraId="722FB093" w14:textId="77777777" w:rsidR="005A26AF" w:rsidRPr="00831A4A" w:rsidRDefault="005A26AF" w:rsidP="005A26AF">
      <w:pPr>
        <w:pStyle w:val="ae"/>
      </w:pPr>
      <w:r>
        <w:tab/>
      </w:r>
      <w:r w:rsidRPr="00077536">
        <w:rPr>
          <w:rStyle w:val="ab"/>
        </w:rPr>
        <w:footnoteRef/>
      </w:r>
      <w:r>
        <w:tab/>
        <w:t xml:space="preserve">См. </w:t>
      </w:r>
      <w:hyperlink r:id="rId9" w:history="1">
        <w:r w:rsidRPr="00077536">
          <w:rPr>
            <w:rStyle w:val="af2"/>
          </w:rPr>
          <w:t>http://www.unece.org/env/europe/monitoring/iandr_en.html</w:t>
        </w:r>
      </w:hyperlink>
      <w:r>
        <w:rPr>
          <w:rStyle w:val="af2"/>
        </w:rPr>
        <w:t xml:space="preserve"> .</w:t>
      </w:r>
    </w:p>
  </w:footnote>
  <w:footnote w:id="34">
    <w:p w14:paraId="2A95EC84" w14:textId="77777777" w:rsidR="005A26AF" w:rsidRPr="00831A4A" w:rsidRDefault="005A26AF" w:rsidP="005A26AF">
      <w:pPr>
        <w:pStyle w:val="ae"/>
      </w:pPr>
      <w:r w:rsidRPr="00FC19E2">
        <w:tab/>
      </w:r>
      <w:r>
        <w:rPr>
          <w:rStyle w:val="ab"/>
        </w:rPr>
        <w:footnoteRef/>
      </w:r>
      <w:r w:rsidRPr="00FC19E2">
        <w:tab/>
        <w:t xml:space="preserve">См. ECE/MP.PP/2017/2/Add.1, решение VI/1, пункт 3.  </w:t>
      </w:r>
    </w:p>
  </w:footnote>
  <w:footnote w:id="35">
    <w:p w14:paraId="549F5A32" w14:textId="77777777" w:rsidR="005A26AF" w:rsidRPr="00831A4A" w:rsidRDefault="005A26AF" w:rsidP="005A26AF">
      <w:pPr>
        <w:pStyle w:val="ae"/>
      </w:pPr>
      <w:r>
        <w:tab/>
      </w:r>
      <w:r w:rsidRPr="002E6CF2">
        <w:rPr>
          <w:rStyle w:val="ab"/>
        </w:rPr>
        <w:footnoteRef/>
      </w:r>
      <w:r>
        <w:tab/>
      </w:r>
      <w:proofErr w:type="spellStart"/>
      <w:r>
        <w:t>Орхусская</w:t>
      </w:r>
      <w:proofErr w:type="spellEnd"/>
      <w:r>
        <w:t xml:space="preserve"> конвенция, статья 5 (9).</w:t>
      </w:r>
    </w:p>
  </w:footnote>
  <w:footnote w:id="36">
    <w:p w14:paraId="00540CA1" w14:textId="77777777" w:rsidR="005A26AF" w:rsidRPr="00831A4A" w:rsidRDefault="005A26AF" w:rsidP="005A26AF">
      <w:pPr>
        <w:pStyle w:val="ae"/>
      </w:pPr>
      <w:r>
        <w:tab/>
      </w:r>
      <w:r w:rsidRPr="00B328CC">
        <w:rPr>
          <w:rStyle w:val="ab"/>
        </w:rPr>
        <w:footnoteRef/>
      </w:r>
      <w:r>
        <w:tab/>
        <w:t>Там же, статьи 5 (3) (b), (c) и (5) и 7-9.</w:t>
      </w:r>
    </w:p>
  </w:footnote>
  <w:footnote w:id="37">
    <w:p w14:paraId="33753583" w14:textId="77777777" w:rsidR="005A26AF" w:rsidRPr="00831A4A" w:rsidRDefault="005A26AF" w:rsidP="005A26AF">
      <w:pPr>
        <w:pStyle w:val="ae"/>
      </w:pPr>
      <w:r>
        <w:tab/>
      </w:r>
      <w:r w:rsidRPr="008A124C">
        <w:rPr>
          <w:rStyle w:val="ab"/>
        </w:rPr>
        <w:footnoteRef/>
      </w:r>
      <w:r>
        <w:tab/>
        <w:t>Там же, статьи 5 (3) (d) и (7) и 6-8; и Маастрихтские рекомендации по поощрению эффективного участия общественности в процессе принятия решений по экологическим вопросам (ECE/MP.PP/2014/2/Add.2).</w:t>
      </w:r>
    </w:p>
  </w:footnote>
  <w:footnote w:id="38">
    <w:p w14:paraId="32929ED6" w14:textId="77777777" w:rsidR="005A26AF" w:rsidRPr="00831A4A" w:rsidRDefault="005A26AF" w:rsidP="005A26AF">
      <w:pPr>
        <w:pStyle w:val="ae"/>
      </w:pPr>
      <w:r>
        <w:tab/>
      </w:r>
      <w:r w:rsidRPr="008A124C">
        <w:rPr>
          <w:rStyle w:val="ab"/>
        </w:rPr>
        <w:footnoteRef/>
      </w:r>
      <w:r>
        <w:tab/>
      </w:r>
      <w:proofErr w:type="spellStart"/>
      <w:r>
        <w:t>Орхусская</w:t>
      </w:r>
      <w:proofErr w:type="spellEnd"/>
      <w:r>
        <w:t xml:space="preserve"> конвенция, статья 5 (1) (b) и (c), (6) и (9).</w:t>
      </w:r>
    </w:p>
  </w:footnote>
  <w:footnote w:id="39">
    <w:p w14:paraId="3DE43B1A" w14:textId="77777777" w:rsidR="005A26AF" w:rsidRPr="00831A4A" w:rsidRDefault="005A26AF" w:rsidP="005A26AF">
      <w:pPr>
        <w:pStyle w:val="ae"/>
      </w:pPr>
      <w:r>
        <w:tab/>
      </w:r>
      <w:r>
        <w:rPr>
          <w:rStyle w:val="ab"/>
        </w:rPr>
        <w:footnoteRef/>
      </w:r>
      <w:r>
        <w:tab/>
        <w:t>Там же, статья 5 (1) (b) и (c), (6) и (9).</w:t>
      </w:r>
    </w:p>
  </w:footnote>
  <w:footnote w:id="40">
    <w:p w14:paraId="77BC3998" w14:textId="77777777" w:rsidR="005A26AF" w:rsidRPr="00692600" w:rsidRDefault="005A26AF" w:rsidP="005A26AF">
      <w:pPr>
        <w:pStyle w:val="ae"/>
      </w:pPr>
      <w:r>
        <w:tab/>
      </w:r>
      <w:r w:rsidRPr="000D073E">
        <w:rPr>
          <w:rStyle w:val="ab"/>
        </w:rPr>
        <w:footnoteRef/>
      </w:r>
      <w:r>
        <w:tab/>
        <w:t>Там же, статья 5 (2) (b).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999B" w14:textId="6FDA96E2" w:rsidR="005A26AF" w:rsidRPr="005A26AF" w:rsidRDefault="008C6491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 w:rsidR="00095BB8">
      <w:t>ECE/</w:t>
    </w:r>
    <w:proofErr w:type="gramStart"/>
    <w:r w:rsidR="00095BB8">
      <w:t>MP.PP</w:t>
    </w:r>
    <w:proofErr w:type="gramEnd"/>
    <w:r w:rsidR="00095BB8">
      <w:t>/WG.1/2020/14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4E09" w14:textId="0B5D2616" w:rsidR="005A26AF" w:rsidRPr="005A26AF" w:rsidRDefault="008C6491" w:rsidP="005A26AF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95BB8">
      <w:t>ECE/</w:t>
    </w:r>
    <w:proofErr w:type="gramStart"/>
    <w:r w:rsidR="00095BB8">
      <w:t>MP.PP</w:t>
    </w:r>
    <w:proofErr w:type="gramEnd"/>
    <w:r w:rsidR="00095BB8">
      <w:t>/WG.1/2020/14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AF"/>
    <w:rsid w:val="00024CC5"/>
    <w:rsid w:val="00033EE1"/>
    <w:rsid w:val="00042B72"/>
    <w:rsid w:val="000558BD"/>
    <w:rsid w:val="00081FA4"/>
    <w:rsid w:val="00095BB8"/>
    <w:rsid w:val="000A06D1"/>
    <w:rsid w:val="000B57E7"/>
    <w:rsid w:val="000B6373"/>
    <w:rsid w:val="000E4E5B"/>
    <w:rsid w:val="000F09DF"/>
    <w:rsid w:val="000F2D17"/>
    <w:rsid w:val="000F61B2"/>
    <w:rsid w:val="001075E9"/>
    <w:rsid w:val="0014152F"/>
    <w:rsid w:val="00144427"/>
    <w:rsid w:val="0015434B"/>
    <w:rsid w:val="00180183"/>
    <w:rsid w:val="0018024D"/>
    <w:rsid w:val="0018649F"/>
    <w:rsid w:val="00196389"/>
    <w:rsid w:val="001B3EF6"/>
    <w:rsid w:val="001C7A89"/>
    <w:rsid w:val="001F5C9B"/>
    <w:rsid w:val="00255343"/>
    <w:rsid w:val="0027151D"/>
    <w:rsid w:val="002A0080"/>
    <w:rsid w:val="002A2EFC"/>
    <w:rsid w:val="002B0106"/>
    <w:rsid w:val="002B74B1"/>
    <w:rsid w:val="002C0E18"/>
    <w:rsid w:val="002D5AAC"/>
    <w:rsid w:val="002E0D08"/>
    <w:rsid w:val="002E5067"/>
    <w:rsid w:val="002F405F"/>
    <w:rsid w:val="002F7EEC"/>
    <w:rsid w:val="00301299"/>
    <w:rsid w:val="00305C08"/>
    <w:rsid w:val="00307FB6"/>
    <w:rsid w:val="00311A2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178"/>
    <w:rsid w:val="00424203"/>
    <w:rsid w:val="00452493"/>
    <w:rsid w:val="00453318"/>
    <w:rsid w:val="00454AF2"/>
    <w:rsid w:val="00454E07"/>
    <w:rsid w:val="00472C5C"/>
    <w:rsid w:val="004C3C78"/>
    <w:rsid w:val="004E05B7"/>
    <w:rsid w:val="0050108D"/>
    <w:rsid w:val="00513081"/>
    <w:rsid w:val="00517901"/>
    <w:rsid w:val="00525483"/>
    <w:rsid w:val="00526683"/>
    <w:rsid w:val="005603FA"/>
    <w:rsid w:val="005639C1"/>
    <w:rsid w:val="005709E0"/>
    <w:rsid w:val="00572E19"/>
    <w:rsid w:val="005961C8"/>
    <w:rsid w:val="005966F1"/>
    <w:rsid w:val="005A26AF"/>
    <w:rsid w:val="005D2D40"/>
    <w:rsid w:val="005D7914"/>
    <w:rsid w:val="005E2B41"/>
    <w:rsid w:val="005F0B42"/>
    <w:rsid w:val="00617A43"/>
    <w:rsid w:val="006345DB"/>
    <w:rsid w:val="00640F49"/>
    <w:rsid w:val="00680D03"/>
    <w:rsid w:val="00681A10"/>
    <w:rsid w:val="006A1680"/>
    <w:rsid w:val="006A1ED8"/>
    <w:rsid w:val="006C2031"/>
    <w:rsid w:val="006D461A"/>
    <w:rsid w:val="006F35EE"/>
    <w:rsid w:val="007021FF"/>
    <w:rsid w:val="00712895"/>
    <w:rsid w:val="00734ACB"/>
    <w:rsid w:val="007376A2"/>
    <w:rsid w:val="00757357"/>
    <w:rsid w:val="00792497"/>
    <w:rsid w:val="007F2201"/>
    <w:rsid w:val="00806737"/>
    <w:rsid w:val="00825F8D"/>
    <w:rsid w:val="00834B71"/>
    <w:rsid w:val="00853A38"/>
    <w:rsid w:val="0086445C"/>
    <w:rsid w:val="00894693"/>
    <w:rsid w:val="008A08D7"/>
    <w:rsid w:val="008A37C8"/>
    <w:rsid w:val="008B6909"/>
    <w:rsid w:val="008C6491"/>
    <w:rsid w:val="008D53B6"/>
    <w:rsid w:val="008F7609"/>
    <w:rsid w:val="00906890"/>
    <w:rsid w:val="00906CFC"/>
    <w:rsid w:val="00911BE4"/>
    <w:rsid w:val="00951972"/>
    <w:rsid w:val="00951988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3993"/>
    <w:rsid w:val="00AB4B51"/>
    <w:rsid w:val="00B10CC7"/>
    <w:rsid w:val="00B36DF7"/>
    <w:rsid w:val="00B539E7"/>
    <w:rsid w:val="00B62458"/>
    <w:rsid w:val="00BC18B2"/>
    <w:rsid w:val="00BC3E1A"/>
    <w:rsid w:val="00BD33EE"/>
    <w:rsid w:val="00BE1CC7"/>
    <w:rsid w:val="00C106D6"/>
    <w:rsid w:val="00C119AE"/>
    <w:rsid w:val="00C60F0C"/>
    <w:rsid w:val="00C65C43"/>
    <w:rsid w:val="00C71E84"/>
    <w:rsid w:val="00C805C9"/>
    <w:rsid w:val="00C92939"/>
    <w:rsid w:val="00CA1679"/>
    <w:rsid w:val="00CB151C"/>
    <w:rsid w:val="00CE5A1A"/>
    <w:rsid w:val="00CF2719"/>
    <w:rsid w:val="00CF55F6"/>
    <w:rsid w:val="00D1462E"/>
    <w:rsid w:val="00D168EC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7D11"/>
    <w:rsid w:val="00ED0BDA"/>
    <w:rsid w:val="00EE142A"/>
    <w:rsid w:val="00EF1360"/>
    <w:rsid w:val="00EF3220"/>
    <w:rsid w:val="00F05C1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31D3CA8"/>
  <w15:docId w15:val="{A8AEB672-C235-4BDF-B04E-552F5D74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2A0080"/>
    <w:pPr>
      <w:suppressAutoHyphens/>
      <w:spacing w:line="240" w:lineRule="atLeast"/>
    </w:pPr>
    <w:rPr>
      <w:lang w:val="ru-RU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2"/>
      </w:numPr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0"/>
    <w:next w:val="a0"/>
    <w:uiPriority w:val="9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uiPriority w:val="9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2A0080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853A38"/>
    <w:rPr>
      <w:color w:val="0000FF"/>
      <w:u w:val="none"/>
    </w:rPr>
  </w:style>
  <w:style w:type="character" w:customStyle="1" w:styleId="SingleTxtGChar">
    <w:name w:val="_ Single Txt_G Char"/>
    <w:link w:val="SingleTxtG"/>
    <w:rsid w:val="00D1462E"/>
    <w:rPr>
      <w:lang w:val="ru-RU" w:eastAsia="en-US"/>
    </w:rPr>
  </w:style>
  <w:style w:type="numbering" w:styleId="a">
    <w:name w:val="Outline List 3"/>
    <w:basedOn w:val="a3"/>
    <w:semiHidden/>
    <w:rsid w:val="005A26A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unisdr.org/we/coordinate/sendai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index.php?id=50574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environmental-policy/conventions/public-participation/aarhus-convention/tfwg/task-force-on-access-to-information/consultation-on-the-recommendations-on-electronic-information-tools.html" TargetMode="External"/><Relationship Id="rId3" Type="http://schemas.openxmlformats.org/officeDocument/2006/relationships/hyperlink" Target="file:///\\unece-fs1.unog.un.org\data\Shares\Groups\Ehlm\Public_Participation_Internal\Aarhus%20Conv\TFs%20&amp;%20WGs\WGP\WGP-24,%20July%202020\Documents\EIT%20Recomms\www.unece.org\index.php?id=50574" TargetMode="External"/><Relationship Id="rId7" Type="http://schemas.openxmlformats.org/officeDocument/2006/relationships/hyperlink" Target="http://www.unece.org/environmental-policy/conventions/public-participation/aarhus-convention/tfwg/task-force-on-access-to-information/consultation-on-the-recommendations-on-electronic-information-tools.html" TargetMode="External"/><Relationship Id="rId2" Type="http://schemas.openxmlformats.org/officeDocument/2006/relationships/hyperlink" Target="http://www.unece.org/index.php?id=50574" TargetMode="External"/><Relationship Id="rId1" Type="http://schemas.openxmlformats.org/officeDocument/2006/relationships/hyperlink" Target="http://www.unece.org/env/pp/aarhus/mop6_docs.html" TargetMode="External"/><Relationship Id="rId6" Type="http://schemas.openxmlformats.org/officeDocument/2006/relationships/hyperlink" Target="https://eni-seis.eionet.europa.eu/east" TargetMode="External"/><Relationship Id="rId5" Type="http://schemas.openxmlformats.org/officeDocument/2006/relationships/hyperlink" Target="http://www.eis-data.eu/" TargetMode="External"/><Relationship Id="rId4" Type="http://schemas.openxmlformats.org/officeDocument/2006/relationships/hyperlink" Target="file:///\\unece-fs1.unog.un.org\data\Shares\Groups\Ehlm\Public_Participation_Internal\Aarhus%20Conv\TFs%20&amp;%20WGs\WGP\WGP-24,%20July%202020\Documents\EIT%20Recomms\www.unece.org\env\pp\aarhus\tfai5.html" TargetMode="External"/><Relationship Id="rId9" Type="http://schemas.openxmlformats.org/officeDocument/2006/relationships/hyperlink" Target="http://www.unece.org/env/europe/monitoring/iandr_e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2617-6DF1-433E-B3FC-F977E424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5269</Words>
  <Characters>40309</Characters>
  <Application>Microsoft Office Word</Application>
  <DocSecurity>0</DocSecurity>
  <Lines>719</Lines>
  <Paragraphs>196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ECE/MP.PP/WG.1/2020/14</vt:lpstr>
      <vt:lpstr>ECE/MP.PP/WG.1/2020/14</vt:lpstr>
      <vt:lpstr>A/</vt:lpstr>
      <vt:lpstr>A/</vt:lpstr>
    </vt:vector>
  </TitlesOfParts>
  <Company>DCM</Company>
  <LinksUpToDate>false</LinksUpToDate>
  <CharactersWithSpaces>45382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ECE/MP.PP/WG.1/2020/14</dc:title>
  <dc:subject/>
  <dc:creator>Sadaf Shamsie</dc:creator>
  <cp:keywords/>
  <dc:description/>
  <cp:lastModifiedBy>Olga Ovchinnikova</cp:lastModifiedBy>
  <cp:revision>3</cp:revision>
  <cp:lastPrinted>2020-06-26T13:43:00Z</cp:lastPrinted>
  <dcterms:created xsi:type="dcterms:W3CDTF">2020-06-26T13:43:00Z</dcterms:created>
  <dcterms:modified xsi:type="dcterms:W3CDTF">2020-06-26T13:45:00Z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