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B0099E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6F40E4" w:rsidRDefault="00A658DB" w:rsidP="007B199D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6F40E4">
              <w:rPr>
                <w:lang w:val="en-US"/>
              </w:rPr>
              <w:t>/</w:t>
            </w:r>
            <w:r>
              <w:fldChar w:fldCharType="begin"/>
            </w:r>
            <w:r w:rsidRPr="006F40E4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6F40E4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6F40E4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6F40E4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6F40E4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="00E05CDB">
              <w:rPr>
                <w:lang w:val="en-US"/>
              </w:rPr>
              <w:t>MP.PP/WG.1/2017/L.4</w:t>
            </w:r>
            <w:r>
              <w:fldChar w:fldCharType="end"/>
            </w:r>
            <w:r w:rsidRPr="006F40E4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0099E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E05CDB">
              <w:t xml:space="preserve">12 </w:t>
            </w:r>
            <w:proofErr w:type="spellStart"/>
            <w:r w:rsidR="00E05CDB">
              <w:t>January</w:t>
            </w:r>
            <w:proofErr w:type="spellEnd"/>
            <w:r w:rsidR="00E05CDB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0099E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F40E4" w:rsidRPr="006F40E4" w:rsidRDefault="006F40E4" w:rsidP="006F40E4">
      <w:pPr>
        <w:spacing w:before="120"/>
        <w:rPr>
          <w:sz w:val="28"/>
          <w:szCs w:val="28"/>
        </w:rPr>
      </w:pPr>
      <w:r w:rsidRPr="006F40E4">
        <w:rPr>
          <w:sz w:val="28"/>
          <w:szCs w:val="28"/>
        </w:rPr>
        <w:t>Совещ</w:t>
      </w:r>
      <w:r>
        <w:rPr>
          <w:sz w:val="28"/>
          <w:szCs w:val="28"/>
        </w:rPr>
        <w:t>ание Сторон Конвенции о доступе</w:t>
      </w:r>
      <w:r w:rsidRPr="006F40E4">
        <w:rPr>
          <w:sz w:val="28"/>
          <w:szCs w:val="28"/>
        </w:rPr>
        <w:br/>
        <w:t>к информации, участии общественно</w:t>
      </w:r>
      <w:r>
        <w:rPr>
          <w:sz w:val="28"/>
          <w:szCs w:val="28"/>
        </w:rPr>
        <w:t>сти</w:t>
      </w:r>
      <w:r w:rsidRPr="006F40E4">
        <w:rPr>
          <w:sz w:val="28"/>
          <w:szCs w:val="28"/>
        </w:rPr>
        <w:br/>
        <w:t>в проц</w:t>
      </w:r>
      <w:r>
        <w:rPr>
          <w:sz w:val="28"/>
          <w:szCs w:val="28"/>
        </w:rPr>
        <w:t>ессе принятия решений и доступе</w:t>
      </w:r>
      <w:r w:rsidRPr="006F40E4">
        <w:rPr>
          <w:sz w:val="28"/>
          <w:szCs w:val="28"/>
        </w:rPr>
        <w:br/>
        <w:t>к правосудию по вопросам, каса</w:t>
      </w:r>
      <w:r>
        <w:rPr>
          <w:sz w:val="28"/>
          <w:szCs w:val="28"/>
        </w:rPr>
        <w:t>ющимся</w:t>
      </w:r>
      <w:r w:rsidRPr="006F40E4">
        <w:rPr>
          <w:sz w:val="28"/>
          <w:szCs w:val="28"/>
        </w:rPr>
        <w:br/>
        <w:t>окружающей среды</w:t>
      </w:r>
    </w:p>
    <w:p w:rsidR="006F40E4" w:rsidRPr="006F40E4" w:rsidRDefault="006F40E4" w:rsidP="006F40E4">
      <w:pPr>
        <w:spacing w:before="120"/>
        <w:rPr>
          <w:b/>
          <w:bCs/>
          <w:sz w:val="24"/>
          <w:szCs w:val="24"/>
        </w:rPr>
      </w:pPr>
      <w:r w:rsidRPr="006F40E4">
        <w:rPr>
          <w:b/>
          <w:bCs/>
          <w:sz w:val="24"/>
          <w:szCs w:val="24"/>
        </w:rPr>
        <w:t>Рабочая группа Сторон</w:t>
      </w:r>
    </w:p>
    <w:p w:rsidR="006F40E4" w:rsidRPr="006F40E4" w:rsidRDefault="006F40E4" w:rsidP="006F40E4">
      <w:pPr>
        <w:spacing w:before="120"/>
        <w:rPr>
          <w:b/>
          <w:bCs/>
        </w:rPr>
      </w:pPr>
      <w:r w:rsidRPr="006F40E4">
        <w:rPr>
          <w:b/>
          <w:bCs/>
        </w:rPr>
        <w:t>Двадцать первое совещание</w:t>
      </w:r>
    </w:p>
    <w:p w:rsidR="006F40E4" w:rsidRPr="006F40E4" w:rsidRDefault="006F40E4" w:rsidP="006F40E4">
      <w:r w:rsidRPr="006F40E4">
        <w:t>Женева, 4–6 апреля 2017 года</w:t>
      </w:r>
    </w:p>
    <w:p w:rsidR="006F40E4" w:rsidRPr="006F40E4" w:rsidRDefault="006F40E4" w:rsidP="006F40E4">
      <w:r w:rsidRPr="006F40E4">
        <w:t>Пункт 7 предварительной повестки дня</w:t>
      </w:r>
    </w:p>
    <w:p w:rsidR="006F40E4" w:rsidRPr="006F40E4" w:rsidRDefault="006F40E4" w:rsidP="006F40E4">
      <w:pPr>
        <w:rPr>
          <w:b/>
          <w:bCs/>
        </w:rPr>
      </w:pPr>
      <w:r w:rsidRPr="006F40E4">
        <w:rPr>
          <w:b/>
          <w:bCs/>
        </w:rPr>
        <w:t>Пропаганда принц</w:t>
      </w:r>
      <w:r>
        <w:rPr>
          <w:b/>
          <w:bCs/>
        </w:rPr>
        <w:t>ипов Конвенции</w:t>
      </w:r>
      <w:r w:rsidRPr="006F40E4">
        <w:rPr>
          <w:b/>
          <w:bCs/>
        </w:rPr>
        <w:br/>
      </w:r>
      <w:r>
        <w:rPr>
          <w:b/>
          <w:bCs/>
        </w:rPr>
        <w:t>на международных</w:t>
      </w:r>
      <w:r w:rsidRPr="006F40E4">
        <w:rPr>
          <w:b/>
          <w:bCs/>
        </w:rPr>
        <w:t xml:space="preserve"> форумах</w:t>
      </w:r>
    </w:p>
    <w:p w:rsidR="006F40E4" w:rsidRPr="006F40E4" w:rsidRDefault="006F40E4" w:rsidP="006F40E4">
      <w:pPr>
        <w:pStyle w:val="HChGR"/>
      </w:pPr>
      <w:r w:rsidRPr="006F40E4">
        <w:tab/>
      </w:r>
      <w:r w:rsidRPr="006F40E4">
        <w:tab/>
        <w:t>Проект решения VI/… о содействии применению принципов Конвенции на международных форумах</w:t>
      </w:r>
    </w:p>
    <w:p w:rsidR="006F40E4" w:rsidRPr="006F40E4" w:rsidRDefault="006F40E4" w:rsidP="006F40E4">
      <w:pPr>
        <w:pStyle w:val="H1GR"/>
      </w:pPr>
      <w:r w:rsidRPr="006F40E4">
        <w:tab/>
      </w:r>
      <w:r w:rsidRPr="006F40E4">
        <w:tab/>
        <w:t>Подготовлен Президиумом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6F40E4" w:rsidTr="006F40E4">
        <w:tc>
          <w:tcPr>
            <w:tcW w:w="9854" w:type="dxa"/>
            <w:shd w:val="clear" w:color="auto" w:fill="auto"/>
          </w:tcPr>
          <w:p w:rsidR="006F40E4" w:rsidRPr="006F40E4" w:rsidRDefault="006F40E4" w:rsidP="006F40E4">
            <w:pPr>
              <w:suppressAutoHyphens/>
              <w:spacing w:before="240" w:after="120"/>
              <w:ind w:left="255"/>
              <w:rPr>
                <w:i/>
                <w:sz w:val="24"/>
                <w:lang w:val="en-US"/>
              </w:rPr>
            </w:pPr>
            <w:r w:rsidRPr="006F40E4">
              <w:rPr>
                <w:i/>
                <w:sz w:val="24"/>
                <w:lang w:val="en-US"/>
              </w:rPr>
              <w:t>Резюме</w:t>
            </w:r>
          </w:p>
        </w:tc>
      </w:tr>
      <w:tr w:rsidR="006F40E4" w:rsidRPr="006F40E4" w:rsidTr="00FE69BC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6F40E4" w:rsidRPr="006F40E4" w:rsidRDefault="006F40E4" w:rsidP="006F40E4">
            <w:pPr>
              <w:pStyle w:val="SingleTxtGR"/>
            </w:pPr>
            <w:r w:rsidRPr="006F40E4">
              <w:tab/>
              <w:t>В настоящем документе изложен проект решения о содействии примен</w:t>
            </w:r>
            <w:r w:rsidRPr="006F40E4">
              <w:t>е</w:t>
            </w:r>
            <w:r w:rsidRPr="006F40E4">
              <w:t>нию принципов Конвенции о доступе к информации, участии общественности в процессе принятия решений и доступе к правосудию по вопросам, касающимся окружающей среды, на международных форумах.</w:t>
            </w:r>
          </w:p>
        </w:tc>
      </w:tr>
      <w:tr w:rsidR="006F40E4" w:rsidRPr="006F40E4" w:rsidTr="00FE69BC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6F40E4" w:rsidRPr="006F40E4" w:rsidRDefault="006F40E4" w:rsidP="006F40E4">
            <w:pPr>
              <w:pStyle w:val="SingleTxtGR"/>
            </w:pPr>
            <w:r w:rsidRPr="006F40E4">
              <w:tab/>
              <w:t>С учетом свое</w:t>
            </w:r>
            <w:r w:rsidR="00FE69BC">
              <w:t>го мандата, предусматривающего «</w:t>
            </w:r>
            <w:r w:rsidRPr="006F40E4">
              <w:t>представление Совещ</w:t>
            </w:r>
            <w:r w:rsidRPr="006F40E4">
              <w:t>а</w:t>
            </w:r>
            <w:r w:rsidRPr="006F40E4">
              <w:t>нию Сторон таких предложений и рекомендаций, какие она сочтет необход</w:t>
            </w:r>
            <w:r w:rsidRPr="006F40E4">
              <w:t>и</w:t>
            </w:r>
            <w:r w:rsidRPr="006F40E4">
              <w:t>мыми</w:t>
            </w:r>
            <w:r w:rsidR="00FE69BC">
              <w:t xml:space="preserve"> для достижения целей Конвенции»</w:t>
            </w:r>
            <w:r w:rsidRPr="006F40E4">
              <w:t xml:space="preserve"> (ECE/MP.PP/2/Add.15, пункт 2 d)), на своем дв</w:t>
            </w:r>
            <w:r w:rsidR="00FE69BC">
              <w:t>адцатом совещании (Женева, 15–</w:t>
            </w:r>
            <w:r w:rsidRPr="006F40E4">
              <w:t xml:space="preserve">17 июня 2016 года) Рабочая группа </w:t>
            </w:r>
            <w:r w:rsidRPr="00FE69BC">
              <w:rPr>
                <w:spacing w:val="2"/>
              </w:rPr>
              <w:t>Сторон просила Президиум подготовить проект решения о содействии примен</w:t>
            </w:r>
            <w:r w:rsidRPr="00FE69BC">
              <w:rPr>
                <w:spacing w:val="2"/>
              </w:rPr>
              <w:t>е</w:t>
            </w:r>
            <w:r w:rsidRPr="00FE69BC">
              <w:rPr>
                <w:spacing w:val="2"/>
              </w:rPr>
              <w:t>нию принципов Конвенции на международных форумах для рассмотрения Сов</w:t>
            </w:r>
            <w:r w:rsidRPr="00FE69BC">
              <w:rPr>
                <w:spacing w:val="2"/>
              </w:rPr>
              <w:t>е</w:t>
            </w:r>
            <w:r w:rsidRPr="00FE69BC">
              <w:rPr>
                <w:spacing w:val="2"/>
              </w:rPr>
              <w:t xml:space="preserve">щанием Сторон на его </w:t>
            </w:r>
            <w:r w:rsidR="00FE69BC" w:rsidRPr="00FE69BC">
              <w:rPr>
                <w:spacing w:val="2"/>
              </w:rPr>
              <w:t>шестой сессии (Черногория, 11–</w:t>
            </w:r>
            <w:r w:rsidRPr="00FE69BC">
              <w:rPr>
                <w:spacing w:val="2"/>
              </w:rPr>
              <w:t>14 сентября 2017 года).</w:t>
            </w:r>
          </w:p>
        </w:tc>
      </w:tr>
      <w:tr w:rsidR="006F40E4" w:rsidRPr="006F40E4" w:rsidTr="00FE69BC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6F40E4" w:rsidRPr="006F40E4" w:rsidRDefault="00FE69BC" w:rsidP="00FE69BC">
            <w:pPr>
              <w:pStyle w:val="SingleTxtGR"/>
              <w:keepNext/>
              <w:keepLines/>
            </w:pPr>
            <w:r>
              <w:lastRenderedPageBreak/>
              <w:tab/>
            </w:r>
            <w:r w:rsidR="006F40E4" w:rsidRPr="006F40E4">
              <w:t>Президиум подготовил первоначальный проект решения на основе соо</w:t>
            </w:r>
            <w:r w:rsidR="006F40E4" w:rsidRPr="006F40E4">
              <w:t>т</w:t>
            </w:r>
            <w:r w:rsidR="006F40E4" w:rsidRPr="006F40E4">
              <w:t>ветствующих итогов двадцатого совещания Рабочей группы; записки Председ</w:t>
            </w:r>
            <w:r w:rsidR="006F40E4" w:rsidRPr="006F40E4">
              <w:t>а</w:t>
            </w:r>
            <w:r w:rsidR="006F40E4" w:rsidRPr="006F40E4">
              <w:t>теля тематического за</w:t>
            </w:r>
            <w:r w:rsidR="009C7932">
              <w:t>седания по содействию применению</w:t>
            </w:r>
            <w:r w:rsidR="006F40E4" w:rsidRPr="006F40E4">
              <w:t xml:space="preserve"> принципов Конве</w:t>
            </w:r>
            <w:r w:rsidR="006F40E4" w:rsidRPr="006F40E4">
              <w:t>н</w:t>
            </w:r>
            <w:r w:rsidR="006F40E4" w:rsidRPr="006F40E4">
              <w:t>ции на международных форумах (AC/WGP-20/Inf.5), представленной на этом совещании; итогов работы, проделанной Рабочей группой по содействию пр</w:t>
            </w:r>
            <w:r w:rsidR="006F40E4" w:rsidRPr="006F40E4">
              <w:t>и</w:t>
            </w:r>
            <w:r w:rsidR="006F40E4" w:rsidRPr="006F40E4">
              <w:t>менению принципов Конвенции на международных форумах в ходе текущего межсессионного периода; и предыдущего решения Совещания Сторон по этому же вопросу (решение V/4).</w:t>
            </w:r>
          </w:p>
        </w:tc>
      </w:tr>
      <w:tr w:rsidR="006F40E4" w:rsidRPr="006F40E4" w:rsidTr="006F40E4">
        <w:tc>
          <w:tcPr>
            <w:tcW w:w="9854" w:type="dxa"/>
            <w:shd w:val="clear" w:color="auto" w:fill="auto"/>
          </w:tcPr>
          <w:p w:rsidR="006F40E4" w:rsidRPr="006F40E4" w:rsidRDefault="006F40E4" w:rsidP="006F40E4">
            <w:pPr>
              <w:pStyle w:val="SingleTxtGR"/>
            </w:pPr>
            <w:r w:rsidRPr="00FE69BC">
              <w:tab/>
            </w:r>
            <w:r w:rsidRPr="006F40E4">
              <w:t xml:space="preserve">В соответствии с достигнутой договоренностью данный проект решения был затем распространен среди Сторон и заинтересованных субъектов 27 </w:t>
            </w:r>
            <w:r w:rsidRPr="00FE69BC">
              <w:rPr>
                <w:spacing w:val="2"/>
              </w:rPr>
              <w:t>се</w:t>
            </w:r>
            <w:r w:rsidRPr="00FE69BC">
              <w:rPr>
                <w:spacing w:val="2"/>
              </w:rPr>
              <w:t>н</w:t>
            </w:r>
            <w:r w:rsidRPr="00FE69BC">
              <w:rPr>
                <w:spacing w:val="2"/>
              </w:rPr>
              <w:t>тября 2016 года для замечаний с крайним сроком для ответа – 7 ноября 2016 года.</w:t>
            </w:r>
            <w:r w:rsidRPr="006F40E4">
              <w:t xml:space="preserve"> При подготовке настоящего проекта Президиум принял во внимание получе</w:t>
            </w:r>
            <w:r w:rsidRPr="006F40E4">
              <w:t>н</w:t>
            </w:r>
            <w:r w:rsidRPr="006F40E4">
              <w:t>ные замечания.</w:t>
            </w:r>
          </w:p>
        </w:tc>
      </w:tr>
      <w:tr w:rsidR="006F40E4" w:rsidRPr="006F40E4" w:rsidTr="006F40E4">
        <w:tc>
          <w:tcPr>
            <w:tcW w:w="9854" w:type="dxa"/>
            <w:shd w:val="clear" w:color="auto" w:fill="auto"/>
          </w:tcPr>
          <w:p w:rsidR="006F40E4" w:rsidRDefault="006F40E4" w:rsidP="006F40E4">
            <w:pPr>
              <w:pStyle w:val="SingleTxtGR"/>
              <w:rPr>
                <w:lang w:val="en-US"/>
              </w:rPr>
            </w:pPr>
            <w:r w:rsidRPr="00B0099E">
              <w:tab/>
            </w:r>
            <w:r w:rsidRPr="006F40E4">
              <w:t>Как ожидается, Рабочая группа Сторон рассмотрит и утвердит данный проект решения для его представления на рассмотрение Совещанию Сторон на его шестой сессии.</w:t>
            </w:r>
          </w:p>
        </w:tc>
      </w:tr>
      <w:tr w:rsidR="006F40E4" w:rsidRPr="006F40E4" w:rsidTr="006F40E4">
        <w:tc>
          <w:tcPr>
            <w:tcW w:w="9854" w:type="dxa"/>
            <w:shd w:val="clear" w:color="auto" w:fill="auto"/>
          </w:tcPr>
          <w:p w:rsidR="006F40E4" w:rsidRPr="006F40E4" w:rsidRDefault="006F40E4" w:rsidP="006F40E4"/>
        </w:tc>
      </w:tr>
    </w:tbl>
    <w:p w:rsidR="00FE69BC" w:rsidRDefault="00FE69BC" w:rsidP="006F40E4">
      <w:pPr>
        <w:pStyle w:val="SingleTxtGR"/>
      </w:pPr>
    </w:p>
    <w:p w:rsidR="00FE69BC" w:rsidRDefault="00FE69BC">
      <w:pPr>
        <w:spacing w:line="240" w:lineRule="auto"/>
      </w:pPr>
      <w:r>
        <w:br w:type="page"/>
      </w:r>
    </w:p>
    <w:p w:rsidR="006F40E4" w:rsidRPr="006F40E4" w:rsidRDefault="00FE69BC" w:rsidP="006F40E4">
      <w:pPr>
        <w:pStyle w:val="SingleTxtGR"/>
      </w:pPr>
      <w:r>
        <w:tab/>
      </w:r>
      <w:r w:rsidR="006F40E4" w:rsidRPr="00FE69BC">
        <w:rPr>
          <w:i/>
          <w:iCs/>
        </w:rPr>
        <w:t>Совещание Сторон</w:t>
      </w:r>
      <w:r w:rsidR="006F40E4" w:rsidRPr="006F40E4">
        <w:t>,</w:t>
      </w:r>
    </w:p>
    <w:p w:rsidR="006F40E4" w:rsidRPr="006F40E4" w:rsidRDefault="006F40E4" w:rsidP="006F40E4">
      <w:pPr>
        <w:pStyle w:val="SingleTxtGR"/>
      </w:pPr>
      <w:r w:rsidRPr="006F40E4">
        <w:tab/>
      </w:r>
      <w:r w:rsidRPr="00FE69BC">
        <w:rPr>
          <w:i/>
          <w:iCs/>
        </w:rPr>
        <w:t>ссылаясь</w:t>
      </w:r>
      <w:r w:rsidRPr="006F40E4">
        <w:t xml:space="preserve"> на пункт 7 статьи 3 Конвенции о доступе к информации, уч</w:t>
      </w:r>
      <w:r w:rsidRPr="006F40E4">
        <w:t>а</w:t>
      </w:r>
      <w:r w:rsidRPr="006F40E4">
        <w:t>стии общественности в процессе принятия решений и доступе к правосудию по вопросам, касающимся окружающей среды (Орхусская конвенция),</w:t>
      </w:r>
    </w:p>
    <w:p w:rsidR="006F40E4" w:rsidRPr="00FE69BC" w:rsidRDefault="006F40E4" w:rsidP="006F40E4">
      <w:pPr>
        <w:pStyle w:val="SingleTxtGR"/>
        <w:rPr>
          <w:spacing w:val="2"/>
        </w:rPr>
      </w:pPr>
      <w:r w:rsidRPr="006F40E4">
        <w:tab/>
      </w:r>
      <w:r w:rsidRPr="00FE69BC">
        <w:rPr>
          <w:i/>
          <w:iCs/>
          <w:spacing w:val="2"/>
        </w:rPr>
        <w:t>ссылаясь также</w:t>
      </w:r>
      <w:r w:rsidRPr="00FE69BC">
        <w:rPr>
          <w:spacing w:val="2"/>
        </w:rPr>
        <w:t xml:space="preserve"> на свои решения II/4, III/4, IV/3 и V/4 о содействии пр</w:t>
      </w:r>
      <w:r w:rsidRPr="00FE69BC">
        <w:rPr>
          <w:spacing w:val="2"/>
        </w:rPr>
        <w:t>и</w:t>
      </w:r>
      <w:r w:rsidRPr="00FE69BC">
        <w:rPr>
          <w:spacing w:val="2"/>
        </w:rPr>
        <w:t>менению принципов Конвенции на международных форумах,</w:t>
      </w:r>
      <w:r w:rsidRPr="006F40E4">
        <w:t xml:space="preserve"> V/5 </w:t>
      </w:r>
      <w:r w:rsidRPr="00FE69BC">
        <w:rPr>
          <w:spacing w:val="2"/>
        </w:rPr>
        <w:t>о стратегич</w:t>
      </w:r>
      <w:r w:rsidRPr="00FE69BC">
        <w:rPr>
          <w:spacing w:val="2"/>
        </w:rPr>
        <w:t>е</w:t>
      </w:r>
      <w:r w:rsidR="00FE69BC" w:rsidRPr="00FE69BC">
        <w:rPr>
          <w:spacing w:val="2"/>
        </w:rPr>
        <w:t>ском плане на 2015–</w:t>
      </w:r>
      <w:r w:rsidRPr="00FE69BC">
        <w:rPr>
          <w:spacing w:val="2"/>
        </w:rPr>
        <w:t>2020 годы и VI</w:t>
      </w:r>
      <w:r w:rsidR="00FE69BC" w:rsidRPr="00FE69BC">
        <w:rPr>
          <w:spacing w:val="2"/>
        </w:rPr>
        <w:t>/… о программе работы на 2018–</w:t>
      </w:r>
      <w:r w:rsidRPr="00FE69BC">
        <w:rPr>
          <w:spacing w:val="2"/>
        </w:rPr>
        <w:t>2021 годы,</w:t>
      </w:r>
    </w:p>
    <w:p w:rsidR="006F40E4" w:rsidRPr="006F40E4" w:rsidRDefault="006F40E4" w:rsidP="006F40E4">
      <w:pPr>
        <w:pStyle w:val="SingleTxtGR"/>
      </w:pPr>
      <w:r w:rsidRPr="006F40E4">
        <w:tab/>
      </w:r>
      <w:r w:rsidRPr="00FE69BC">
        <w:rPr>
          <w:i/>
          <w:iCs/>
        </w:rPr>
        <w:t>памятуя</w:t>
      </w:r>
      <w:r w:rsidRPr="006F40E4">
        <w:t xml:space="preserve"> о важности углубления понимания проблем и надлежащей пра</w:t>
      </w:r>
      <w:r w:rsidRPr="006F40E4">
        <w:t>к</w:t>
      </w:r>
      <w:r w:rsidRPr="006F40E4">
        <w:t>тики, используемой международными форумами в отношении участия общ</w:t>
      </w:r>
      <w:r w:rsidRPr="006F40E4">
        <w:t>е</w:t>
      </w:r>
      <w:r w:rsidRPr="006F40E4">
        <w:t xml:space="preserve">ственности, посредством дальнейшего обмена опытом, накопленным в рамках Конвенции в отношении международных форумов, </w:t>
      </w:r>
    </w:p>
    <w:p w:rsidR="006F40E4" w:rsidRPr="006F40E4" w:rsidRDefault="006F40E4" w:rsidP="006F40E4">
      <w:pPr>
        <w:pStyle w:val="SingleTxtGR"/>
      </w:pPr>
      <w:r w:rsidRPr="006F40E4">
        <w:tab/>
      </w:r>
      <w:r w:rsidRPr="00FE69BC">
        <w:rPr>
          <w:i/>
          <w:iCs/>
        </w:rPr>
        <w:t>приветствуя</w:t>
      </w:r>
      <w:r w:rsidRPr="006F40E4">
        <w:t xml:space="preserve"> увеличение числа запросов от заинтересованных междун</w:t>
      </w:r>
      <w:r w:rsidRPr="006F40E4">
        <w:t>а</w:t>
      </w:r>
      <w:r w:rsidRPr="006F40E4">
        <w:t>родных форумов, участники которых рассчитывают на экспертную помощь со стороны секретариата и Сторон по этому вопросу,</w:t>
      </w:r>
    </w:p>
    <w:p w:rsidR="006F40E4" w:rsidRPr="006F40E4" w:rsidRDefault="006F40E4" w:rsidP="006F40E4">
      <w:pPr>
        <w:pStyle w:val="SingleTxtGR"/>
      </w:pPr>
      <w:r w:rsidRPr="006F40E4">
        <w:tab/>
      </w:r>
      <w:r w:rsidRPr="00FE69BC">
        <w:rPr>
          <w:i/>
          <w:iCs/>
        </w:rPr>
        <w:t>признавая</w:t>
      </w:r>
      <w:r w:rsidRPr="006F40E4">
        <w:t xml:space="preserve"> прогресс, достигнутый Сторонами, международными орган</w:t>
      </w:r>
      <w:r w:rsidRPr="006F40E4">
        <w:t>и</w:t>
      </w:r>
      <w:r w:rsidRPr="006F40E4">
        <w:t>зациями, международными финансовыми учреждениями, неправительственн</w:t>
      </w:r>
      <w:r w:rsidRPr="006F40E4">
        <w:t>ы</w:t>
      </w:r>
      <w:r w:rsidRPr="006F40E4">
        <w:t xml:space="preserve">ми организациями и другими заинтересованными субъектами в деле содействия применению принципов Конвенции, </w:t>
      </w:r>
    </w:p>
    <w:p w:rsidR="006F40E4" w:rsidRPr="00B0099E" w:rsidRDefault="006F40E4" w:rsidP="006F40E4">
      <w:pPr>
        <w:pStyle w:val="SingleTxtGR"/>
      </w:pPr>
      <w:r w:rsidRPr="006F40E4">
        <w:tab/>
      </w:r>
      <w:r w:rsidRPr="00FE69BC">
        <w:rPr>
          <w:i/>
          <w:iCs/>
        </w:rPr>
        <w:t>памятуя</w:t>
      </w:r>
      <w:r w:rsidRPr="006F40E4">
        <w:t xml:space="preserve"> об основных текущих международных процессах, в том числе связанных с устойчивым развитием, изменением климата, международными финансовыми учреждениями, участием заинтересованных субъектов и дост</w:t>
      </w:r>
      <w:r w:rsidRPr="006F40E4">
        <w:t>у</w:t>
      </w:r>
      <w:r w:rsidRPr="006F40E4">
        <w:t>пом к стратегиям в области информации других учреждений и программ Орг</w:t>
      </w:r>
      <w:r w:rsidRPr="006F40E4">
        <w:t>а</w:t>
      </w:r>
      <w:r w:rsidRPr="006F40E4">
        <w:t>низации Объединенных Наций и междун</w:t>
      </w:r>
      <w:r w:rsidR="00B0099E">
        <w:t>ародными торговыми переговорами</w:t>
      </w:r>
      <w:r w:rsidR="00B0099E" w:rsidRPr="00B0099E">
        <w:t>,</w:t>
      </w:r>
      <w:bookmarkStart w:id="2" w:name="_GoBack"/>
      <w:bookmarkEnd w:id="2"/>
    </w:p>
    <w:p w:rsidR="006F40E4" w:rsidRPr="006F40E4" w:rsidRDefault="006F40E4" w:rsidP="006F40E4">
      <w:pPr>
        <w:pStyle w:val="SingleTxtGR"/>
      </w:pPr>
      <w:r w:rsidRPr="006F40E4">
        <w:tab/>
      </w:r>
      <w:r w:rsidRPr="00FE69BC">
        <w:rPr>
          <w:i/>
          <w:iCs/>
        </w:rPr>
        <w:t>признавая</w:t>
      </w:r>
      <w:r w:rsidRPr="006F40E4">
        <w:t>, что экспертная помощь является важным и мощным средством содействия реализации принципов Конвенции и обмена значительным опытом, накопленным в рамках Орхусской конвенции, эффективным и непосредстве</w:t>
      </w:r>
      <w:r w:rsidRPr="006F40E4">
        <w:t>н</w:t>
      </w:r>
      <w:r w:rsidRPr="006F40E4">
        <w:t>ным образом,</w:t>
      </w:r>
    </w:p>
    <w:p w:rsidR="006F40E4" w:rsidRPr="006F40E4" w:rsidRDefault="006F40E4" w:rsidP="006F40E4">
      <w:pPr>
        <w:pStyle w:val="SingleTxtGR"/>
      </w:pPr>
      <w:r w:rsidRPr="006F40E4">
        <w:tab/>
      </w:r>
      <w:r w:rsidRPr="00FE69BC">
        <w:rPr>
          <w:i/>
          <w:iCs/>
        </w:rPr>
        <w:t>признавая также</w:t>
      </w:r>
      <w:r w:rsidRPr="006F40E4">
        <w:t xml:space="preserve"> ценность работы, проделанной по осуществлению пункта 7 статьи 3 Конвенции, и одновременно признавая значительные пробл</w:t>
      </w:r>
      <w:r w:rsidRPr="006F40E4">
        <w:t>е</w:t>
      </w:r>
      <w:r w:rsidRPr="006F40E4">
        <w:t>мы, которые все еще необходимо решить для полного осуществления этого п</w:t>
      </w:r>
      <w:r w:rsidRPr="006F40E4">
        <w:t>о</w:t>
      </w:r>
      <w:r w:rsidRPr="006F40E4">
        <w:t xml:space="preserve">ложения, </w:t>
      </w:r>
    </w:p>
    <w:p w:rsidR="006F40E4" w:rsidRPr="00FE69BC" w:rsidRDefault="006F40E4" w:rsidP="006F40E4">
      <w:pPr>
        <w:pStyle w:val="SingleTxtGR"/>
        <w:rPr>
          <w:spacing w:val="0"/>
          <w:w w:val="102"/>
        </w:rPr>
      </w:pPr>
      <w:r w:rsidRPr="006F40E4">
        <w:tab/>
      </w:r>
      <w:r w:rsidRPr="00FE69BC">
        <w:rPr>
          <w:i/>
          <w:iCs/>
          <w:spacing w:val="2"/>
        </w:rPr>
        <w:t>рассмотрев</w:t>
      </w:r>
      <w:r w:rsidRPr="00FE69BC">
        <w:rPr>
          <w:spacing w:val="2"/>
        </w:rPr>
        <w:t xml:space="preserve"> доклады о тематических заседаниях по содействию примен</w:t>
      </w:r>
      <w:r w:rsidRPr="00FE69BC">
        <w:rPr>
          <w:spacing w:val="2"/>
        </w:rPr>
        <w:t>е</w:t>
      </w:r>
      <w:r w:rsidRPr="00FE69BC">
        <w:rPr>
          <w:spacing w:val="2"/>
        </w:rPr>
        <w:t>нию принципов Конвенции на международных форумах, проведенных Рабочей группой на ее девятнадцатом, двадцатом и двадцать первом совещаниях</w:t>
      </w:r>
      <w:r w:rsidRPr="006F40E4">
        <w:t xml:space="preserve"> </w:t>
      </w:r>
      <w:r w:rsidR="00FE69BC" w:rsidRPr="00FE69BC">
        <w:rPr>
          <w:spacing w:val="0"/>
          <w:w w:val="102"/>
        </w:rPr>
        <w:t>(см. </w:t>
      </w:r>
      <w:r w:rsidRPr="00FE69BC">
        <w:rPr>
          <w:spacing w:val="0"/>
          <w:w w:val="102"/>
        </w:rPr>
        <w:t>ECE/MP.PP/WG.1/2015/2, ECE/MP.PP/WG.1/2016/2 и ECE/MP.PP/WG.1/2017/2),</w:t>
      </w:r>
    </w:p>
    <w:p w:rsidR="006F40E4" w:rsidRPr="006F40E4" w:rsidRDefault="006F40E4" w:rsidP="006F40E4">
      <w:pPr>
        <w:pStyle w:val="SingleTxtGR"/>
      </w:pPr>
      <w:r w:rsidRPr="006F40E4">
        <w:tab/>
        <w:t>1.</w:t>
      </w:r>
      <w:r w:rsidRPr="006F40E4">
        <w:tab/>
      </w:r>
      <w:r w:rsidRPr="00FE69BC">
        <w:rPr>
          <w:i/>
          <w:iCs/>
        </w:rPr>
        <w:t>с удовлетворением отмечает</w:t>
      </w:r>
      <w:r w:rsidRPr="006F40E4">
        <w:t xml:space="preserve"> работу, проделанную под эгидой Р</w:t>
      </w:r>
      <w:r w:rsidRPr="006F40E4">
        <w:t>а</w:t>
      </w:r>
      <w:r w:rsidRPr="006F40E4">
        <w:t xml:space="preserve">бочей группы Сторон, которая стала подлинной многосторонней платформой для эффективного решения ряда важных вопросов; </w:t>
      </w:r>
    </w:p>
    <w:p w:rsidR="006F40E4" w:rsidRPr="006F40E4" w:rsidRDefault="006F40E4" w:rsidP="006F40E4">
      <w:pPr>
        <w:pStyle w:val="SingleTxtGR"/>
      </w:pPr>
      <w:r w:rsidRPr="006F40E4">
        <w:tab/>
        <w:t>2.</w:t>
      </w:r>
      <w:r w:rsidRPr="006F40E4">
        <w:tab/>
      </w:r>
      <w:r w:rsidRPr="00FE69BC">
        <w:rPr>
          <w:i/>
          <w:iCs/>
        </w:rPr>
        <w:t>выражает</w:t>
      </w:r>
      <w:r w:rsidRPr="006F40E4">
        <w:t xml:space="preserve"> свою признательность Франции за осуществляемое ею руководство в этой области работы; </w:t>
      </w:r>
    </w:p>
    <w:p w:rsidR="006F40E4" w:rsidRPr="006F40E4" w:rsidRDefault="006F40E4" w:rsidP="006F40E4">
      <w:pPr>
        <w:pStyle w:val="SingleTxtGR"/>
      </w:pPr>
      <w:r w:rsidRPr="006F40E4">
        <w:tab/>
        <w:t>3.</w:t>
      </w:r>
      <w:r w:rsidRPr="006F40E4">
        <w:tab/>
      </w:r>
      <w:r w:rsidRPr="00FE69BC">
        <w:rPr>
          <w:i/>
          <w:iCs/>
        </w:rPr>
        <w:t>вновь подтверждает</w:t>
      </w:r>
      <w:r w:rsidRPr="006F40E4">
        <w:t xml:space="preserve"> свое обязательство и далее применять Алм</w:t>
      </w:r>
      <w:r w:rsidRPr="006F40E4">
        <w:t>а</w:t>
      </w:r>
      <w:r w:rsidRPr="006F40E4">
        <w:t>тинское руководство по содействию применению принципов Орхусской ко</w:t>
      </w:r>
      <w:r w:rsidRPr="006F40E4">
        <w:t>н</w:t>
      </w:r>
      <w:r w:rsidRPr="006F40E4">
        <w:t>венции на международных форумах (Алматинское руководство), принятое р</w:t>
      </w:r>
      <w:r w:rsidRPr="006F40E4">
        <w:t>е</w:t>
      </w:r>
      <w:r w:rsidRPr="006F40E4">
        <w:t xml:space="preserve">шением II/4, в ходе осуществления соответствующей деятельности и в рамках вспомогательных органов, созданных в соответствии с Конвенцией; </w:t>
      </w:r>
    </w:p>
    <w:p w:rsidR="006F40E4" w:rsidRPr="006F40E4" w:rsidRDefault="006F40E4" w:rsidP="00FE69BC">
      <w:pPr>
        <w:pStyle w:val="SingleTxtGR"/>
        <w:keepNext/>
        <w:keepLines/>
      </w:pPr>
      <w:r w:rsidRPr="006F40E4">
        <w:tab/>
        <w:t>4.</w:t>
      </w:r>
      <w:r w:rsidRPr="006F40E4">
        <w:tab/>
      </w:r>
      <w:r w:rsidRPr="00FE69BC">
        <w:rPr>
          <w:i/>
          <w:iCs/>
        </w:rPr>
        <w:t>призывает</w:t>
      </w:r>
      <w:r w:rsidRPr="006F40E4">
        <w:t xml:space="preserve"> каждую Сторону:</w:t>
      </w:r>
    </w:p>
    <w:p w:rsidR="006F40E4" w:rsidRPr="006F40E4" w:rsidRDefault="006F40E4" w:rsidP="006F40E4">
      <w:pPr>
        <w:pStyle w:val="SingleTxtGR"/>
      </w:pPr>
      <w:r w:rsidRPr="006F40E4">
        <w:tab/>
        <w:t>a)</w:t>
      </w:r>
      <w:r w:rsidRPr="006F40E4">
        <w:tab/>
        <w:t>принимать дальнейшие меры по содействию участию обществе</w:t>
      </w:r>
      <w:r w:rsidRPr="006F40E4">
        <w:t>н</w:t>
      </w:r>
      <w:r w:rsidRPr="006F40E4">
        <w:t>ности на национальном уровне в международных процессах принятия решений, касающихся окружающей среды, и предпринимать надлежащие действия в ра</w:t>
      </w:r>
      <w:r w:rsidRPr="006F40E4">
        <w:t>м</w:t>
      </w:r>
      <w:r w:rsidRPr="006F40E4">
        <w:t>ках международных организаций в вопросах, относящихся к окружающей ср</w:t>
      </w:r>
      <w:r w:rsidRPr="006F40E4">
        <w:t>е</w:t>
      </w:r>
      <w:r w:rsidRPr="006F40E4">
        <w:t>де, с учетом соответствующих положений Алматинского руководства;</w:t>
      </w:r>
    </w:p>
    <w:p w:rsidR="006F40E4" w:rsidRPr="006F40E4" w:rsidRDefault="006F40E4" w:rsidP="006F40E4">
      <w:pPr>
        <w:pStyle w:val="SingleTxtGR"/>
      </w:pPr>
      <w:r w:rsidRPr="006F40E4">
        <w:tab/>
        <w:t>b)</w:t>
      </w:r>
      <w:r w:rsidRPr="006F40E4">
        <w:tab/>
        <w:t xml:space="preserve">осуществлять взаимодействие внутри своих министерств и между ними с целью информировать должностные лица, участвующие в работе других соответствующих международных форумов, о положениях пункта 7 статьи 3 Конвенции и Алматинском руководстве; </w:t>
      </w:r>
    </w:p>
    <w:p w:rsidR="006F40E4" w:rsidRPr="006F40E4" w:rsidRDefault="006F40E4" w:rsidP="006F40E4">
      <w:pPr>
        <w:pStyle w:val="SingleTxtGR"/>
      </w:pPr>
      <w:r w:rsidRPr="006F40E4">
        <w:tab/>
        <w:t>c)</w:t>
      </w:r>
      <w:r w:rsidRPr="006F40E4">
        <w:tab/>
        <w:t>рассмотреть новаторские пути расширения доступа своей общ</w:t>
      </w:r>
      <w:r w:rsidRPr="006F40E4">
        <w:t>е</w:t>
      </w:r>
      <w:r w:rsidRPr="006F40E4">
        <w:t>ственности к информации и участия общественности в международных фор</w:t>
      </w:r>
      <w:r w:rsidRPr="006F40E4">
        <w:t>у</w:t>
      </w:r>
      <w:r w:rsidRPr="006F40E4">
        <w:t>мах и осуще</w:t>
      </w:r>
      <w:r w:rsidR="009C7932">
        <w:t>ствлять обмен опытом с другими С</w:t>
      </w:r>
      <w:r w:rsidRPr="006F40E4">
        <w:t xml:space="preserve">торонами; </w:t>
      </w:r>
    </w:p>
    <w:p w:rsidR="006F40E4" w:rsidRPr="006F40E4" w:rsidRDefault="006F40E4" w:rsidP="006F40E4">
      <w:pPr>
        <w:pStyle w:val="SingleTxtGR"/>
      </w:pPr>
      <w:r w:rsidRPr="006F40E4">
        <w:tab/>
        <w:t>d)</w:t>
      </w:r>
      <w:r w:rsidRPr="006F40E4">
        <w:tab/>
        <w:t>продолжать индивидуально или в сотрудничестве с другими Ст</w:t>
      </w:r>
      <w:r w:rsidRPr="006F40E4">
        <w:t>о</w:t>
      </w:r>
      <w:r w:rsidRPr="006F40E4">
        <w:t>ронами, сигнатариями или правительствами-единомышленниками содейств</w:t>
      </w:r>
      <w:r w:rsidRPr="006F40E4">
        <w:t>о</w:t>
      </w:r>
      <w:r w:rsidRPr="006F40E4">
        <w:t xml:space="preserve">вать пропаганде принципов Конвенции в процедурах других международных форумов и в программах работы, проектах, решениях, инструментах и других субстантивных итогах тех форумов, в практике которых в настоящее время не нашли отражение Алматинское руководство или принципы Конвенции; </w:t>
      </w:r>
    </w:p>
    <w:p w:rsidR="006F40E4" w:rsidRPr="006F40E4" w:rsidRDefault="006F40E4" w:rsidP="006F40E4">
      <w:pPr>
        <w:pStyle w:val="SingleTxtGR"/>
      </w:pPr>
      <w:r w:rsidRPr="006F40E4">
        <w:tab/>
        <w:t>e)</w:t>
      </w:r>
      <w:r w:rsidRPr="006F40E4">
        <w:tab/>
        <w:t>рассмотреть вопрос об оказании экспертной помощи другим заи</w:t>
      </w:r>
      <w:r w:rsidRPr="006F40E4">
        <w:t>н</w:t>
      </w:r>
      <w:r w:rsidRPr="006F40E4">
        <w:t>тересованным сторонам, сигнатариям и правительствам в отношении возмо</w:t>
      </w:r>
      <w:r w:rsidRPr="006F40E4">
        <w:t>ж</w:t>
      </w:r>
      <w:r w:rsidRPr="006F40E4">
        <w:t>ной надлежащей практики содействия более эффективному участию общ</w:t>
      </w:r>
      <w:r w:rsidRPr="006F40E4">
        <w:t>е</w:t>
      </w:r>
      <w:r w:rsidRPr="006F40E4">
        <w:t>ственности в международных форумах, в том числе при проведении важных международных мероприятий;</w:t>
      </w:r>
    </w:p>
    <w:p w:rsidR="006F40E4" w:rsidRPr="006F40E4" w:rsidRDefault="00FE69BC" w:rsidP="006F40E4">
      <w:pPr>
        <w:pStyle w:val="SingleTxtGR"/>
      </w:pPr>
      <w:r>
        <w:tab/>
      </w:r>
      <w:r w:rsidR="006F40E4" w:rsidRPr="006F40E4">
        <w:t>f)</w:t>
      </w:r>
      <w:r w:rsidR="006F40E4" w:rsidRPr="006F40E4">
        <w:tab/>
        <w:t xml:space="preserve">использовать в качестве руководства контрольный перечень мер, подготовленный под эгидой Конвенции, в процессе разработки планов действий по систематической пропаганде принципов Конвенции на всех международных форумах, которые посвящены вопросам, касающимся окружающей среды; </w:t>
      </w:r>
    </w:p>
    <w:p w:rsidR="006F40E4" w:rsidRPr="006F40E4" w:rsidRDefault="007F7982" w:rsidP="006F40E4">
      <w:pPr>
        <w:pStyle w:val="SingleTxtGR"/>
      </w:pPr>
      <w:r>
        <w:tab/>
      </w:r>
      <w:r w:rsidR="006F40E4" w:rsidRPr="006F40E4">
        <w:t>5.</w:t>
      </w:r>
      <w:r w:rsidR="006F40E4" w:rsidRPr="006F40E4">
        <w:tab/>
      </w:r>
      <w:r w:rsidR="006F40E4" w:rsidRPr="009C7932">
        <w:rPr>
          <w:i/>
          <w:iCs/>
        </w:rPr>
        <w:t>постановляет</w:t>
      </w:r>
      <w:r w:rsidR="006F40E4" w:rsidRPr="006F40E4">
        <w:t xml:space="preserve"> продолжить работу по содействию применению принципов Конвенции на международных форумах под руководством Рабочей группы Сторон;</w:t>
      </w:r>
    </w:p>
    <w:p w:rsidR="006F40E4" w:rsidRPr="006F40E4" w:rsidRDefault="007F7982" w:rsidP="006F40E4">
      <w:pPr>
        <w:pStyle w:val="SingleTxtGR"/>
      </w:pPr>
      <w:r>
        <w:tab/>
      </w:r>
      <w:r w:rsidR="006F40E4" w:rsidRPr="006F40E4">
        <w:t>6.</w:t>
      </w:r>
      <w:r w:rsidR="006F40E4" w:rsidRPr="006F40E4">
        <w:tab/>
      </w:r>
      <w:r w:rsidR="006F40E4" w:rsidRPr="007F7982">
        <w:rPr>
          <w:i/>
          <w:iCs/>
        </w:rPr>
        <w:t>просит</w:t>
      </w:r>
      <w:r w:rsidR="006F40E4" w:rsidRPr="006F40E4">
        <w:t xml:space="preserve"> Рабочую группу:</w:t>
      </w:r>
    </w:p>
    <w:p w:rsidR="006F40E4" w:rsidRPr="006F40E4" w:rsidRDefault="006F40E4" w:rsidP="006F40E4">
      <w:pPr>
        <w:pStyle w:val="SingleTxtGR"/>
      </w:pPr>
      <w:r w:rsidRPr="006F40E4">
        <w:tab/>
        <w:t>a)</w:t>
      </w:r>
      <w:r w:rsidRPr="006F40E4">
        <w:tab/>
        <w:t>регулярно проводить, исходя из потребностей, тематическое зас</w:t>
      </w:r>
      <w:r w:rsidRPr="006F40E4">
        <w:t>е</w:t>
      </w:r>
      <w:r w:rsidRPr="006F40E4">
        <w:t>дание, посвященное пропаганде принципов Конвенции на международных ф</w:t>
      </w:r>
      <w:r w:rsidRPr="006F40E4">
        <w:t>о</w:t>
      </w:r>
      <w:r w:rsidRPr="006F40E4">
        <w:t>румах, в ходе своих совещаний, с тем чтобы обеспечить для Сторон, сигнатар</w:t>
      </w:r>
      <w:r w:rsidRPr="006F40E4">
        <w:t>и</w:t>
      </w:r>
      <w:r w:rsidRPr="006F40E4">
        <w:t>ев и заинтересованных субъектов возможность обмениваться опытом в конте</w:t>
      </w:r>
      <w:r w:rsidRPr="006F40E4">
        <w:t>к</w:t>
      </w:r>
      <w:r w:rsidRPr="006F40E4">
        <w:t>сте содействия применению принципов Конвенции в отношении тех междун</w:t>
      </w:r>
      <w:r w:rsidRPr="006F40E4">
        <w:t>а</w:t>
      </w:r>
      <w:r w:rsidRPr="006F40E4">
        <w:t>родных форумов, которые, согласно определению, содержащемуся в пункте 4 Алматинского руководства, будут указаны Сторонами или заинтересованными субъектами в качестве имеющих особо приоритетное значение;</w:t>
      </w:r>
    </w:p>
    <w:p w:rsidR="006F40E4" w:rsidRPr="006F40E4" w:rsidRDefault="006F40E4" w:rsidP="006F40E4">
      <w:pPr>
        <w:pStyle w:val="SingleTxtGR"/>
      </w:pPr>
      <w:r w:rsidRPr="006F40E4">
        <w:tab/>
        <w:t>b)</w:t>
      </w:r>
      <w:r w:rsidRPr="006F40E4">
        <w:tab/>
        <w:t>если она сочтет, что один или несколько конкретных вопросов з</w:t>
      </w:r>
      <w:r w:rsidRPr="006F40E4">
        <w:t>а</w:t>
      </w:r>
      <w:r w:rsidRPr="006F40E4">
        <w:t>служивают дополнительного углубленного рассмотрения, провести, на спец</w:t>
      </w:r>
      <w:r w:rsidRPr="006F40E4">
        <w:t>и</w:t>
      </w:r>
      <w:r w:rsidRPr="006F40E4">
        <w:t xml:space="preserve">альной основе, рабочее совещание или </w:t>
      </w:r>
      <w:r w:rsidR="009C7932">
        <w:t>другое мероприятие по этой теме</w:t>
      </w:r>
      <w:r w:rsidRPr="006F40E4">
        <w:t xml:space="preserve"> и/или поручить консультанту или группе экспертов рассмотреть этот вопрос и соо</w:t>
      </w:r>
      <w:r w:rsidRPr="006F40E4">
        <w:t>б</w:t>
      </w:r>
      <w:r w:rsidRPr="006F40E4">
        <w:t xml:space="preserve">щить о своих выводах Рабочей группе, при условии наличия ресурсов; </w:t>
      </w:r>
    </w:p>
    <w:p w:rsidR="006F40E4" w:rsidRPr="006F40E4" w:rsidRDefault="007F7982" w:rsidP="009C7932">
      <w:pPr>
        <w:pStyle w:val="SingleTxtGR"/>
        <w:keepNext/>
        <w:keepLines/>
        <w:spacing w:line="230" w:lineRule="atLeast"/>
      </w:pPr>
      <w:r>
        <w:tab/>
      </w:r>
      <w:r w:rsidR="006F40E4" w:rsidRPr="006F40E4">
        <w:t>c)</w:t>
      </w:r>
      <w:r w:rsidR="006F40E4" w:rsidRPr="006F40E4">
        <w:tab/>
        <w:t>уделять основное внимание форумам, занимающимся проблемой изменения кли</w:t>
      </w:r>
      <w:r>
        <w:t>мата [, торговыми переговорами]</w:t>
      </w:r>
      <w:r w:rsidR="009C7932">
        <w:rPr>
          <w:rStyle w:val="a6"/>
        </w:rPr>
        <w:footnoteReference w:id="1"/>
      </w:r>
      <w:r w:rsidR="006F40E4" w:rsidRPr="006F40E4">
        <w:t xml:space="preserve"> и биобезопасностью, призн</w:t>
      </w:r>
      <w:r w:rsidR="006F40E4" w:rsidRPr="006F40E4">
        <w:t>а</w:t>
      </w:r>
      <w:r w:rsidR="006F40E4" w:rsidRPr="006F40E4">
        <w:t xml:space="preserve">вая в то же время, что другие форумы также могут стать объектом внимания при условии принятия Сторонами соответствующего решения; </w:t>
      </w:r>
    </w:p>
    <w:p w:rsidR="006F40E4" w:rsidRPr="006F40E4" w:rsidRDefault="007F7982" w:rsidP="00C11A12">
      <w:pPr>
        <w:pStyle w:val="SingleTxtGR"/>
        <w:spacing w:line="230" w:lineRule="atLeast"/>
      </w:pPr>
      <w:r>
        <w:tab/>
      </w:r>
      <w:r w:rsidR="006F40E4" w:rsidRPr="006F40E4">
        <w:t>d)</w:t>
      </w:r>
      <w:r w:rsidR="006F40E4" w:rsidRPr="006F40E4">
        <w:tab/>
        <w:t>продолжить рассмотрение сквозных вопросов (например, вопросов инновационной практики, различных условий для вовлечения заинтересова</w:t>
      </w:r>
      <w:r w:rsidR="006F40E4" w:rsidRPr="006F40E4">
        <w:t>н</w:t>
      </w:r>
      <w:r w:rsidR="006F40E4" w:rsidRPr="006F40E4">
        <w:t>ных сторон и самоорганизации заинтересованных сторон);</w:t>
      </w:r>
    </w:p>
    <w:p w:rsidR="006F40E4" w:rsidRPr="006F40E4" w:rsidRDefault="007F7982" w:rsidP="00C11A12">
      <w:pPr>
        <w:pStyle w:val="SingleTxtGR"/>
        <w:spacing w:line="230" w:lineRule="atLeast"/>
      </w:pPr>
      <w:r>
        <w:tab/>
      </w:r>
      <w:r w:rsidR="006F40E4" w:rsidRPr="006F40E4">
        <w:t>e)</w:t>
      </w:r>
      <w:r w:rsidR="006F40E4" w:rsidRPr="006F40E4">
        <w:tab/>
        <w:t>продолжать следить за прогрессом в политике Программы Орган</w:t>
      </w:r>
      <w:r w:rsidR="006F40E4" w:rsidRPr="006F40E4">
        <w:t>и</w:t>
      </w:r>
      <w:r w:rsidR="006F40E4" w:rsidRPr="006F40E4">
        <w:t>зации Объединенных Наций по окружающей среде по вопросам вовлечения з</w:t>
      </w:r>
      <w:r w:rsidR="006F40E4" w:rsidRPr="006F40E4">
        <w:t>а</w:t>
      </w:r>
      <w:r w:rsidR="006F40E4" w:rsidRPr="006F40E4">
        <w:t>интересованных сторон и обеспечения доступа к информации, пропагандой принципов Ко</w:t>
      </w:r>
      <w:r w:rsidR="009C7932">
        <w:t>нвенции в процессе осуществления</w:t>
      </w:r>
      <w:r w:rsidR="006F40E4" w:rsidRPr="006F40E4">
        <w:t xml:space="preserve"> Повестки дня в области устойчивого развития на период до 2030 года и в международных финансовых учреждениях;</w:t>
      </w:r>
    </w:p>
    <w:p w:rsidR="006F40E4" w:rsidRPr="006F40E4" w:rsidRDefault="006F40E4" w:rsidP="00C11A12">
      <w:pPr>
        <w:pStyle w:val="SingleTxtGR"/>
        <w:spacing w:line="230" w:lineRule="atLeast"/>
      </w:pPr>
      <w:r w:rsidRPr="006F40E4">
        <w:tab/>
        <w:t>7.</w:t>
      </w:r>
      <w:r w:rsidRPr="006F40E4">
        <w:tab/>
      </w:r>
      <w:r w:rsidRPr="007F7982">
        <w:rPr>
          <w:i/>
          <w:iCs/>
        </w:rPr>
        <w:t>просит</w:t>
      </w:r>
      <w:r w:rsidRPr="006F40E4">
        <w:t xml:space="preserve"> секретариат:</w:t>
      </w:r>
    </w:p>
    <w:p w:rsidR="006F40E4" w:rsidRPr="006F40E4" w:rsidRDefault="006F40E4" w:rsidP="00C11A12">
      <w:pPr>
        <w:pStyle w:val="SingleTxtGR"/>
        <w:spacing w:line="230" w:lineRule="atLeast"/>
      </w:pPr>
      <w:r w:rsidRPr="006F40E4">
        <w:tab/>
        <w:t>a)</w:t>
      </w:r>
      <w:r w:rsidRPr="006F40E4">
        <w:tab/>
        <w:t xml:space="preserve">осуществлять контроль за сбором и распространением информации о надлежащей практике и инновационных инициативах с целью содействовать применению принципов Конвенции через Орхусскую онлайновую базу данных о надлежащей практике; </w:t>
      </w:r>
    </w:p>
    <w:p w:rsidR="006F40E4" w:rsidRPr="006F40E4" w:rsidRDefault="007F7982" w:rsidP="00C11A12">
      <w:pPr>
        <w:pStyle w:val="SingleTxtGR"/>
        <w:spacing w:line="230" w:lineRule="atLeast"/>
      </w:pPr>
      <w:r>
        <w:tab/>
      </w:r>
      <w:r w:rsidR="006F40E4" w:rsidRPr="006F40E4">
        <w:t>b)</w:t>
      </w:r>
      <w:r w:rsidR="006F40E4" w:rsidRPr="006F40E4">
        <w:tab/>
        <w:t>при условии наличия ресурсов, предоставлять по запросу экспер</w:t>
      </w:r>
      <w:r w:rsidR="006F40E4" w:rsidRPr="006F40E4">
        <w:t>т</w:t>
      </w:r>
      <w:r w:rsidR="006F40E4" w:rsidRPr="006F40E4">
        <w:t>ную помощь, включая в надлежащих случаях подготовку замечаний по прое</w:t>
      </w:r>
      <w:r w:rsidR="006F40E4" w:rsidRPr="006F40E4">
        <w:t>к</w:t>
      </w:r>
      <w:r w:rsidR="006F40E4" w:rsidRPr="006F40E4">
        <w:t>там документов и участие экспертов в рамках совещаний и мероприятий, орг</w:t>
      </w:r>
      <w:r w:rsidR="006F40E4" w:rsidRPr="006F40E4">
        <w:t>а</w:t>
      </w:r>
      <w:r w:rsidR="006F40E4" w:rsidRPr="006F40E4">
        <w:t>низуемых международными форумами, курсов подготовки, рабочих совещаний, учебных центров или других платформ:</w:t>
      </w:r>
    </w:p>
    <w:p w:rsidR="006F40E4" w:rsidRPr="006F40E4" w:rsidRDefault="007F7982" w:rsidP="00C11A12">
      <w:pPr>
        <w:pStyle w:val="SingleTxtGR"/>
        <w:spacing w:line="230" w:lineRule="atLeast"/>
        <w:ind w:left="1701" w:hanging="567"/>
      </w:pPr>
      <w:r>
        <w:tab/>
      </w:r>
      <w:r w:rsidR="006F40E4" w:rsidRPr="007F7982">
        <w:rPr>
          <w:spacing w:val="2"/>
        </w:rPr>
        <w:t>i)</w:t>
      </w:r>
      <w:r w:rsidR="006F40E4" w:rsidRPr="007F7982">
        <w:rPr>
          <w:spacing w:val="2"/>
        </w:rPr>
        <w:tab/>
        <w:t>заинтересованным международным форумам, стремящимся к бол</w:t>
      </w:r>
      <w:r w:rsidR="006F40E4" w:rsidRPr="007F7982">
        <w:rPr>
          <w:spacing w:val="2"/>
        </w:rPr>
        <w:t>ь</w:t>
      </w:r>
      <w:r w:rsidR="006F40E4" w:rsidRPr="007F7982">
        <w:rPr>
          <w:spacing w:val="2"/>
        </w:rPr>
        <w:t>шей</w:t>
      </w:r>
      <w:r w:rsidR="006F40E4" w:rsidRPr="006F40E4">
        <w:t xml:space="preserve"> транспарентности и партисипативности их процессов;</w:t>
      </w:r>
    </w:p>
    <w:p w:rsidR="006F40E4" w:rsidRPr="006F40E4" w:rsidRDefault="006F40E4" w:rsidP="00C11A12">
      <w:pPr>
        <w:pStyle w:val="SingleTxtGR"/>
        <w:spacing w:line="230" w:lineRule="atLeast"/>
        <w:ind w:left="1701" w:hanging="567"/>
      </w:pPr>
      <w:r w:rsidRPr="006F40E4">
        <w:tab/>
        <w:t>ii)</w:t>
      </w:r>
      <w:r w:rsidRPr="006F40E4">
        <w:tab/>
        <w:t>отдельным Сторонам, желающим создать инструменты или мех</w:t>
      </w:r>
      <w:r w:rsidRPr="006F40E4">
        <w:t>а</w:t>
      </w:r>
      <w:r w:rsidRPr="006F40E4">
        <w:t xml:space="preserve">низмы оказания помощи общественности в повышении эффективности ее участия в международных форумах, в том числе при организации в стране важной конференции какого-либо международного форума; </w:t>
      </w:r>
    </w:p>
    <w:p w:rsidR="006F40E4" w:rsidRPr="006F40E4" w:rsidRDefault="006F40E4" w:rsidP="00C11A12">
      <w:pPr>
        <w:pStyle w:val="SingleTxtGR"/>
        <w:spacing w:line="230" w:lineRule="atLeast"/>
      </w:pPr>
      <w:r w:rsidRPr="006F40E4">
        <w:tab/>
        <w:t>8.</w:t>
      </w:r>
      <w:r w:rsidRPr="006F40E4">
        <w:tab/>
      </w:r>
      <w:r w:rsidRPr="007F7982">
        <w:rPr>
          <w:i/>
          <w:iCs/>
        </w:rPr>
        <w:t>предлагает</w:t>
      </w:r>
      <w:r w:rsidRPr="006F40E4">
        <w:t xml:space="preserve"> Сторонам, сигнатариям, международным и другим </w:t>
      </w:r>
      <w:r w:rsidRPr="007F7982">
        <w:rPr>
          <w:spacing w:val="2"/>
        </w:rPr>
        <w:t>о</w:t>
      </w:r>
      <w:r w:rsidRPr="007F7982">
        <w:rPr>
          <w:spacing w:val="2"/>
        </w:rPr>
        <w:t>р</w:t>
      </w:r>
      <w:r w:rsidRPr="007F7982">
        <w:rPr>
          <w:spacing w:val="2"/>
        </w:rPr>
        <w:t>ганизациям продолжать оказывать поддержку в осуществлении пункта 7 статьи 3</w:t>
      </w:r>
      <w:r w:rsidRPr="006F40E4">
        <w:t xml:space="preserve"> Конвенции:</w:t>
      </w:r>
    </w:p>
    <w:p w:rsidR="006F40E4" w:rsidRPr="006F40E4" w:rsidRDefault="006F40E4" w:rsidP="00C11A12">
      <w:pPr>
        <w:pStyle w:val="SingleTxtGR"/>
        <w:spacing w:line="230" w:lineRule="atLeast"/>
      </w:pPr>
      <w:r w:rsidRPr="006F40E4">
        <w:tab/>
        <w:t>a)</w:t>
      </w:r>
      <w:r w:rsidRPr="006F40E4">
        <w:tab/>
        <w:t>на национальном уровне – путем поддержки участия общественн</w:t>
      </w:r>
      <w:r w:rsidRPr="006F40E4">
        <w:t>о</w:t>
      </w:r>
      <w:r w:rsidRPr="006F40E4">
        <w:t>сти до, в ходе и после проведения совещаний и мероприятий международных форумов;</w:t>
      </w:r>
    </w:p>
    <w:p w:rsidR="006F40E4" w:rsidRPr="006F40E4" w:rsidRDefault="006F40E4" w:rsidP="00C11A12">
      <w:pPr>
        <w:pStyle w:val="SingleTxtGR"/>
        <w:spacing w:line="230" w:lineRule="atLeast"/>
      </w:pPr>
      <w:r w:rsidRPr="006F40E4">
        <w:tab/>
        <w:t>b)</w:t>
      </w:r>
      <w:r w:rsidRPr="006F40E4">
        <w:tab/>
        <w:t>на международном уровне – путем поддержки международных ф</w:t>
      </w:r>
      <w:r w:rsidRPr="006F40E4">
        <w:t>о</w:t>
      </w:r>
      <w:r w:rsidRPr="006F40E4">
        <w:t>румов для содействия более эффективному участию общественности в их пр</w:t>
      </w:r>
      <w:r w:rsidRPr="006F40E4">
        <w:t>о</w:t>
      </w:r>
      <w:r w:rsidRPr="006F40E4">
        <w:t>ектах, процессах и стратегиях;</w:t>
      </w:r>
    </w:p>
    <w:p w:rsidR="006F40E4" w:rsidRPr="006F40E4" w:rsidRDefault="006F40E4" w:rsidP="00C11A12">
      <w:pPr>
        <w:pStyle w:val="SingleTxtGR"/>
        <w:spacing w:line="230" w:lineRule="atLeast"/>
      </w:pPr>
      <w:r w:rsidRPr="006F40E4">
        <w:tab/>
        <w:t>c)</w:t>
      </w:r>
      <w:r w:rsidRPr="006F40E4">
        <w:tab/>
        <w:t>путем поддержки деятельности в рамках программы работы Ко</w:t>
      </w:r>
      <w:r w:rsidRPr="006F40E4">
        <w:t>н</w:t>
      </w:r>
      <w:r w:rsidRPr="006F40E4">
        <w:t>венции по этой теме, включая оказываемую секретариатом экспертную помощь и проводимую им работу по наращиванию потенциала, с тем чтобы он мог б</w:t>
      </w:r>
      <w:r w:rsidRPr="006F40E4">
        <w:t>о</w:t>
      </w:r>
      <w:r w:rsidRPr="006F40E4">
        <w:t>лее эффективно реагировать на ожидаемый текущий спрос;</w:t>
      </w:r>
    </w:p>
    <w:p w:rsidR="006F40E4" w:rsidRPr="006F40E4" w:rsidRDefault="006F40E4" w:rsidP="00C11A12">
      <w:pPr>
        <w:pStyle w:val="SingleTxtGR"/>
        <w:keepNext/>
        <w:keepLines/>
        <w:spacing w:line="230" w:lineRule="atLeast"/>
      </w:pPr>
      <w:r>
        <w:tab/>
        <w:t>9.</w:t>
      </w:r>
      <w:r>
        <w:tab/>
      </w:r>
      <w:r w:rsidRPr="009C7932">
        <w:rPr>
          <w:i/>
          <w:iCs/>
        </w:rPr>
        <w:t>приветствует</w:t>
      </w:r>
      <w:r>
        <w:t xml:space="preserve"> предложение</w:t>
      </w:r>
      <w:r w:rsidRPr="006F40E4">
        <w:t xml:space="preserve"> </w:t>
      </w:r>
      <w:r>
        <w:t>…</w:t>
      </w:r>
      <w:r w:rsidRPr="006F40E4">
        <w:t xml:space="preserve"> возглавить работу по содействию применению принципов Конвенции на международных форумах.</w:t>
      </w:r>
    </w:p>
    <w:p w:rsidR="00A658DB" w:rsidRPr="006F40E4" w:rsidRDefault="006F40E4" w:rsidP="006F40E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6F40E4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E4" w:rsidRDefault="006F40E4" w:rsidP="00B471C5">
      <w:r>
        <w:separator/>
      </w:r>
    </w:p>
  </w:endnote>
  <w:endnote w:type="continuationSeparator" w:id="0">
    <w:p w:rsidR="006F40E4" w:rsidRDefault="006F40E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C11A12" w:rsidRDefault="007005EE" w:rsidP="007005EE">
    <w:pPr>
      <w:pStyle w:val="a7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0099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C11A12">
      <w:rPr>
        <w:lang w:val="en-US"/>
      </w:rPr>
      <w:t>GE.1</w:t>
    </w:r>
    <w:r w:rsidR="00C11A12">
      <w:rPr>
        <w:lang w:val="ru-RU"/>
      </w:rPr>
      <w:t>7</w:t>
    </w:r>
    <w:r>
      <w:rPr>
        <w:lang w:val="en-US"/>
      </w:rPr>
      <w:t>-</w:t>
    </w:r>
    <w:r w:rsidR="00C11A12">
      <w:rPr>
        <w:lang w:val="ru-RU"/>
      </w:rPr>
      <w:t>00490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C11A12" w:rsidP="007005EE">
    <w:pPr>
      <w:pStyle w:val="a7"/>
      <w:rPr>
        <w:lang w:val="en-US"/>
      </w:rPr>
    </w:pPr>
    <w:r>
      <w:rPr>
        <w:lang w:val="en-US"/>
      </w:rPr>
      <w:t>GE.1</w:t>
    </w:r>
    <w:r>
      <w:rPr>
        <w:lang w:val="ru-RU"/>
      </w:rPr>
      <w:t>7</w:t>
    </w:r>
    <w:r>
      <w:rPr>
        <w:lang w:val="en-US"/>
      </w:rPr>
      <w:t>-</w:t>
    </w:r>
    <w:r>
      <w:rPr>
        <w:lang w:val="ru-RU"/>
      </w:rPr>
      <w:t>00490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B0099E">
      <w:rPr>
        <w:b/>
        <w:noProof/>
        <w:sz w:val="18"/>
        <w:szCs w:val="18"/>
      </w:rPr>
      <w:t>3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11A12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</w:t>
          </w:r>
          <w:r w:rsidR="00C11A12">
            <w:rPr>
              <w:lang w:val="en-US"/>
            </w:rPr>
            <w:t>E.1</w:t>
          </w:r>
          <w:r w:rsidR="00C11A12">
            <w:t>7</w:t>
          </w:r>
          <w:r w:rsidRPr="001C3ABC">
            <w:rPr>
              <w:lang w:val="en-US"/>
            </w:rPr>
            <w:t>-</w:t>
          </w:r>
          <w:r w:rsidR="00C11A12">
            <w:t>00490</w:t>
          </w:r>
          <w:r w:rsidRPr="001C3ABC">
            <w:rPr>
              <w:lang w:val="en-US"/>
            </w:rPr>
            <w:t xml:space="preserve"> (R)</w:t>
          </w:r>
          <w:r w:rsidR="00C11A12">
            <w:t xml:space="preserve">  030217  060217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11A12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MP.PP/WG.1/2017/L.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P/WG.1/2017/L.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11A12" w:rsidRDefault="00C11A1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11A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11A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11A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11A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11A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11A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11A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11A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11A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E4" w:rsidRPr="009141DC" w:rsidRDefault="006F40E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F40E4" w:rsidRPr="00D1261C" w:rsidRDefault="006F40E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C7932" w:rsidRPr="006F40E4" w:rsidRDefault="009C7932" w:rsidP="009C7932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6F40E4">
        <w:rPr>
          <w:lang w:val="ru-RU"/>
        </w:rPr>
        <w:tab/>
        <w:t>По просьбе Европейского союза и его государс</w:t>
      </w:r>
      <w:r>
        <w:rPr>
          <w:lang w:val="ru-RU"/>
        </w:rPr>
        <w:t>тв-членов этот текст заключен в </w:t>
      </w:r>
      <w:r w:rsidRPr="006F40E4">
        <w:rPr>
          <w:lang w:val="ru-RU"/>
        </w:rPr>
        <w:t>квадратные скобки.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C11A12">
    <w:pPr>
      <w:pStyle w:val="a3"/>
      <w:rPr>
        <w:lang w:val="en-US"/>
      </w:rPr>
    </w:pPr>
    <w:r w:rsidRPr="00C11A12">
      <w:rPr>
        <w:lang w:val="en-US"/>
      </w:rPr>
      <w:t>ECE/MP.PP/WG.1/2017/L.4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C11A12" w:rsidP="007005EE">
    <w:pPr>
      <w:pStyle w:val="a3"/>
      <w:jc w:val="right"/>
      <w:rPr>
        <w:lang w:val="en-US"/>
      </w:rPr>
    </w:pPr>
    <w:r w:rsidRPr="00C11A12">
      <w:rPr>
        <w:lang w:val="en-US"/>
      </w:rPr>
      <w:t>ECE/MP.PP/WG.1/2017/L.4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E4"/>
    <w:rsid w:val="000450D1"/>
    <w:rsid w:val="000B1FD5"/>
    <w:rsid w:val="000F2A4F"/>
    <w:rsid w:val="00203F84"/>
    <w:rsid w:val="00275188"/>
    <w:rsid w:val="0028687D"/>
    <w:rsid w:val="00292407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0E4"/>
    <w:rsid w:val="006F49F1"/>
    <w:rsid w:val="007005EE"/>
    <w:rsid w:val="00705394"/>
    <w:rsid w:val="00743F62"/>
    <w:rsid w:val="00760D3A"/>
    <w:rsid w:val="00773BA8"/>
    <w:rsid w:val="007A1F42"/>
    <w:rsid w:val="007D76DD"/>
    <w:rsid w:val="007F7982"/>
    <w:rsid w:val="008717E8"/>
    <w:rsid w:val="008D01AE"/>
    <w:rsid w:val="008E0423"/>
    <w:rsid w:val="009141DC"/>
    <w:rsid w:val="009174A1"/>
    <w:rsid w:val="0098674D"/>
    <w:rsid w:val="00997ACA"/>
    <w:rsid w:val="009C7932"/>
    <w:rsid w:val="009F4853"/>
    <w:rsid w:val="00A03FB7"/>
    <w:rsid w:val="00A55C56"/>
    <w:rsid w:val="00A658DB"/>
    <w:rsid w:val="00A75A11"/>
    <w:rsid w:val="00A76E81"/>
    <w:rsid w:val="00A9606E"/>
    <w:rsid w:val="00AD7EAD"/>
    <w:rsid w:val="00B0099E"/>
    <w:rsid w:val="00B35A32"/>
    <w:rsid w:val="00B432C6"/>
    <w:rsid w:val="00B471C5"/>
    <w:rsid w:val="00B6474A"/>
    <w:rsid w:val="00BE1742"/>
    <w:rsid w:val="00C11A12"/>
    <w:rsid w:val="00D1261C"/>
    <w:rsid w:val="00D26030"/>
    <w:rsid w:val="00D32465"/>
    <w:rsid w:val="00D75DCE"/>
    <w:rsid w:val="00DD35AC"/>
    <w:rsid w:val="00DD479F"/>
    <w:rsid w:val="00E05CDB"/>
    <w:rsid w:val="00E15E48"/>
    <w:rsid w:val="00EB0723"/>
    <w:rsid w:val="00EB2957"/>
    <w:rsid w:val="00EE6F37"/>
    <w:rsid w:val="00F1599F"/>
    <w:rsid w:val="00F31EF2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00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099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00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099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C9EC-D36A-460D-8F46-A0C21C68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TPSRUS2</cp:lastModifiedBy>
  <cp:revision>2</cp:revision>
  <cp:lastPrinted>2017-02-06T08:35:00Z</cp:lastPrinted>
  <dcterms:created xsi:type="dcterms:W3CDTF">2017-02-06T11:47:00Z</dcterms:created>
  <dcterms:modified xsi:type="dcterms:W3CDTF">2017-02-06T11:47:00Z</dcterms:modified>
</cp:coreProperties>
</file>