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B477D8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95327D" w:rsidRDefault="00A658DB" w:rsidP="007B199D">
            <w:pPr>
              <w:jc w:val="right"/>
              <w:rPr>
                <w:lang w:val="en-US"/>
              </w:rPr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95327D">
              <w:rPr>
                <w:lang w:val="en-US"/>
              </w:rPr>
              <w:t>/</w:t>
            </w:r>
            <w:r>
              <w:fldChar w:fldCharType="begin"/>
            </w:r>
            <w:r w:rsidRPr="0095327D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95327D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95327D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95327D">
              <w:rPr>
                <w:lang w:val="en-US"/>
              </w:rPr>
              <w:instrText xml:space="preserve"> </w:instrText>
            </w:r>
            <w:r>
              <w:instrText>Е</w:instrText>
            </w:r>
            <w:r w:rsidRPr="0095327D">
              <w:rPr>
                <w:lang w:val="en-US"/>
              </w:rPr>
              <w:instrText xml:space="preserve">CE/"  \* MERGEFORMAT </w:instrText>
            </w:r>
            <w:r>
              <w:fldChar w:fldCharType="separate"/>
            </w:r>
            <w:r w:rsidR="00ED51FF">
              <w:rPr>
                <w:lang w:val="en-US"/>
              </w:rPr>
              <w:t>MP.PP/WG.1/2017/L.3</w:t>
            </w:r>
            <w:r>
              <w:fldChar w:fldCharType="end"/>
            </w:r>
            <w:r w:rsidRPr="0095327D">
              <w:rPr>
                <w:lang w:val="en-US"/>
              </w:rPr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ED51FF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ED51FF">
              <w:t xml:space="preserve">12 </w:t>
            </w:r>
            <w:proofErr w:type="spellStart"/>
            <w:r w:rsidR="00ED51FF">
              <w:t>January</w:t>
            </w:r>
            <w:proofErr w:type="spellEnd"/>
            <w:r w:rsidR="00ED51FF">
              <w:t xml:space="preserve"> 2017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ED51FF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5327D" w:rsidRPr="0095327D" w:rsidRDefault="0095327D" w:rsidP="0095327D">
      <w:pPr>
        <w:spacing w:before="120"/>
        <w:rPr>
          <w:sz w:val="28"/>
          <w:szCs w:val="28"/>
        </w:rPr>
      </w:pPr>
      <w:r w:rsidRPr="0095327D">
        <w:rPr>
          <w:sz w:val="28"/>
          <w:szCs w:val="28"/>
        </w:rPr>
        <w:t>Совещ</w:t>
      </w:r>
      <w:r>
        <w:rPr>
          <w:sz w:val="28"/>
          <w:szCs w:val="28"/>
        </w:rPr>
        <w:t>ание Сторон Конвенции о доступе</w:t>
      </w:r>
      <w:r w:rsidRPr="0095327D">
        <w:rPr>
          <w:sz w:val="28"/>
          <w:szCs w:val="28"/>
        </w:rPr>
        <w:br/>
        <w:t>к информации, участии общественно</w:t>
      </w:r>
      <w:r>
        <w:rPr>
          <w:sz w:val="28"/>
          <w:szCs w:val="28"/>
        </w:rPr>
        <w:t>сти</w:t>
      </w:r>
      <w:r w:rsidRPr="0095327D">
        <w:rPr>
          <w:sz w:val="28"/>
          <w:szCs w:val="28"/>
        </w:rPr>
        <w:br/>
        <w:t>в проц</w:t>
      </w:r>
      <w:r>
        <w:rPr>
          <w:sz w:val="28"/>
          <w:szCs w:val="28"/>
        </w:rPr>
        <w:t>ессе принятия решений и доступе</w:t>
      </w:r>
      <w:r w:rsidRPr="0095327D">
        <w:rPr>
          <w:sz w:val="28"/>
          <w:szCs w:val="28"/>
        </w:rPr>
        <w:br/>
        <w:t>к правосудию по вопросам, каса</w:t>
      </w:r>
      <w:r>
        <w:rPr>
          <w:sz w:val="28"/>
          <w:szCs w:val="28"/>
        </w:rPr>
        <w:t>ющимся</w:t>
      </w:r>
      <w:r w:rsidRPr="0095327D">
        <w:rPr>
          <w:sz w:val="28"/>
          <w:szCs w:val="28"/>
        </w:rPr>
        <w:br/>
        <w:t>окружающей среды</w:t>
      </w:r>
    </w:p>
    <w:p w:rsidR="0095327D" w:rsidRPr="0095327D" w:rsidRDefault="0095327D" w:rsidP="0095327D">
      <w:pPr>
        <w:spacing w:before="120"/>
        <w:rPr>
          <w:b/>
          <w:bCs/>
          <w:sz w:val="24"/>
          <w:szCs w:val="24"/>
        </w:rPr>
      </w:pPr>
      <w:r w:rsidRPr="0095327D">
        <w:rPr>
          <w:b/>
          <w:bCs/>
          <w:sz w:val="24"/>
          <w:szCs w:val="24"/>
        </w:rPr>
        <w:t>Рабочая группа Сторон</w:t>
      </w:r>
    </w:p>
    <w:p w:rsidR="0095327D" w:rsidRPr="0095327D" w:rsidRDefault="0095327D" w:rsidP="0095327D">
      <w:pPr>
        <w:spacing w:before="120"/>
        <w:rPr>
          <w:b/>
          <w:bCs/>
        </w:rPr>
      </w:pPr>
      <w:r w:rsidRPr="0095327D">
        <w:rPr>
          <w:b/>
          <w:bCs/>
        </w:rPr>
        <w:t>Двадцать первое совещание</w:t>
      </w:r>
    </w:p>
    <w:p w:rsidR="0095327D" w:rsidRPr="0095327D" w:rsidRDefault="0095327D" w:rsidP="0095327D">
      <w:r w:rsidRPr="0095327D">
        <w:t>Женева, 4–6 апреля 2017 года</w:t>
      </w:r>
    </w:p>
    <w:p w:rsidR="0095327D" w:rsidRPr="0095327D" w:rsidRDefault="00BF3846" w:rsidP="0095327D">
      <w:r>
        <w:t xml:space="preserve">Пункт 3 </w:t>
      </w:r>
      <w:r>
        <w:rPr>
          <w:lang w:val="en-US"/>
        </w:rPr>
        <w:t>c</w:t>
      </w:r>
      <w:r w:rsidR="0095327D" w:rsidRPr="0095327D">
        <w:t>) предварительной повестки дня</w:t>
      </w:r>
    </w:p>
    <w:p w:rsidR="0095327D" w:rsidRPr="0095327D" w:rsidRDefault="0095327D" w:rsidP="0095327D">
      <w:pPr>
        <w:rPr>
          <w:b/>
          <w:bCs/>
        </w:rPr>
      </w:pPr>
      <w:r w:rsidRPr="0095327D">
        <w:rPr>
          <w:b/>
          <w:bCs/>
        </w:rPr>
        <w:t>Вопросы существа: доступ к правосудию</w:t>
      </w:r>
    </w:p>
    <w:p w:rsidR="0095327D" w:rsidRPr="0095327D" w:rsidRDefault="0095327D" w:rsidP="0095327D">
      <w:pPr>
        <w:pStyle w:val="HChGR"/>
      </w:pPr>
      <w:r w:rsidRPr="0095327D">
        <w:tab/>
      </w:r>
      <w:r w:rsidRPr="0095327D">
        <w:tab/>
        <w:t>Проект решения VI/... о содействии эффективному доступу к правосудию</w:t>
      </w:r>
    </w:p>
    <w:p w:rsidR="0095327D" w:rsidRPr="0095327D" w:rsidRDefault="0095327D" w:rsidP="0095327D">
      <w:pPr>
        <w:pStyle w:val="H1GR"/>
      </w:pPr>
      <w:r w:rsidRPr="0095327D">
        <w:tab/>
      </w:r>
      <w:r w:rsidRPr="0095327D">
        <w:tab/>
        <w:t>Подготовлен Президиумом</w:t>
      </w:r>
    </w:p>
    <w:tbl>
      <w:tblPr>
        <w:tblStyle w:val="ae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95327D" w:rsidTr="0095327D">
        <w:tc>
          <w:tcPr>
            <w:tcW w:w="9854" w:type="dxa"/>
            <w:shd w:val="clear" w:color="auto" w:fill="auto"/>
          </w:tcPr>
          <w:p w:rsidR="0095327D" w:rsidRPr="0095327D" w:rsidRDefault="0095327D" w:rsidP="0095327D">
            <w:pPr>
              <w:suppressAutoHyphens/>
              <w:spacing w:before="240" w:after="120"/>
              <w:ind w:left="255"/>
              <w:rPr>
                <w:i/>
                <w:sz w:val="24"/>
                <w:lang w:val="en-US"/>
              </w:rPr>
            </w:pPr>
            <w:r w:rsidRPr="0095327D">
              <w:rPr>
                <w:i/>
                <w:sz w:val="24"/>
                <w:lang w:val="en-US"/>
              </w:rPr>
              <w:t>Резюме</w:t>
            </w:r>
          </w:p>
        </w:tc>
      </w:tr>
      <w:tr w:rsidR="0095327D" w:rsidRPr="0095327D" w:rsidTr="0095327D">
        <w:tc>
          <w:tcPr>
            <w:tcW w:w="9854" w:type="dxa"/>
            <w:shd w:val="clear" w:color="auto" w:fill="auto"/>
          </w:tcPr>
          <w:p w:rsidR="0095327D" w:rsidRPr="0095327D" w:rsidRDefault="0095327D" w:rsidP="0095327D">
            <w:pPr>
              <w:pStyle w:val="SingleTxtGR"/>
            </w:pPr>
            <w:r w:rsidRPr="0095327D">
              <w:tab/>
              <w:t>В настоящем документе изложен проект решения о содействии эффе</w:t>
            </w:r>
            <w:r w:rsidRPr="0095327D">
              <w:t>к</w:t>
            </w:r>
            <w:r w:rsidRPr="0095327D">
              <w:t>тивному доступу к правосудию.</w:t>
            </w:r>
          </w:p>
        </w:tc>
      </w:tr>
      <w:tr w:rsidR="0095327D" w:rsidRPr="0095327D" w:rsidTr="00AC4975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95327D" w:rsidRPr="0095327D" w:rsidRDefault="0095327D" w:rsidP="0095327D">
            <w:pPr>
              <w:pStyle w:val="SingleTxtGR"/>
            </w:pPr>
            <w:r w:rsidRPr="0095327D">
              <w:tab/>
              <w:t>С учетом своего мандата, предусматривающего «представление Совещ</w:t>
            </w:r>
            <w:r w:rsidRPr="0095327D">
              <w:t>а</w:t>
            </w:r>
            <w:r w:rsidRPr="0095327D">
              <w:t>нию Сторон таких предложений и рекомендаций, какие она сочтет необход</w:t>
            </w:r>
            <w:r w:rsidRPr="0095327D">
              <w:t>и</w:t>
            </w:r>
            <w:r w:rsidRPr="0095327D">
              <w:t>мыми для достижения целей Конвенции» (ECE/MP.PP/2/Add.15, пункт 2 d)), на своем двадцатом совещании (Женева, 15–17 июня 2016 года) Рабочая группа Сторон Конвенции о доступе к информации, участии общественности в пр</w:t>
            </w:r>
            <w:r w:rsidRPr="0095327D">
              <w:t>о</w:t>
            </w:r>
            <w:r w:rsidRPr="0095327D">
              <w:t xml:space="preserve">цессе принятия решений и доступе к правосудию по вопросам, касающимся окружающей среды, просила Президиум подготовить проект решения о доступе к правосудию для рассмотрения Совещанием Сторон на его шестой сессии (Черногория, 11–14 сентября 2017 года). </w:t>
            </w:r>
          </w:p>
        </w:tc>
      </w:tr>
      <w:tr w:rsidR="0095327D" w:rsidRPr="0095327D" w:rsidTr="00AC4975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95327D" w:rsidRPr="0095327D" w:rsidRDefault="0095327D" w:rsidP="0095327D">
            <w:pPr>
              <w:pStyle w:val="SingleTxtGR"/>
            </w:pPr>
            <w:r>
              <w:tab/>
            </w:r>
            <w:r w:rsidRPr="0095327D">
              <w:t>Президиум подготовил первоначальный проект решения на основе соо</w:t>
            </w:r>
            <w:r w:rsidRPr="0095327D">
              <w:t>т</w:t>
            </w:r>
            <w:r w:rsidRPr="0095327D">
              <w:t xml:space="preserve">ветствующих итогов двадцатого совещания Рабочей группы Сторон; записки Председателя Целевой группы по доступу к правосудию, представленной на </w:t>
            </w:r>
            <w:r w:rsidRPr="00AC4975">
              <w:rPr>
                <w:spacing w:val="2"/>
              </w:rPr>
              <w:lastRenderedPageBreak/>
              <w:t>этом совещании (AC/WGP-20/Inf.3); итогов работы, проделанной Целевой гру</w:t>
            </w:r>
            <w:r w:rsidRPr="00AC4975">
              <w:rPr>
                <w:spacing w:val="2"/>
              </w:rPr>
              <w:t>п</w:t>
            </w:r>
            <w:r w:rsidRPr="00AC4975">
              <w:rPr>
                <w:spacing w:val="2"/>
              </w:rPr>
              <w:t>пой</w:t>
            </w:r>
            <w:r w:rsidRPr="0095327D">
              <w:t xml:space="preserve"> в ходе текущего межсессионного периода; и предыдущего решения Сов</w:t>
            </w:r>
            <w:r w:rsidRPr="0095327D">
              <w:t>е</w:t>
            </w:r>
            <w:r w:rsidRPr="0095327D">
              <w:t>щания Сторон по этому же вопросу (решение V/3).</w:t>
            </w:r>
          </w:p>
        </w:tc>
      </w:tr>
      <w:tr w:rsidR="0095327D" w:rsidRPr="0095327D" w:rsidTr="00AC4975">
        <w:tc>
          <w:tcPr>
            <w:tcW w:w="9854" w:type="dxa"/>
            <w:tcBorders>
              <w:top w:val="nil"/>
            </w:tcBorders>
            <w:shd w:val="clear" w:color="auto" w:fill="auto"/>
          </w:tcPr>
          <w:p w:rsidR="0095327D" w:rsidRDefault="0095327D" w:rsidP="0095327D">
            <w:pPr>
              <w:pStyle w:val="SingleTxtGR"/>
            </w:pPr>
            <w:r>
              <w:lastRenderedPageBreak/>
              <w:tab/>
            </w:r>
            <w:r w:rsidRPr="0095327D">
              <w:t>Затем в соответствии с достигнутой договоренностью проект решения был распространен 27 сентября 2016 года среди Сторон и заинтересованных субъектов для замечаний с крайним сроком для ответа – 7 ноября 2016 года. При подготовке настоящего проекта Президиум принял во внимание получе</w:t>
            </w:r>
            <w:r w:rsidRPr="0095327D">
              <w:t>н</w:t>
            </w:r>
            <w:r w:rsidRPr="0095327D">
              <w:t>ные замечания.</w:t>
            </w:r>
          </w:p>
        </w:tc>
      </w:tr>
      <w:tr w:rsidR="0095327D" w:rsidRPr="0095327D" w:rsidTr="0095327D">
        <w:tc>
          <w:tcPr>
            <w:tcW w:w="9854" w:type="dxa"/>
            <w:shd w:val="clear" w:color="auto" w:fill="auto"/>
          </w:tcPr>
          <w:p w:rsidR="0095327D" w:rsidRDefault="0095327D" w:rsidP="0095327D">
            <w:pPr>
              <w:pStyle w:val="SingleTxtGR"/>
            </w:pPr>
            <w:r w:rsidRPr="0095327D">
              <w:tab/>
              <w:t>Как ожидается, Рабочая группа Сторон рассмотрит и утвердит данный проект решения для его представления на рассмотрение Совещанию Сторон на его шестой сессии.</w:t>
            </w:r>
          </w:p>
        </w:tc>
      </w:tr>
      <w:tr w:rsidR="0095327D" w:rsidRPr="0095327D" w:rsidTr="0095327D">
        <w:tc>
          <w:tcPr>
            <w:tcW w:w="9854" w:type="dxa"/>
            <w:shd w:val="clear" w:color="auto" w:fill="auto"/>
          </w:tcPr>
          <w:p w:rsidR="0095327D" w:rsidRPr="0095327D" w:rsidRDefault="0095327D" w:rsidP="0095327D"/>
        </w:tc>
      </w:tr>
    </w:tbl>
    <w:p w:rsidR="0095327D" w:rsidRDefault="0095327D" w:rsidP="0095327D">
      <w:pPr>
        <w:pStyle w:val="SingleTxtGR"/>
      </w:pPr>
    </w:p>
    <w:p w:rsidR="0095327D" w:rsidRDefault="0095327D">
      <w:pPr>
        <w:spacing w:line="240" w:lineRule="auto"/>
      </w:pPr>
      <w:r>
        <w:br w:type="page"/>
      </w:r>
    </w:p>
    <w:p w:rsidR="0095327D" w:rsidRPr="0095327D" w:rsidRDefault="00AC4975" w:rsidP="0095327D">
      <w:pPr>
        <w:pStyle w:val="SingleTxtGR"/>
      </w:pPr>
      <w:r>
        <w:tab/>
      </w:r>
      <w:r w:rsidR="0095327D" w:rsidRPr="00AC4975">
        <w:rPr>
          <w:i/>
          <w:iCs/>
        </w:rPr>
        <w:t>Совещание Сторон</w:t>
      </w:r>
      <w:r w:rsidR="0095327D" w:rsidRPr="0095327D">
        <w:t>,</w:t>
      </w:r>
    </w:p>
    <w:p w:rsidR="0095327D" w:rsidRPr="0095327D" w:rsidRDefault="0095327D" w:rsidP="0095327D">
      <w:pPr>
        <w:pStyle w:val="SingleTxtGR"/>
      </w:pPr>
      <w:r w:rsidRPr="0095327D">
        <w:tab/>
      </w:r>
      <w:r w:rsidRPr="00AC4975">
        <w:rPr>
          <w:i/>
          <w:iCs/>
        </w:rPr>
        <w:t>ссылаясь</w:t>
      </w:r>
      <w:r w:rsidRPr="0095327D">
        <w:t xml:space="preserve"> на положения статьи 9 и другие соответствующие положения Конвенции о доступе к информации, участии общественности в процессе пр</w:t>
      </w:r>
      <w:r w:rsidRPr="0095327D">
        <w:t>и</w:t>
      </w:r>
      <w:r w:rsidRPr="0095327D">
        <w:t>нятия решений и доступе к правосудию по вопросам, касающимся окружающей среды (Орхусская конвенция),</w:t>
      </w:r>
    </w:p>
    <w:p w:rsidR="0095327D" w:rsidRPr="0095327D" w:rsidRDefault="0095327D" w:rsidP="0095327D">
      <w:pPr>
        <w:pStyle w:val="SingleTxtGR"/>
      </w:pPr>
      <w:r w:rsidRPr="00AC4975">
        <w:rPr>
          <w:spacing w:val="0"/>
        </w:rPr>
        <w:tab/>
      </w:r>
      <w:r w:rsidRPr="00AC4975">
        <w:rPr>
          <w:i/>
          <w:iCs/>
          <w:spacing w:val="0"/>
        </w:rPr>
        <w:t>ссылаясь также</w:t>
      </w:r>
      <w:r w:rsidRPr="00AC4975">
        <w:rPr>
          <w:spacing w:val="0"/>
        </w:rPr>
        <w:t xml:space="preserve"> на свои решения I/5, II/2, III/3, IV/2 и V/3 о содействии э</w:t>
      </w:r>
      <w:r w:rsidRPr="00AC4975">
        <w:rPr>
          <w:spacing w:val="0"/>
        </w:rPr>
        <w:t>ф</w:t>
      </w:r>
      <w:r w:rsidRPr="00AC4975">
        <w:rPr>
          <w:spacing w:val="0"/>
        </w:rPr>
        <w:t>фективному доступу к правосудию, V/5 о</w:t>
      </w:r>
      <w:r w:rsidR="00AC4975" w:rsidRPr="00AC4975">
        <w:rPr>
          <w:spacing w:val="0"/>
        </w:rPr>
        <w:t xml:space="preserve"> стратегическом плане на 2015–</w:t>
      </w:r>
      <w:r w:rsidRPr="00AC4975">
        <w:rPr>
          <w:spacing w:val="0"/>
        </w:rPr>
        <w:t>2020 годы</w:t>
      </w:r>
      <w:r w:rsidRPr="0095327D">
        <w:t xml:space="preserve"> и VI</w:t>
      </w:r>
      <w:r w:rsidR="00AC4975">
        <w:t>/… о программе работы на 2018–</w:t>
      </w:r>
      <w:r w:rsidRPr="0095327D">
        <w:t>2021 годы,</w:t>
      </w:r>
    </w:p>
    <w:p w:rsidR="0095327D" w:rsidRPr="0095327D" w:rsidRDefault="0095327D" w:rsidP="0095327D">
      <w:pPr>
        <w:pStyle w:val="SingleTxtGR"/>
      </w:pPr>
      <w:r w:rsidRPr="0095327D">
        <w:tab/>
      </w:r>
      <w:r w:rsidRPr="00AC4975">
        <w:rPr>
          <w:i/>
          <w:iCs/>
        </w:rPr>
        <w:t>подтверждая</w:t>
      </w:r>
      <w:r w:rsidRPr="0095327D">
        <w:t xml:space="preserve"> важную роль верховенства закона и необходимость дал</w:t>
      </w:r>
      <w:r w:rsidRPr="0095327D">
        <w:t>ь</w:t>
      </w:r>
      <w:r w:rsidRPr="0095327D">
        <w:t>нейшего укрепления его применения в вопросах, касающихся окружающей ср</w:t>
      </w:r>
      <w:r w:rsidRPr="0095327D">
        <w:t>е</w:t>
      </w:r>
      <w:r w:rsidRPr="0095327D">
        <w:t>ды,</w:t>
      </w:r>
    </w:p>
    <w:p w:rsidR="0095327D" w:rsidRPr="00AC4975" w:rsidRDefault="0095327D" w:rsidP="0095327D">
      <w:pPr>
        <w:pStyle w:val="SingleTxtGR"/>
        <w:rPr>
          <w:spacing w:val="2"/>
        </w:rPr>
      </w:pPr>
      <w:r w:rsidRPr="0095327D">
        <w:tab/>
      </w:r>
      <w:r w:rsidRPr="00AC4975">
        <w:rPr>
          <w:i/>
          <w:iCs/>
        </w:rPr>
        <w:t>признавая</w:t>
      </w:r>
      <w:r w:rsidRPr="0095327D">
        <w:t>, что эффективный доступ к правосудию по вопросам, каса</w:t>
      </w:r>
      <w:r w:rsidRPr="0095327D">
        <w:t>ю</w:t>
      </w:r>
      <w:r w:rsidRPr="0095327D">
        <w:t xml:space="preserve">щимся окружающей среды, имеет критически важное значение для успешного </w:t>
      </w:r>
      <w:r w:rsidRPr="00AC4975">
        <w:rPr>
          <w:spacing w:val="2"/>
        </w:rPr>
        <w:t>осуществления ряда целей в области устойчивого развития, в частности цели 16,</w:t>
      </w:r>
    </w:p>
    <w:p w:rsidR="0095327D" w:rsidRPr="0095327D" w:rsidRDefault="0095327D" w:rsidP="0095327D">
      <w:pPr>
        <w:pStyle w:val="SingleTxtGR"/>
      </w:pPr>
      <w:r w:rsidRPr="0095327D">
        <w:tab/>
      </w:r>
      <w:r w:rsidRPr="00AC4975">
        <w:rPr>
          <w:i/>
          <w:iCs/>
        </w:rPr>
        <w:t xml:space="preserve">памятуя </w:t>
      </w:r>
      <w:r w:rsidRPr="00AC4975">
        <w:t>о том</w:t>
      </w:r>
      <w:r w:rsidRPr="0095327D">
        <w:t xml:space="preserve">, </w:t>
      </w:r>
      <w:r w:rsidR="00AC4975">
        <w:t xml:space="preserve">что </w:t>
      </w:r>
      <w:r w:rsidRPr="0095327D">
        <w:t>национальные доклады об осуществлении, выводы Комитета по вопросам соблюдения, соответствующее прецедентное право Ст</w:t>
      </w:r>
      <w:r w:rsidRPr="0095327D">
        <w:t>о</w:t>
      </w:r>
      <w:r w:rsidRPr="0095327D">
        <w:t>рон и работа, проделанная под эгидой Целевой группы по доступу к правос</w:t>
      </w:r>
      <w:r w:rsidRPr="0095327D">
        <w:t>у</w:t>
      </w:r>
      <w:r w:rsidRPr="0095327D">
        <w:t>дию к настоящему времени, продемонстрировали в совокупности, что пробл</w:t>
      </w:r>
      <w:r w:rsidRPr="0095327D">
        <w:t>е</w:t>
      </w:r>
      <w:r w:rsidRPr="0095327D">
        <w:t>мы в области всестороннего осуществления третьего основного компонента Конвенции во всем регионе сохраняются,</w:t>
      </w:r>
    </w:p>
    <w:p w:rsidR="0095327D" w:rsidRPr="00AC4975" w:rsidRDefault="0095327D" w:rsidP="0095327D">
      <w:pPr>
        <w:pStyle w:val="SingleTxtGR"/>
        <w:rPr>
          <w:spacing w:val="0"/>
        </w:rPr>
      </w:pPr>
      <w:r w:rsidRPr="00AC4975">
        <w:rPr>
          <w:spacing w:val="0"/>
        </w:rPr>
        <w:tab/>
      </w:r>
      <w:r w:rsidRPr="00AC4975">
        <w:rPr>
          <w:i/>
          <w:iCs/>
          <w:spacing w:val="0"/>
        </w:rPr>
        <w:t>рассмотрев</w:t>
      </w:r>
      <w:r w:rsidRPr="00AC4975">
        <w:rPr>
          <w:spacing w:val="0"/>
        </w:rPr>
        <w:t xml:space="preserve"> доклады Целевой группы по доступу к правосудию, предста</w:t>
      </w:r>
      <w:r w:rsidRPr="00AC4975">
        <w:rPr>
          <w:spacing w:val="0"/>
        </w:rPr>
        <w:t>в</w:t>
      </w:r>
      <w:r w:rsidRPr="00AC4975">
        <w:rPr>
          <w:spacing w:val="0"/>
        </w:rPr>
        <w:t>ленные Рабочей группе Сторон в период после пятой сессии Совещания Сторон (ECE/MP.PP/WG.1/2016/11, ECE</w:t>
      </w:r>
      <w:r w:rsidR="00AC4975" w:rsidRPr="00AC4975">
        <w:rPr>
          <w:spacing w:val="0"/>
        </w:rPr>
        <w:t>/MP.PP/WG.1/2017/… и ECE/MP.PP/</w:t>
      </w:r>
      <w:r w:rsidRPr="00AC4975">
        <w:rPr>
          <w:spacing w:val="0"/>
        </w:rPr>
        <w:t>WG.1/2017/…),</w:t>
      </w:r>
    </w:p>
    <w:p w:rsidR="0095327D" w:rsidRPr="0095327D" w:rsidRDefault="0095327D" w:rsidP="0095327D">
      <w:pPr>
        <w:pStyle w:val="SingleTxtGR"/>
      </w:pPr>
      <w:r w:rsidRPr="0095327D">
        <w:tab/>
        <w:t>1.</w:t>
      </w:r>
      <w:r w:rsidRPr="0095327D">
        <w:tab/>
      </w:r>
      <w:r w:rsidRPr="00AC4975">
        <w:rPr>
          <w:i/>
          <w:iCs/>
        </w:rPr>
        <w:t>с удовлетворением отмечает</w:t>
      </w:r>
      <w:r w:rsidRPr="0095327D">
        <w:t xml:space="preserve"> работу, проделанную Целевой гру</w:t>
      </w:r>
      <w:r w:rsidRPr="0095327D">
        <w:t>п</w:t>
      </w:r>
      <w:r w:rsidRPr="0095327D">
        <w:t>пой по доступу к правосудию, и выражает признательность Швеции за рук</w:t>
      </w:r>
      <w:r w:rsidRPr="0095327D">
        <w:t>о</w:t>
      </w:r>
      <w:r w:rsidRPr="0095327D">
        <w:t>водство Целевой группой;</w:t>
      </w:r>
    </w:p>
    <w:p w:rsidR="0095327D" w:rsidRPr="0095327D" w:rsidRDefault="0095327D" w:rsidP="0095327D">
      <w:pPr>
        <w:pStyle w:val="SingleTxtGR"/>
      </w:pPr>
      <w:r w:rsidRPr="0095327D">
        <w:tab/>
        <w:t>2.</w:t>
      </w:r>
      <w:r w:rsidRPr="0095327D">
        <w:tab/>
      </w:r>
      <w:r w:rsidRPr="00AC4975">
        <w:rPr>
          <w:i/>
          <w:iCs/>
        </w:rPr>
        <w:t>призывает</w:t>
      </w:r>
      <w:r w:rsidRPr="0095327D">
        <w:t xml:space="preserve"> Стороны, сигнатариев и другие заинтересованные гос</w:t>
      </w:r>
      <w:r w:rsidRPr="0095327D">
        <w:t>у</w:t>
      </w:r>
      <w:r w:rsidRPr="0095327D">
        <w:t>дарства прилагать дальнейшие значительные усилия с целью повышения э</w:t>
      </w:r>
      <w:r w:rsidRPr="0095327D">
        <w:t>ф</w:t>
      </w:r>
      <w:r w:rsidRPr="0095327D">
        <w:t>фективности доступа общественности к правосудию по вопросам, касающимся окружающей среды, например путем устранения в соответствующих случаях финансовых и других препятствий, стимулирования диалогов между разли</w:t>
      </w:r>
      <w:r w:rsidRPr="0095327D">
        <w:t>ч</w:t>
      </w:r>
      <w:r w:rsidRPr="0095327D">
        <w:t>ными заинтересованными сторонами, повышения доступности для обществе</w:t>
      </w:r>
      <w:r w:rsidRPr="0095327D">
        <w:t>н</w:t>
      </w:r>
      <w:r w:rsidRPr="0095327D">
        <w:t>ности соответствующей информации, как того требует Конвенция, и осущест</w:t>
      </w:r>
      <w:r w:rsidRPr="0095327D">
        <w:t>в</w:t>
      </w:r>
      <w:r w:rsidRPr="0095327D">
        <w:t>ления иници</w:t>
      </w:r>
      <w:r>
        <w:t>атив по электронному правосудию</w:t>
      </w:r>
      <w:r>
        <w:rPr>
          <w:rStyle w:val="a6"/>
        </w:rPr>
        <w:footnoteReference w:id="1"/>
      </w:r>
      <w:r w:rsidRPr="0095327D">
        <w:t>, и призывает международные организации и другие заинтересованные стороны поддержать эти усилия;</w:t>
      </w:r>
    </w:p>
    <w:p w:rsidR="0095327D" w:rsidRPr="0095327D" w:rsidRDefault="0095327D" w:rsidP="0095327D">
      <w:pPr>
        <w:pStyle w:val="SingleTxtGR"/>
      </w:pPr>
      <w:r w:rsidRPr="0095327D">
        <w:tab/>
        <w:t>3.</w:t>
      </w:r>
      <w:r w:rsidRPr="0095327D">
        <w:tab/>
      </w:r>
      <w:r w:rsidRPr="00AC4975">
        <w:rPr>
          <w:i/>
          <w:iCs/>
        </w:rPr>
        <w:t>приветствует</w:t>
      </w:r>
      <w:r w:rsidRPr="0095327D">
        <w:t xml:space="preserve"> инициативы Сторон, сигнатариев, международных организаций и других заинтересованных субъектов по усилению защиты лиц, сообщающих о нарушениях, активистов в области охраны окружающей среды и других лиц, осуществляющих свои права в соответствии с положениями Ко</w:t>
      </w:r>
      <w:r w:rsidRPr="0095327D">
        <w:t>н</w:t>
      </w:r>
      <w:r w:rsidRPr="0095327D">
        <w:t>венции, от уголовного наказания, преследования, притеснения и других форм отмщения за их участие и призывает Стороны, сигнатариев, международные организации и других заинтересованных субъектов продолжать поддерживать такие инициативы;</w:t>
      </w:r>
    </w:p>
    <w:p w:rsidR="0095327D" w:rsidRPr="0095327D" w:rsidRDefault="0095327D" w:rsidP="0095327D">
      <w:pPr>
        <w:pStyle w:val="SingleTxtGR"/>
      </w:pPr>
      <w:r w:rsidRPr="0095327D">
        <w:tab/>
        <w:t>4.</w:t>
      </w:r>
      <w:r w:rsidRPr="0095327D">
        <w:tab/>
      </w:r>
      <w:r w:rsidRPr="00AC4975">
        <w:rPr>
          <w:i/>
          <w:iCs/>
        </w:rPr>
        <w:t>приветствует также</w:t>
      </w:r>
      <w:r w:rsidRPr="0095327D">
        <w:t xml:space="preserve"> инициативы Сторон, сигнатариев, междун</w:t>
      </w:r>
      <w:r w:rsidRPr="0095327D">
        <w:t>а</w:t>
      </w:r>
      <w:r w:rsidRPr="0095327D">
        <w:t>родных организаций и других заинтересованных субъектов по укреплению п</w:t>
      </w:r>
      <w:r w:rsidRPr="0095327D">
        <w:t>о</w:t>
      </w:r>
      <w:r w:rsidRPr="0095327D">
        <w:t>тенциала, направленные на содействие более эффективному осуществлению статьи 9 Конвенции, и призывает Стороны, сигнатариев, международные орг</w:t>
      </w:r>
      <w:r w:rsidRPr="0095327D">
        <w:t>а</w:t>
      </w:r>
      <w:r w:rsidRPr="0095327D">
        <w:t>низации и других заинтересованных субъектов в надлежащих случаях предпр</w:t>
      </w:r>
      <w:r w:rsidRPr="0095327D">
        <w:t>и</w:t>
      </w:r>
      <w:r w:rsidRPr="0095327D">
        <w:t>нимать такие инициативы в течение следующего межсессионного периода;</w:t>
      </w:r>
    </w:p>
    <w:p w:rsidR="0095327D" w:rsidRPr="0095327D" w:rsidRDefault="0095327D" w:rsidP="0095327D">
      <w:pPr>
        <w:pStyle w:val="SingleTxtGR"/>
      </w:pPr>
      <w:r w:rsidRPr="0095327D">
        <w:tab/>
        <w:t>5.</w:t>
      </w:r>
      <w:r w:rsidRPr="0095327D">
        <w:tab/>
      </w:r>
      <w:r w:rsidRPr="00AC4975">
        <w:rPr>
          <w:i/>
          <w:iCs/>
        </w:rPr>
        <w:t>выражает свою признательность</w:t>
      </w:r>
      <w:r w:rsidRPr="0095327D">
        <w:t xml:space="preserve"> Сторонам, сигнатариям и др</w:t>
      </w:r>
      <w:r w:rsidRPr="0095327D">
        <w:t>у</w:t>
      </w:r>
      <w:r w:rsidRPr="0095327D">
        <w:t>гим заинтересованным субъектам за представление материала для онлайновой базы данных о правовой практике, касающейся Конвенции, и призывает Стор</w:t>
      </w:r>
      <w:r w:rsidRPr="0095327D">
        <w:t>о</w:t>
      </w:r>
      <w:r w:rsidRPr="0095327D">
        <w:t>ны, сигнатариев и другие заинтересованные субъекты, включая судей, специ</w:t>
      </w:r>
      <w:r w:rsidRPr="0095327D">
        <w:t>а</w:t>
      </w:r>
      <w:r w:rsidRPr="0095327D">
        <w:t>листов в области права и академические круги, использовать эту базу и соде</w:t>
      </w:r>
      <w:r w:rsidRPr="0095327D">
        <w:t>й</w:t>
      </w:r>
      <w:r w:rsidRPr="0095327D">
        <w:t>ствовать ее развитию, а также вносить дальнейший вклад в ее расширение и с</w:t>
      </w:r>
      <w:r w:rsidRPr="0095327D">
        <w:t>о</w:t>
      </w:r>
      <w:r w:rsidRPr="0095327D">
        <w:t>вершенствование;</w:t>
      </w:r>
    </w:p>
    <w:p w:rsidR="0095327D" w:rsidRPr="0095327D" w:rsidRDefault="0095327D" w:rsidP="0095327D">
      <w:pPr>
        <w:pStyle w:val="SingleTxtGR"/>
      </w:pPr>
      <w:r w:rsidRPr="0095327D">
        <w:tab/>
        <w:t>6.</w:t>
      </w:r>
      <w:r w:rsidRPr="0095327D">
        <w:tab/>
      </w:r>
      <w:r w:rsidRPr="00AC4975">
        <w:rPr>
          <w:i/>
          <w:iCs/>
        </w:rPr>
        <w:t>подчеркивает</w:t>
      </w:r>
      <w:r w:rsidRPr="0095327D">
        <w:t xml:space="preserve"> центральную роль, которую играют суды в толков</w:t>
      </w:r>
      <w:r w:rsidRPr="0095327D">
        <w:t>а</w:t>
      </w:r>
      <w:r w:rsidRPr="0095327D">
        <w:t>нии положений внутреннего права о доступе к правосудию, и важность того, чтобы такие положения толковались в соответствии с Конвенцией;</w:t>
      </w:r>
    </w:p>
    <w:p w:rsidR="0095327D" w:rsidRPr="0095327D" w:rsidRDefault="0095327D" w:rsidP="0095327D">
      <w:pPr>
        <w:pStyle w:val="SingleTxtGR"/>
      </w:pPr>
      <w:r w:rsidRPr="0095327D">
        <w:tab/>
        <w:t>7.</w:t>
      </w:r>
      <w:r w:rsidRPr="0095327D">
        <w:tab/>
      </w:r>
      <w:r w:rsidRPr="00AC4975">
        <w:rPr>
          <w:i/>
          <w:iCs/>
        </w:rPr>
        <w:t>подчеркивает также</w:t>
      </w:r>
      <w:r w:rsidRPr="0095327D">
        <w:t xml:space="preserve"> значительную роль национальных и межд</w:t>
      </w:r>
      <w:r w:rsidRPr="0095327D">
        <w:t>у</w:t>
      </w:r>
      <w:r w:rsidRPr="0095327D">
        <w:t>народных ассоциаций судей, прокуроров и других специалистов в области пр</w:t>
      </w:r>
      <w:r w:rsidRPr="0095327D">
        <w:t>а</w:t>
      </w:r>
      <w:r w:rsidRPr="0095327D">
        <w:t>ва, в частности учреждений по подготовке судей, а также значительную роль защищающих общественные интересы адвокатов и неправительственных орг</w:t>
      </w:r>
      <w:r w:rsidRPr="0095327D">
        <w:t>а</w:t>
      </w:r>
      <w:r w:rsidRPr="0095327D">
        <w:t>низаций в содействии эффективному доступу общественности к правосудию;</w:t>
      </w:r>
    </w:p>
    <w:p w:rsidR="0095327D" w:rsidRPr="0095327D" w:rsidRDefault="0095327D" w:rsidP="0095327D">
      <w:pPr>
        <w:pStyle w:val="SingleTxtGR"/>
      </w:pPr>
      <w:r w:rsidRPr="0095327D">
        <w:tab/>
        <w:t>8.</w:t>
      </w:r>
      <w:r w:rsidRPr="0095327D">
        <w:tab/>
      </w:r>
      <w:r w:rsidRPr="00AC4975">
        <w:rPr>
          <w:i/>
          <w:iCs/>
        </w:rPr>
        <w:t>приветствует</w:t>
      </w:r>
      <w:r w:rsidRPr="0095327D">
        <w:t xml:space="preserve"> создание сети учреждений судебной системы, учр</w:t>
      </w:r>
      <w:r w:rsidRPr="0095327D">
        <w:t>е</w:t>
      </w:r>
      <w:r w:rsidRPr="0095327D">
        <w:t>ждений по подготовке судей и других надзорных органов в панъевропейском регионе под эгидой Целевой группы по содействию обмену опытом в обеспеч</w:t>
      </w:r>
      <w:r w:rsidRPr="0095327D">
        <w:t>е</w:t>
      </w:r>
      <w:r w:rsidRPr="0095327D">
        <w:t>нии доступа к правосудию и обеспечении верховенства закона в вопросах, к</w:t>
      </w:r>
      <w:r w:rsidRPr="0095327D">
        <w:t>а</w:t>
      </w:r>
      <w:r w:rsidRPr="0095327D">
        <w:t>сающихся окружающей среды, и поощряет сотрудничество этой сети с сетями других специалистов в области права;</w:t>
      </w:r>
    </w:p>
    <w:p w:rsidR="0095327D" w:rsidRPr="0095327D" w:rsidRDefault="0095327D" w:rsidP="0095327D">
      <w:pPr>
        <w:pStyle w:val="SingleTxtGR"/>
      </w:pPr>
      <w:r w:rsidRPr="0095327D">
        <w:tab/>
        <w:t>9.</w:t>
      </w:r>
      <w:r w:rsidRPr="0095327D">
        <w:tab/>
      </w:r>
      <w:r w:rsidRPr="00AC4975">
        <w:rPr>
          <w:i/>
          <w:iCs/>
        </w:rPr>
        <w:t>предлагает</w:t>
      </w:r>
      <w:r w:rsidRPr="0095327D">
        <w:t xml:space="preserve"> Сторонам и сигнатариям поддержать участие предст</w:t>
      </w:r>
      <w:r w:rsidRPr="0095327D">
        <w:t>а</w:t>
      </w:r>
      <w:r w:rsidRPr="0095327D">
        <w:t>вителей судебной системы, учреждени</w:t>
      </w:r>
      <w:bookmarkStart w:id="2" w:name="_GoBack"/>
      <w:bookmarkEnd w:id="2"/>
      <w:r w:rsidRPr="0095327D">
        <w:t>й по подготовке судей и других надзо</w:t>
      </w:r>
      <w:r w:rsidRPr="0095327D">
        <w:t>р</w:t>
      </w:r>
      <w:r w:rsidRPr="0095327D">
        <w:t>ных органов в работе этой сети, предлагает другим подобным сетям участв</w:t>
      </w:r>
      <w:r w:rsidRPr="0095327D">
        <w:t>о</w:t>
      </w:r>
      <w:r w:rsidRPr="0095327D">
        <w:t>вать в этой инициативе и призывает партнерские организации поддержать да</w:t>
      </w:r>
      <w:r w:rsidRPr="0095327D">
        <w:t>н</w:t>
      </w:r>
      <w:r w:rsidRPr="0095327D">
        <w:t>ную инициативу;</w:t>
      </w:r>
    </w:p>
    <w:p w:rsidR="0095327D" w:rsidRPr="0095327D" w:rsidRDefault="0095327D" w:rsidP="0095327D">
      <w:pPr>
        <w:pStyle w:val="SingleTxtGR"/>
      </w:pPr>
      <w:r w:rsidRPr="0095327D">
        <w:tab/>
        <w:t>10.</w:t>
      </w:r>
      <w:r w:rsidRPr="0095327D">
        <w:tab/>
      </w:r>
      <w:r w:rsidRPr="00AC4975">
        <w:rPr>
          <w:i/>
          <w:iCs/>
        </w:rPr>
        <w:t>приветствует</w:t>
      </w:r>
      <w:r w:rsidRPr="0095327D">
        <w:t xml:space="preserve"> инициативы Сторон и сигнатариев по усилению с</w:t>
      </w:r>
      <w:r w:rsidRPr="0095327D">
        <w:t>у</w:t>
      </w:r>
      <w:r w:rsidRPr="0095327D">
        <w:t>дебной специализации в области экологического права и укреплению потенц</w:t>
      </w:r>
      <w:r w:rsidRPr="0095327D">
        <w:t>и</w:t>
      </w:r>
      <w:r w:rsidRPr="0095327D">
        <w:t>ала судов и других соответствующих органов в области использования надл</w:t>
      </w:r>
      <w:r w:rsidRPr="0095327D">
        <w:t>е</w:t>
      </w:r>
      <w:r w:rsidRPr="0095327D">
        <w:t>жащим образом независимой экологической экспертизы;</w:t>
      </w:r>
    </w:p>
    <w:p w:rsidR="0095327D" w:rsidRPr="0095327D" w:rsidRDefault="0095327D" w:rsidP="0095327D">
      <w:pPr>
        <w:pStyle w:val="SingleTxtGR"/>
      </w:pPr>
      <w:r w:rsidRPr="0095327D">
        <w:tab/>
      </w:r>
      <w:proofErr w:type="gramStart"/>
      <w:r w:rsidRPr="0095327D">
        <w:t>11</w:t>
      </w:r>
      <w:r w:rsidR="00B477D8">
        <w:t>.</w:t>
      </w:r>
      <w:r w:rsidRPr="0095327D">
        <w:tab/>
      </w:r>
      <w:r w:rsidRPr="00AC4975">
        <w:rPr>
          <w:i/>
          <w:iCs/>
        </w:rPr>
        <w:t>призывает</w:t>
      </w:r>
      <w:r w:rsidRPr="0095327D">
        <w:t xml:space="preserve"> Стороны продолжать по мере возможности интеграцию вопроса о доступе к правосудию по вопросам, касающимся окружающей среды, в учебные планы юридических факультетов, учреждений по подготовке сотру</w:t>
      </w:r>
      <w:r w:rsidRPr="0095327D">
        <w:t>д</w:t>
      </w:r>
      <w:r w:rsidRPr="0095327D">
        <w:t>ников государственной администрации и судебных органов, а также других с</w:t>
      </w:r>
      <w:r w:rsidRPr="0095327D">
        <w:t>о</w:t>
      </w:r>
      <w:r w:rsidRPr="0095327D">
        <w:t>ответствующих учреждений, оказывающих поддержку осуществлению Конве</w:t>
      </w:r>
      <w:r w:rsidRPr="0095327D">
        <w:t>н</w:t>
      </w:r>
      <w:r w:rsidRPr="0095327D">
        <w:t>ции;</w:t>
      </w:r>
      <w:proofErr w:type="gramEnd"/>
    </w:p>
    <w:p w:rsidR="0095327D" w:rsidRPr="0095327D" w:rsidRDefault="0095327D" w:rsidP="0095327D">
      <w:pPr>
        <w:pStyle w:val="SingleTxtGR"/>
      </w:pPr>
      <w:r w:rsidRPr="0095327D">
        <w:tab/>
        <w:t>12.</w:t>
      </w:r>
      <w:r w:rsidRPr="0095327D">
        <w:tab/>
      </w:r>
      <w:r w:rsidRPr="00AC4975">
        <w:rPr>
          <w:i/>
          <w:iCs/>
        </w:rPr>
        <w:t>постановляет</w:t>
      </w:r>
      <w:r w:rsidRPr="0095327D">
        <w:t xml:space="preserve"> продлить срок действия мандата Целевой группы по доступу к правосудию под руководством Рабочей группы Сторон с целью пр</w:t>
      </w:r>
      <w:r w:rsidRPr="0095327D">
        <w:t>о</w:t>
      </w:r>
      <w:r w:rsidRPr="0095327D">
        <w:t>ведения дальнейшей работы по осуществлению Конвенции;</w:t>
      </w:r>
    </w:p>
    <w:p w:rsidR="0095327D" w:rsidRPr="0095327D" w:rsidRDefault="0095327D" w:rsidP="0095327D">
      <w:pPr>
        <w:pStyle w:val="SingleTxtGR"/>
      </w:pPr>
      <w:r w:rsidRPr="0095327D">
        <w:tab/>
        <w:t>13.</w:t>
      </w:r>
      <w:r w:rsidRPr="0095327D">
        <w:tab/>
      </w:r>
      <w:r w:rsidRPr="00AC4975">
        <w:rPr>
          <w:i/>
          <w:iCs/>
        </w:rPr>
        <w:t>приветствует</w:t>
      </w:r>
      <w:r w:rsidRPr="0095327D">
        <w:t xml:space="preserve"> предложение … возглавить работу Целевой группы;</w:t>
      </w:r>
    </w:p>
    <w:p w:rsidR="0095327D" w:rsidRPr="0095327D" w:rsidRDefault="0095327D" w:rsidP="00AC4975">
      <w:pPr>
        <w:pStyle w:val="SingleTxtGR"/>
        <w:pageBreakBefore/>
      </w:pPr>
      <w:r w:rsidRPr="0095327D">
        <w:tab/>
        <w:t>14.</w:t>
      </w:r>
      <w:r w:rsidRPr="0095327D">
        <w:tab/>
      </w:r>
      <w:r w:rsidRPr="00AC4975">
        <w:rPr>
          <w:i/>
          <w:iCs/>
        </w:rPr>
        <w:t>просит</w:t>
      </w:r>
      <w:r w:rsidRPr="0095327D">
        <w:t xml:space="preserve"> Целевую группу при наличии ресурсов провести следу</w:t>
      </w:r>
      <w:r w:rsidRPr="0095327D">
        <w:t>ю</w:t>
      </w:r>
      <w:r w:rsidRPr="0095327D">
        <w:t>щую работу:</w:t>
      </w:r>
    </w:p>
    <w:p w:rsidR="0095327D" w:rsidRPr="0095327D" w:rsidRDefault="0095327D" w:rsidP="0095327D">
      <w:pPr>
        <w:pStyle w:val="SingleTxtGR"/>
      </w:pPr>
      <w:r w:rsidRPr="0095327D">
        <w:tab/>
        <w:t>а)</w:t>
      </w:r>
      <w:r w:rsidRPr="0095327D">
        <w:tab/>
        <w:t>содействие обмену информацией, опытом, данными о проблемах и надлежащей практике осуществления третьего основного компонента Конве</w:t>
      </w:r>
      <w:r w:rsidRPr="0095327D">
        <w:t>н</w:t>
      </w:r>
      <w:r w:rsidRPr="0095327D">
        <w:t>ции с упором на основные препятствия на пути эффективного доступа к прав</w:t>
      </w:r>
      <w:r w:rsidRPr="0095327D">
        <w:t>о</w:t>
      </w:r>
      <w:r w:rsidRPr="0095327D">
        <w:t>судию и уделением особого внимания:</w:t>
      </w:r>
    </w:p>
    <w:p w:rsidR="0095327D" w:rsidRPr="0095327D" w:rsidRDefault="00AC4975" w:rsidP="0095327D">
      <w:pPr>
        <w:pStyle w:val="SingleTxtGR"/>
      </w:pPr>
      <w:r>
        <w:tab/>
      </w:r>
      <w:r w:rsidR="0095327D" w:rsidRPr="0095327D">
        <w:t>i)</w:t>
      </w:r>
      <w:r w:rsidR="0095327D" w:rsidRPr="0095327D">
        <w:tab/>
        <w:t>делам о доступе к информации;</w:t>
      </w:r>
    </w:p>
    <w:p w:rsidR="0095327D" w:rsidRPr="0095327D" w:rsidRDefault="00AC4975" w:rsidP="00AC4975">
      <w:pPr>
        <w:pStyle w:val="SingleTxtGR"/>
        <w:ind w:left="1701" w:hanging="567"/>
      </w:pPr>
      <w:r>
        <w:tab/>
      </w:r>
      <w:r w:rsidR="0095327D" w:rsidRPr="0095327D">
        <w:t>ii)</w:t>
      </w:r>
      <w:r w:rsidR="0095327D" w:rsidRPr="0095327D">
        <w:tab/>
        <w:t>действиям или бездействию, противоречащим требованиям в о</w:t>
      </w:r>
      <w:r w:rsidR="0095327D" w:rsidRPr="0095327D">
        <w:t>т</w:t>
      </w:r>
      <w:r w:rsidR="0095327D" w:rsidRPr="0095327D">
        <w:t>ношении выдачи разрешений или законам об окружающей среде;</w:t>
      </w:r>
    </w:p>
    <w:p w:rsidR="0095327D" w:rsidRPr="0095327D" w:rsidRDefault="00AC4975" w:rsidP="0095327D">
      <w:pPr>
        <w:pStyle w:val="SingleTxtGR"/>
      </w:pPr>
      <w:r>
        <w:tab/>
      </w:r>
      <w:r w:rsidR="0095327D" w:rsidRPr="0095327D">
        <w:t>iii)</w:t>
      </w:r>
      <w:r w:rsidR="0095327D" w:rsidRPr="0095327D">
        <w:tab/>
        <w:t>финансовым препятствиям;</w:t>
      </w:r>
    </w:p>
    <w:p w:rsidR="0095327D" w:rsidRPr="0095327D" w:rsidRDefault="00AC4975" w:rsidP="00AC4975">
      <w:pPr>
        <w:pStyle w:val="SingleTxtGR"/>
        <w:ind w:left="1701" w:hanging="567"/>
      </w:pPr>
      <w:r>
        <w:tab/>
      </w:r>
      <w:r w:rsidR="0095327D" w:rsidRPr="0095327D">
        <w:t>iv)</w:t>
      </w:r>
      <w:r w:rsidR="0095327D" w:rsidRPr="0095327D">
        <w:tab/>
        <w:t>защите лиц, сигнализирующих о нарушениях, экологических акт</w:t>
      </w:r>
      <w:r w:rsidR="0095327D" w:rsidRPr="0095327D">
        <w:t>и</w:t>
      </w:r>
      <w:r w:rsidR="0095327D" w:rsidRPr="0095327D">
        <w:t>вистов и других лиц, осуществляющих свои права в соответствии с п</w:t>
      </w:r>
      <w:r w:rsidR="0095327D" w:rsidRPr="0095327D">
        <w:t>о</w:t>
      </w:r>
      <w:r w:rsidR="0095327D" w:rsidRPr="0095327D">
        <w:t>ложениями Конвенции;</w:t>
      </w:r>
    </w:p>
    <w:p w:rsidR="0095327D" w:rsidRPr="0095327D" w:rsidRDefault="0095327D" w:rsidP="0095327D">
      <w:pPr>
        <w:pStyle w:val="SingleTxtGR"/>
      </w:pPr>
      <w:r w:rsidRPr="0095327D">
        <w:tab/>
        <w:t>b)</w:t>
      </w:r>
      <w:r w:rsidRPr="0095327D">
        <w:tab/>
        <w:t>выявление приоритетных потребностей в области доступа общ</w:t>
      </w:r>
      <w:r w:rsidRPr="0095327D">
        <w:t>е</w:t>
      </w:r>
      <w:r w:rsidRPr="0095327D">
        <w:t>ственности к правосудию по вопросам, касающимся окружающей среды, обо</w:t>
      </w:r>
      <w:r w:rsidRPr="0095327D">
        <w:t>б</w:t>
      </w:r>
      <w:r w:rsidRPr="0095327D">
        <w:t>щение информации об инициативах по укреплению потенциала, осуществля</w:t>
      </w:r>
      <w:r w:rsidRPr="0095327D">
        <w:t>е</w:t>
      </w:r>
      <w:r w:rsidRPr="0095327D">
        <w:t>мых в регионе и за его пределами, и содействие вовлечению в эти инициативы ассоциаций судей, защищающих общественные интересы адвокатов и других специалистов в области права;</w:t>
      </w:r>
    </w:p>
    <w:p w:rsidR="0095327D" w:rsidRPr="0095327D" w:rsidRDefault="0095327D" w:rsidP="0095327D">
      <w:pPr>
        <w:pStyle w:val="SingleTxtGR"/>
      </w:pPr>
      <w:r w:rsidRPr="0095327D">
        <w:tab/>
        <w:t>с)</w:t>
      </w:r>
      <w:r w:rsidRPr="0095327D">
        <w:tab/>
        <w:t xml:space="preserve">подготовка при наличии ресурсов аналитических, инструктивных и учебных материалов для поддержки работы, </w:t>
      </w:r>
      <w:r w:rsidR="00AC4975">
        <w:t>подробно описанной в подпун</w:t>
      </w:r>
      <w:r w:rsidR="00AC4975">
        <w:t>к</w:t>
      </w:r>
      <w:r w:rsidR="00AC4975">
        <w:t>тах </w:t>
      </w:r>
      <w:r w:rsidRPr="0095327D">
        <w:t>а) и b) выше;</w:t>
      </w:r>
    </w:p>
    <w:p w:rsidR="0095327D" w:rsidRPr="0095327D" w:rsidRDefault="0095327D" w:rsidP="0095327D">
      <w:pPr>
        <w:pStyle w:val="SingleTxtGR"/>
      </w:pPr>
      <w:r w:rsidRPr="0095327D">
        <w:tab/>
        <w:t>d)</w:t>
      </w:r>
      <w:r w:rsidRPr="0095327D">
        <w:tab/>
        <w:t>содействие пониманию и использованию соответствующих выв</w:t>
      </w:r>
      <w:r w:rsidRPr="0095327D">
        <w:t>о</w:t>
      </w:r>
      <w:r w:rsidRPr="0095327D">
        <w:t>дов Комитета по вопросам соблюдения системного характера, диалогов между различными заинтересованными субъектами и инициатив по электронному правосудию и распространение информации о доступе к процедурам пересмо</w:t>
      </w:r>
      <w:r w:rsidRPr="0095327D">
        <w:t>т</w:t>
      </w:r>
      <w:r w:rsidRPr="0095327D">
        <w:t>ра, соответствующему прецедентному праву и базам соответствующих стат</w:t>
      </w:r>
      <w:r w:rsidRPr="0095327D">
        <w:t>и</w:t>
      </w:r>
      <w:r w:rsidRPr="0095327D">
        <w:t>стических данных;</w:t>
      </w:r>
    </w:p>
    <w:p w:rsidR="0095327D" w:rsidRPr="0095327D" w:rsidRDefault="0095327D" w:rsidP="0095327D">
      <w:pPr>
        <w:pStyle w:val="SingleTxtGR"/>
      </w:pPr>
      <w:r w:rsidRPr="0095327D">
        <w:tab/>
        <w:t>е)</w:t>
      </w:r>
      <w:r w:rsidRPr="0095327D">
        <w:tab/>
        <w:t>продолжение содействия сотрудничеству и созданию сетей сотру</w:t>
      </w:r>
      <w:r w:rsidRPr="0095327D">
        <w:t>д</w:t>
      </w:r>
      <w:r w:rsidRPr="0095327D">
        <w:t>ников судебной системы, судебных органов и других надзорных органов стран в различных субрегионах (например, Западной, Восточной и Юго-Восточной Европы, Кавказа и Центральной Азии);</w:t>
      </w:r>
    </w:p>
    <w:p w:rsidR="0095327D" w:rsidRPr="0095327D" w:rsidRDefault="0095327D" w:rsidP="0095327D">
      <w:pPr>
        <w:pStyle w:val="SingleTxtGR"/>
      </w:pPr>
      <w:r w:rsidRPr="0095327D">
        <w:tab/>
        <w:t>15.</w:t>
      </w:r>
      <w:r w:rsidRPr="0095327D">
        <w:tab/>
      </w:r>
      <w:r w:rsidRPr="00AC4975">
        <w:rPr>
          <w:i/>
          <w:iCs/>
        </w:rPr>
        <w:t>поручает</w:t>
      </w:r>
      <w:r w:rsidRPr="0095327D">
        <w:t xml:space="preserve"> секретариату провести при наличии ресурсов следу</w:t>
      </w:r>
      <w:r w:rsidRPr="0095327D">
        <w:t>ю</w:t>
      </w:r>
      <w:r w:rsidRPr="0095327D">
        <w:t>щую работу:</w:t>
      </w:r>
    </w:p>
    <w:p w:rsidR="0095327D" w:rsidRPr="0095327D" w:rsidRDefault="0095327D" w:rsidP="0095327D">
      <w:pPr>
        <w:pStyle w:val="SingleTxtGR"/>
      </w:pPr>
      <w:r w:rsidRPr="0095327D">
        <w:tab/>
        <w:t>а)</w:t>
      </w:r>
      <w:r w:rsidRPr="0095327D">
        <w:tab/>
        <w:t>участие в деятельности по укреплению потенциала и в соотве</w:t>
      </w:r>
      <w:r w:rsidRPr="0095327D">
        <w:t>т</w:t>
      </w:r>
      <w:r w:rsidRPr="0095327D">
        <w:t>ствующих случаях в ее планировании и осуществлении, включая рабочие сов</w:t>
      </w:r>
      <w:r w:rsidRPr="0095327D">
        <w:t>е</w:t>
      </w:r>
      <w:r w:rsidRPr="0095327D">
        <w:t>щания и учебные сессии по вопросам доступа к правосудию, которые будут о</w:t>
      </w:r>
      <w:r w:rsidRPr="0095327D">
        <w:t>р</w:t>
      </w:r>
      <w:r w:rsidRPr="0095327D">
        <w:t>ганизовываться в сотрудничестве с соответствующими партнерскими организ</w:t>
      </w:r>
      <w:r w:rsidRPr="0095327D">
        <w:t>а</w:t>
      </w:r>
      <w:r w:rsidRPr="0095327D">
        <w:t>циями;</w:t>
      </w:r>
    </w:p>
    <w:p w:rsidR="0095327D" w:rsidRPr="0095327D" w:rsidRDefault="0095327D" w:rsidP="0095327D">
      <w:pPr>
        <w:pStyle w:val="SingleTxtGR"/>
      </w:pPr>
      <w:r w:rsidRPr="0095327D">
        <w:tab/>
        <w:t>b)</w:t>
      </w:r>
      <w:r w:rsidRPr="0095327D">
        <w:tab/>
        <w:t>расширение в сотрудничестве с Целевой группой веб-портала для обмена информацией о правовой практике, касающейся Конвенции;</w:t>
      </w:r>
    </w:p>
    <w:p w:rsidR="0095327D" w:rsidRPr="0095327D" w:rsidRDefault="0095327D" w:rsidP="0095327D">
      <w:pPr>
        <w:pStyle w:val="SingleTxtGR"/>
      </w:pPr>
      <w:r w:rsidRPr="0095327D">
        <w:tab/>
        <w:t>с)</w:t>
      </w:r>
      <w:r w:rsidRPr="0095327D">
        <w:tab/>
        <w:t>поддержка создания сетей учреждений судебной системы, суде</w:t>
      </w:r>
      <w:r w:rsidRPr="0095327D">
        <w:t>б</w:t>
      </w:r>
      <w:r w:rsidRPr="0095327D">
        <w:t>ных учреждений и других надзорных органов под эгидой Целевой группы;</w:t>
      </w:r>
    </w:p>
    <w:p w:rsidR="0095327D" w:rsidRPr="0095327D" w:rsidRDefault="0095327D" w:rsidP="00AC4975">
      <w:pPr>
        <w:pStyle w:val="SingleTxtGR"/>
        <w:pageBreakBefore/>
      </w:pPr>
      <w:r w:rsidRPr="0095327D">
        <w:tab/>
        <w:t>16.</w:t>
      </w:r>
      <w:r w:rsidRPr="0095327D">
        <w:tab/>
      </w:r>
      <w:r w:rsidRPr="00AC4975">
        <w:rPr>
          <w:i/>
          <w:iCs/>
        </w:rPr>
        <w:t>предлагает</w:t>
      </w:r>
      <w:r w:rsidRPr="0095327D">
        <w:t xml:space="preserve"> Сторонам, сигнатариям и другим заинтересованным государствам и международным и другим организациям участвовать в деятел</w:t>
      </w:r>
      <w:r w:rsidRPr="0095327D">
        <w:t>ь</w:t>
      </w:r>
      <w:r w:rsidRPr="0095327D">
        <w:t>ности в рамках Конвенции по обеспечению доступа к правосудию и выделять средства с этой целью;</w:t>
      </w:r>
    </w:p>
    <w:p w:rsidR="0095327D" w:rsidRPr="0095327D" w:rsidRDefault="0095327D" w:rsidP="0095327D">
      <w:pPr>
        <w:pStyle w:val="SingleTxtGR"/>
      </w:pPr>
      <w:r w:rsidRPr="0095327D">
        <w:tab/>
        <w:t>17.</w:t>
      </w:r>
      <w:r w:rsidRPr="0095327D">
        <w:tab/>
      </w:r>
      <w:r w:rsidRPr="00AC4975">
        <w:rPr>
          <w:i/>
          <w:iCs/>
        </w:rPr>
        <w:t>призывает</w:t>
      </w:r>
      <w:r w:rsidRPr="0095327D">
        <w:t xml:space="preserve"> Стороны, сигнатариев и другие заинтересованные гос</w:t>
      </w:r>
      <w:r w:rsidRPr="0095327D">
        <w:t>у</w:t>
      </w:r>
      <w:r w:rsidRPr="0095327D">
        <w:t>дарства и партнерские организации содействовать участию представителей м</w:t>
      </w:r>
      <w:r w:rsidRPr="0095327D">
        <w:t>и</w:t>
      </w:r>
      <w:r w:rsidRPr="0095327D">
        <w:t>нистерств юстиции, судебной системы, учреждений по подготовке судей, надзорных органов и других организаций, пользующихся большим авторитетом в вопросах доступа к правосудию в контексте соответствующих видов деятел</w:t>
      </w:r>
      <w:r w:rsidRPr="0095327D">
        <w:t>ь</w:t>
      </w:r>
      <w:r w:rsidRPr="0095327D">
        <w:t>ности по Конвенции;</w:t>
      </w:r>
    </w:p>
    <w:p w:rsidR="0095327D" w:rsidRPr="0095327D" w:rsidRDefault="00FF1E82" w:rsidP="0095327D">
      <w:pPr>
        <w:pStyle w:val="SingleTxtGR"/>
      </w:pPr>
      <w:r w:rsidRPr="00B477D8">
        <w:tab/>
      </w:r>
      <w:r w:rsidR="0095327D" w:rsidRPr="0095327D">
        <w:t>18.</w:t>
      </w:r>
      <w:r w:rsidR="0095327D" w:rsidRPr="0095327D">
        <w:tab/>
      </w:r>
      <w:r w:rsidR="0095327D" w:rsidRPr="00AC4975">
        <w:rPr>
          <w:i/>
          <w:iCs/>
        </w:rPr>
        <w:t>просит</w:t>
      </w:r>
      <w:r w:rsidR="0095327D" w:rsidRPr="0095327D">
        <w:t xml:space="preserve"> Рабочую группу провести тематическое заседание по в</w:t>
      </w:r>
      <w:r w:rsidR="0095327D" w:rsidRPr="0095327D">
        <w:t>о</w:t>
      </w:r>
      <w:r w:rsidR="0095327D" w:rsidRPr="0095327D">
        <w:t>просу о содействии эффективному доступу общественности к правосудию в х</w:t>
      </w:r>
      <w:r w:rsidR="0095327D" w:rsidRPr="0095327D">
        <w:t>о</w:t>
      </w:r>
      <w:r w:rsidR="0095327D" w:rsidRPr="0095327D">
        <w:t>де одного из своих совещаний в предстоящий межсессионный период с целью предоставить Сторонам, сигнатариям и другим заинтересованным субъектам возможность обменяться опытом по вопросам, которые заслуживают особого внимания.</w:t>
      </w:r>
    </w:p>
    <w:p w:rsidR="00A658DB" w:rsidRPr="0095327D" w:rsidRDefault="0095327D" w:rsidP="0095327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95327D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7D" w:rsidRDefault="0095327D" w:rsidP="00B471C5">
      <w:r>
        <w:separator/>
      </w:r>
    </w:p>
  </w:endnote>
  <w:endnote w:type="continuationSeparator" w:id="0">
    <w:p w:rsidR="0095327D" w:rsidRDefault="0095327D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AC4975" w:rsidRDefault="007005EE" w:rsidP="007005EE">
    <w:pPr>
      <w:pStyle w:val="a7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D51FF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 w:rsidR="00AC4975">
      <w:rPr>
        <w:lang w:val="en-US"/>
      </w:rPr>
      <w:t>GE.1</w:t>
    </w:r>
    <w:r w:rsidR="00AC4975">
      <w:rPr>
        <w:lang w:val="ru-RU"/>
      </w:rPr>
      <w:t>7</w:t>
    </w:r>
    <w:r>
      <w:rPr>
        <w:lang w:val="en-US"/>
      </w:rPr>
      <w:t>-</w:t>
    </w:r>
    <w:r w:rsidR="00AC4975">
      <w:rPr>
        <w:lang w:val="ru-RU"/>
      </w:rPr>
      <w:t>00488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AC4975" w:rsidP="007005EE">
    <w:pPr>
      <w:pStyle w:val="a7"/>
      <w:rPr>
        <w:lang w:val="en-US"/>
      </w:rPr>
    </w:pPr>
    <w:r>
      <w:rPr>
        <w:lang w:val="en-US"/>
      </w:rPr>
      <w:t>GE.1</w:t>
    </w:r>
    <w:r>
      <w:rPr>
        <w:lang w:val="ru-RU"/>
      </w:rPr>
      <w:t>7</w:t>
    </w:r>
    <w:r>
      <w:rPr>
        <w:lang w:val="en-US"/>
      </w:rPr>
      <w:t>-</w:t>
    </w:r>
    <w:r>
      <w:rPr>
        <w:lang w:val="ru-RU"/>
      </w:rPr>
      <w:t>00488</w:t>
    </w:r>
    <w:r w:rsidR="007005EE">
      <w:rPr>
        <w:lang w:val="en-US"/>
      </w:rPr>
      <w:tab/>
    </w:r>
    <w:r w:rsidR="007005EE"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="007005EE" w:rsidRPr="00BA2D2B">
      <w:rPr>
        <w:b/>
        <w:sz w:val="18"/>
        <w:szCs w:val="18"/>
      </w:rPr>
      <w:fldChar w:fldCharType="separate"/>
    </w:r>
    <w:r w:rsidR="00ED51FF">
      <w:rPr>
        <w:b/>
        <w:noProof/>
        <w:sz w:val="18"/>
        <w:szCs w:val="18"/>
      </w:rPr>
      <w:t>5</w:t>
    </w:r>
    <w:r w:rsidR="007005EE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AC4975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</w:t>
          </w:r>
          <w:r w:rsidR="00AC4975">
            <w:rPr>
              <w:lang w:val="en-US"/>
            </w:rPr>
            <w:t>E.1</w:t>
          </w:r>
          <w:r w:rsidR="00AC4975">
            <w:t>7</w:t>
          </w:r>
          <w:r w:rsidRPr="001C3ABC">
            <w:rPr>
              <w:lang w:val="en-US"/>
            </w:rPr>
            <w:t>-</w:t>
          </w:r>
          <w:r w:rsidR="00AC4975">
            <w:t>00488</w:t>
          </w:r>
          <w:r w:rsidRPr="001C3ABC">
            <w:rPr>
              <w:lang w:val="en-US"/>
            </w:rPr>
            <w:t xml:space="preserve"> (R)</w:t>
          </w:r>
          <w:r w:rsidR="00AC4975">
            <w:t xml:space="preserve">  070217  070217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eastAsia="zh-CN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AC4975" w:rsidP="007B199D">
          <w:pPr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MP.PP/WG.1/2017/L.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MP.PP/WG.1/2017/L.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AC4975" w:rsidRDefault="00AC4975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C49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C49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C49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AC49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C49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C49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AC49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AC49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AC49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7D" w:rsidRPr="009141DC" w:rsidRDefault="0095327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5327D" w:rsidRPr="00D1261C" w:rsidRDefault="0095327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95327D" w:rsidRPr="0095327D" w:rsidRDefault="0095327D" w:rsidP="0095327D">
      <w:pPr>
        <w:pStyle w:val="aa"/>
        <w:rPr>
          <w:lang w:val="ru-RU"/>
        </w:rPr>
      </w:pPr>
      <w:r>
        <w:tab/>
      </w:r>
      <w:r>
        <w:rPr>
          <w:rStyle w:val="a6"/>
        </w:rPr>
        <w:footnoteRef/>
      </w:r>
      <w:r w:rsidRPr="0095327D">
        <w:rPr>
          <w:lang w:val="ru-RU"/>
        </w:rPr>
        <w:tab/>
        <w:t>К инициативам по электронному правосудию относятся использование информационно-коммуникационных технологий с целью расширения доступа общественности к правосудию и другим видам деятельности, связанным с разрешением споров.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AC4975">
    <w:pPr>
      <w:pStyle w:val="a3"/>
      <w:rPr>
        <w:lang w:val="en-US"/>
      </w:rPr>
    </w:pPr>
    <w:r w:rsidRPr="00AC4975">
      <w:rPr>
        <w:lang w:val="en-US"/>
      </w:rPr>
      <w:t>ECE/MP.PP/WG.1/2017/L.3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AC4975" w:rsidP="007005EE">
    <w:pPr>
      <w:pStyle w:val="a3"/>
      <w:jc w:val="right"/>
      <w:rPr>
        <w:lang w:val="en-US"/>
      </w:rPr>
    </w:pPr>
    <w:r w:rsidRPr="00AC4975">
      <w:rPr>
        <w:lang w:val="en-US"/>
      </w:rPr>
      <w:t>ECE/MP.PP/WG.1/2017/L.3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7D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060E1"/>
    <w:rsid w:val="003071D8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733C9"/>
    <w:rsid w:val="008D01AE"/>
    <w:rsid w:val="008E0423"/>
    <w:rsid w:val="009141DC"/>
    <w:rsid w:val="009174A1"/>
    <w:rsid w:val="0095327D"/>
    <w:rsid w:val="00976CFF"/>
    <w:rsid w:val="0098674D"/>
    <w:rsid w:val="00997ACA"/>
    <w:rsid w:val="00A03FB7"/>
    <w:rsid w:val="00A55C56"/>
    <w:rsid w:val="00A658DB"/>
    <w:rsid w:val="00A75A11"/>
    <w:rsid w:val="00A9606E"/>
    <w:rsid w:val="00AC4975"/>
    <w:rsid w:val="00AD7EAD"/>
    <w:rsid w:val="00B35A32"/>
    <w:rsid w:val="00B432C6"/>
    <w:rsid w:val="00B471C5"/>
    <w:rsid w:val="00B477D8"/>
    <w:rsid w:val="00B6474A"/>
    <w:rsid w:val="00BE1742"/>
    <w:rsid w:val="00BF3846"/>
    <w:rsid w:val="00C02D57"/>
    <w:rsid w:val="00D1261C"/>
    <w:rsid w:val="00D26030"/>
    <w:rsid w:val="00D75DCE"/>
    <w:rsid w:val="00DD35AC"/>
    <w:rsid w:val="00DD479F"/>
    <w:rsid w:val="00E15E48"/>
    <w:rsid w:val="00EB0723"/>
    <w:rsid w:val="00EB2957"/>
    <w:rsid w:val="00ED51FF"/>
    <w:rsid w:val="00EE6F37"/>
    <w:rsid w:val="00F1599F"/>
    <w:rsid w:val="00F31EF2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F276-536A-4CCE-B9A0-75ECDE90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Uliana Antipova</cp:lastModifiedBy>
  <cp:revision>3</cp:revision>
  <cp:lastPrinted>2017-02-07T15:19:00Z</cp:lastPrinted>
  <dcterms:created xsi:type="dcterms:W3CDTF">2017-02-07T15:19:00Z</dcterms:created>
  <dcterms:modified xsi:type="dcterms:W3CDTF">2017-02-07T15:20:00Z</dcterms:modified>
</cp:coreProperties>
</file>