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D543AC" w:rsidTr="00B30027">
        <w:trPr>
          <w:cantSplit/>
          <w:trHeight w:hRule="exact" w:val="851"/>
        </w:trPr>
        <w:tc>
          <w:tcPr>
            <w:tcW w:w="1276" w:type="dxa"/>
            <w:tcBorders>
              <w:bottom w:val="single" w:sz="4" w:space="0" w:color="auto"/>
            </w:tcBorders>
            <w:shd w:val="clear" w:color="auto" w:fill="auto"/>
            <w:vAlign w:val="bottom"/>
          </w:tcPr>
          <w:p w:rsidR="00B56E9C" w:rsidRPr="00D543AC" w:rsidRDefault="00B56E9C" w:rsidP="004519F1">
            <w:pPr>
              <w:spacing w:after="80" w:line="240" w:lineRule="auto"/>
            </w:pPr>
          </w:p>
        </w:tc>
        <w:tc>
          <w:tcPr>
            <w:tcW w:w="2268" w:type="dxa"/>
            <w:tcBorders>
              <w:bottom w:val="single" w:sz="4" w:space="0" w:color="auto"/>
            </w:tcBorders>
            <w:shd w:val="clear" w:color="auto" w:fill="auto"/>
            <w:vAlign w:val="bottom"/>
          </w:tcPr>
          <w:p w:rsidR="00B56E9C" w:rsidRPr="00D543AC" w:rsidRDefault="00B56E9C" w:rsidP="004519F1">
            <w:pPr>
              <w:spacing w:after="80" w:line="240" w:lineRule="auto"/>
              <w:rPr>
                <w:b/>
                <w:sz w:val="24"/>
                <w:szCs w:val="24"/>
              </w:rPr>
            </w:pPr>
            <w:r w:rsidRPr="00D543AC">
              <w:rPr>
                <w:sz w:val="28"/>
                <w:szCs w:val="28"/>
              </w:rPr>
              <w:t>United Nations</w:t>
            </w:r>
          </w:p>
        </w:tc>
        <w:tc>
          <w:tcPr>
            <w:tcW w:w="6095" w:type="dxa"/>
            <w:gridSpan w:val="2"/>
            <w:tcBorders>
              <w:bottom w:val="single" w:sz="4" w:space="0" w:color="auto"/>
            </w:tcBorders>
            <w:shd w:val="clear" w:color="auto" w:fill="auto"/>
            <w:vAlign w:val="bottom"/>
          </w:tcPr>
          <w:p w:rsidR="00B56E9C" w:rsidRPr="00D543AC" w:rsidRDefault="00B30027" w:rsidP="004519F1">
            <w:pPr>
              <w:spacing w:line="240" w:lineRule="auto"/>
              <w:jc w:val="right"/>
            </w:pPr>
            <w:bookmarkStart w:id="0" w:name="OLE_LINK1"/>
            <w:r w:rsidRPr="00D543AC">
              <w:rPr>
                <w:sz w:val="40"/>
              </w:rPr>
              <w:t>ECE</w:t>
            </w:r>
            <w:r w:rsidR="00C1371A">
              <w:t>/MP.PP/WG.1/2017</w:t>
            </w:r>
            <w:r w:rsidRPr="00D543AC">
              <w:t>/L.</w:t>
            </w:r>
            <w:bookmarkEnd w:id="0"/>
            <w:r w:rsidR="000604A7">
              <w:t>2</w:t>
            </w:r>
          </w:p>
        </w:tc>
      </w:tr>
      <w:tr w:rsidR="00B56E9C" w:rsidRPr="00D543AC" w:rsidTr="00F20666">
        <w:trPr>
          <w:cantSplit/>
          <w:trHeight w:hRule="exact" w:val="2272"/>
        </w:trPr>
        <w:tc>
          <w:tcPr>
            <w:tcW w:w="1276" w:type="dxa"/>
            <w:tcBorders>
              <w:top w:val="single" w:sz="4" w:space="0" w:color="auto"/>
              <w:bottom w:val="single" w:sz="12" w:space="0" w:color="auto"/>
            </w:tcBorders>
            <w:shd w:val="clear" w:color="auto" w:fill="auto"/>
          </w:tcPr>
          <w:p w:rsidR="00B56E9C" w:rsidRPr="00D543AC" w:rsidRDefault="008A2A1B" w:rsidP="004519F1">
            <w:pPr>
              <w:spacing w:before="120" w:line="240" w:lineRule="auto"/>
            </w:pPr>
            <w:r>
              <w:rPr>
                <w:noProof/>
                <w:lang w:val="nl-NL" w:eastAsia="nl-NL"/>
              </w:rPr>
              <w:drawing>
                <wp:inline distT="0" distB="0" distL="0" distR="0">
                  <wp:extent cx="715010" cy="59245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43AC" w:rsidRDefault="00D773DF" w:rsidP="004519F1">
            <w:pPr>
              <w:spacing w:before="120" w:line="240" w:lineRule="auto"/>
              <w:rPr>
                <w:sz w:val="40"/>
                <w:szCs w:val="40"/>
              </w:rPr>
            </w:pPr>
            <w:r w:rsidRPr="00D543AC">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D543AC" w:rsidRDefault="00B30027" w:rsidP="004519F1">
            <w:pPr>
              <w:spacing w:before="240" w:line="240" w:lineRule="auto"/>
            </w:pPr>
            <w:r w:rsidRPr="00D543AC">
              <w:t xml:space="preserve">Distr.: </w:t>
            </w:r>
            <w:r w:rsidR="004D382D">
              <w:t>Limited</w:t>
            </w:r>
          </w:p>
          <w:p w:rsidR="00B30027" w:rsidRPr="00D543AC" w:rsidRDefault="0012704F" w:rsidP="004519F1">
            <w:pPr>
              <w:spacing w:line="240" w:lineRule="auto"/>
            </w:pPr>
            <w:r>
              <w:t xml:space="preserve">12 January </w:t>
            </w:r>
            <w:r w:rsidR="00C1371A">
              <w:t>2017</w:t>
            </w:r>
          </w:p>
          <w:p w:rsidR="00B30027" w:rsidRPr="00D543AC" w:rsidRDefault="00B30027" w:rsidP="004519F1">
            <w:pPr>
              <w:spacing w:line="240" w:lineRule="auto"/>
            </w:pPr>
          </w:p>
          <w:p w:rsidR="00B30027" w:rsidRPr="00D543AC" w:rsidRDefault="00B30027" w:rsidP="004519F1">
            <w:pPr>
              <w:spacing w:line="240" w:lineRule="auto"/>
            </w:pPr>
            <w:r w:rsidRPr="00D543AC">
              <w:t>Original: English</w:t>
            </w:r>
          </w:p>
        </w:tc>
      </w:tr>
    </w:tbl>
    <w:p w:rsidR="00B30027" w:rsidRPr="00D543AC" w:rsidRDefault="00B30027" w:rsidP="003A2906">
      <w:pPr>
        <w:spacing w:before="60" w:line="240" w:lineRule="auto"/>
        <w:rPr>
          <w:b/>
          <w:bCs/>
          <w:sz w:val="28"/>
          <w:szCs w:val="28"/>
        </w:rPr>
      </w:pPr>
      <w:r w:rsidRPr="00D543AC">
        <w:rPr>
          <w:b/>
          <w:bCs/>
          <w:sz w:val="28"/>
          <w:szCs w:val="28"/>
        </w:rPr>
        <w:t>Economic Commission for Europe</w:t>
      </w:r>
    </w:p>
    <w:p w:rsidR="00B30027" w:rsidRPr="00D543AC" w:rsidRDefault="00B30027" w:rsidP="003A2906">
      <w:pPr>
        <w:spacing w:before="80" w:line="240" w:lineRule="auto"/>
        <w:rPr>
          <w:sz w:val="28"/>
          <w:szCs w:val="28"/>
        </w:rPr>
      </w:pPr>
      <w:r w:rsidRPr="00D543AC">
        <w:rPr>
          <w:sz w:val="28"/>
          <w:szCs w:val="28"/>
        </w:rPr>
        <w:t xml:space="preserve">Meeting of the Parties to the Convention on </w:t>
      </w:r>
      <w:r w:rsidRPr="00D543AC">
        <w:rPr>
          <w:sz w:val="28"/>
          <w:szCs w:val="28"/>
        </w:rPr>
        <w:br/>
        <w:t xml:space="preserve">Access to Information, Public Participation </w:t>
      </w:r>
      <w:r w:rsidRPr="00D543AC">
        <w:rPr>
          <w:sz w:val="28"/>
          <w:szCs w:val="28"/>
        </w:rPr>
        <w:br/>
        <w:t xml:space="preserve">in Decision-making and Access to Justice </w:t>
      </w:r>
      <w:r w:rsidRPr="00D543AC">
        <w:rPr>
          <w:sz w:val="28"/>
          <w:szCs w:val="28"/>
        </w:rPr>
        <w:br/>
        <w:t>in Environmental Matters</w:t>
      </w:r>
    </w:p>
    <w:p w:rsidR="00B30027" w:rsidRPr="00D543AC" w:rsidRDefault="00B30027" w:rsidP="003A2906">
      <w:pPr>
        <w:spacing w:before="80" w:line="240" w:lineRule="auto"/>
        <w:rPr>
          <w:b/>
          <w:sz w:val="24"/>
          <w:szCs w:val="24"/>
        </w:rPr>
      </w:pPr>
      <w:r w:rsidRPr="00D543AC">
        <w:rPr>
          <w:b/>
          <w:sz w:val="24"/>
          <w:szCs w:val="24"/>
        </w:rPr>
        <w:t>Working Group of the Parties</w:t>
      </w:r>
    </w:p>
    <w:p w:rsidR="00B30027" w:rsidRPr="00D543AC" w:rsidRDefault="008E38D5" w:rsidP="004519F1">
      <w:pPr>
        <w:spacing w:before="120" w:line="240" w:lineRule="auto"/>
        <w:rPr>
          <w:b/>
        </w:rPr>
      </w:pPr>
      <w:r>
        <w:rPr>
          <w:b/>
        </w:rPr>
        <w:t>Twenty-first</w:t>
      </w:r>
      <w:r w:rsidR="00B30027" w:rsidRPr="00D543AC">
        <w:rPr>
          <w:b/>
        </w:rPr>
        <w:t xml:space="preserve"> meeting</w:t>
      </w:r>
    </w:p>
    <w:p w:rsidR="00B30027" w:rsidRPr="00D543AC" w:rsidRDefault="0016155E" w:rsidP="004519F1">
      <w:pPr>
        <w:spacing w:line="240" w:lineRule="auto"/>
      </w:pPr>
      <w:r>
        <w:t>Geneva, 4–6 April 2017</w:t>
      </w:r>
    </w:p>
    <w:p w:rsidR="00B30027" w:rsidRPr="00D543AC" w:rsidRDefault="000604A7" w:rsidP="004519F1">
      <w:pPr>
        <w:spacing w:line="240" w:lineRule="auto"/>
      </w:pPr>
      <w:r>
        <w:t>Item 3 (b</w:t>
      </w:r>
      <w:r w:rsidR="00B30027" w:rsidRPr="00D543AC">
        <w:t>) of the provisional agenda</w:t>
      </w:r>
    </w:p>
    <w:p w:rsidR="00835DBD" w:rsidRPr="00D543AC" w:rsidRDefault="00D543AC" w:rsidP="003A2906">
      <w:pPr>
        <w:spacing w:line="240" w:lineRule="auto"/>
      </w:pPr>
      <w:r>
        <w:rPr>
          <w:rStyle w:val="Zwaar"/>
        </w:rPr>
        <w:t xml:space="preserve">Substantive issues: </w:t>
      </w:r>
      <w:r w:rsidR="000604A7">
        <w:rPr>
          <w:rStyle w:val="Zwaar"/>
        </w:rPr>
        <w:t>p</w:t>
      </w:r>
      <w:r w:rsidR="000604A7" w:rsidRPr="007D2B80">
        <w:rPr>
          <w:rStyle w:val="Zwaar"/>
        </w:rPr>
        <w:t>ublic participation in decision-making</w:t>
      </w:r>
    </w:p>
    <w:p w:rsidR="009F106D" w:rsidRDefault="00B30027" w:rsidP="003A2906">
      <w:pPr>
        <w:pStyle w:val="HChG"/>
        <w:spacing w:before="120" w:after="120"/>
      </w:pPr>
      <w:r w:rsidRPr="00D543AC">
        <w:tab/>
      </w:r>
      <w:r w:rsidRPr="00D543AC">
        <w:tab/>
      </w:r>
      <w:r w:rsidR="009F106D">
        <w:t xml:space="preserve">Draft </w:t>
      </w:r>
      <w:r w:rsidR="00394456">
        <w:t>d</w:t>
      </w:r>
      <w:r w:rsidR="009F106D">
        <w:t xml:space="preserve">ecision </w:t>
      </w:r>
      <w:r w:rsidR="009F106D" w:rsidRPr="00CB57EE">
        <w:t>V</w:t>
      </w:r>
      <w:r w:rsidR="009F106D">
        <w:t>I</w:t>
      </w:r>
      <w:r w:rsidR="009F106D" w:rsidRPr="00CB57EE">
        <w:t>/</w:t>
      </w:r>
      <w:r w:rsidR="009F106D">
        <w:t>…</w:t>
      </w:r>
      <w:r w:rsidR="009F106D" w:rsidRPr="00CB57EE">
        <w:t xml:space="preserve"> </w:t>
      </w:r>
      <w:r w:rsidR="009F106D" w:rsidRPr="00AA42A4">
        <w:t xml:space="preserve">on </w:t>
      </w:r>
      <w:r w:rsidR="009F106D">
        <w:t>promoting effective</w:t>
      </w:r>
      <w:r w:rsidR="009F106D" w:rsidRPr="00AA42A4">
        <w:t xml:space="preserve"> public participation in decision-making</w:t>
      </w:r>
    </w:p>
    <w:p w:rsidR="009F106D" w:rsidRDefault="000604A7" w:rsidP="003A2906">
      <w:pPr>
        <w:pStyle w:val="H1G"/>
        <w:spacing w:before="120" w:line="240" w:lineRule="auto"/>
        <w:rPr>
          <w:iCs/>
        </w:rPr>
      </w:pPr>
      <w:r>
        <w:tab/>
      </w:r>
      <w:r>
        <w:tab/>
      </w:r>
      <w:r w:rsidR="009F106D">
        <w:t>Prepared by the Bureau</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tblPr>
      <w:tblGrid>
        <w:gridCol w:w="9370"/>
      </w:tblGrid>
      <w:tr w:rsidR="009F106D" w:rsidRPr="00E40B68" w:rsidTr="00C71192">
        <w:trPr>
          <w:jc w:val="center"/>
        </w:trPr>
        <w:tc>
          <w:tcPr>
            <w:tcW w:w="9370" w:type="dxa"/>
            <w:tcBorders>
              <w:bottom w:val="nil"/>
            </w:tcBorders>
            <w:shd w:val="clear" w:color="auto" w:fill="auto"/>
          </w:tcPr>
          <w:p w:rsidR="009F106D" w:rsidRPr="00E40B68" w:rsidRDefault="000604A7" w:rsidP="003A2906">
            <w:pPr>
              <w:tabs>
                <w:tab w:val="left" w:pos="2669"/>
              </w:tabs>
              <w:spacing w:before="120" w:after="120"/>
              <w:ind w:left="255"/>
              <w:rPr>
                <w:i/>
                <w:sz w:val="24"/>
              </w:rPr>
            </w:pPr>
            <w:r>
              <w:rPr>
                <w:i/>
                <w:sz w:val="24"/>
              </w:rPr>
              <w:t>Summary</w:t>
            </w:r>
          </w:p>
        </w:tc>
      </w:tr>
      <w:tr w:rsidR="009F106D" w:rsidRPr="00E40B68" w:rsidTr="00C71192">
        <w:trPr>
          <w:jc w:val="center"/>
        </w:trPr>
        <w:tc>
          <w:tcPr>
            <w:tcW w:w="9370" w:type="dxa"/>
            <w:tcBorders>
              <w:top w:val="nil"/>
              <w:bottom w:val="nil"/>
            </w:tcBorders>
            <w:shd w:val="clear" w:color="auto" w:fill="auto"/>
          </w:tcPr>
          <w:p w:rsidR="00180A00" w:rsidRPr="003A2906" w:rsidRDefault="000604A7" w:rsidP="003A2906">
            <w:pPr>
              <w:pStyle w:val="SingleTxtG"/>
              <w:spacing w:after="60" w:line="240" w:lineRule="auto"/>
              <w:rPr>
                <w:spacing w:val="-6"/>
              </w:rPr>
            </w:pPr>
            <w:r w:rsidRPr="003A2906">
              <w:rPr>
                <w:spacing w:val="-6"/>
              </w:rPr>
              <w:tab/>
            </w:r>
            <w:r w:rsidR="009F106D" w:rsidRPr="003A2906">
              <w:rPr>
                <w:spacing w:val="-6"/>
              </w:rPr>
              <w:t xml:space="preserve">The present document sets out a draft decision on promoting effective public participation in decision-making. </w:t>
            </w:r>
          </w:p>
          <w:p w:rsidR="009F106D" w:rsidRPr="003A2906" w:rsidRDefault="00180A00" w:rsidP="00C71192">
            <w:pPr>
              <w:pStyle w:val="SingleTxtG"/>
              <w:spacing w:after="60" w:line="240" w:lineRule="auto"/>
              <w:rPr>
                <w:spacing w:val="-6"/>
              </w:rPr>
            </w:pPr>
            <w:r w:rsidRPr="003A2906">
              <w:rPr>
                <w:spacing w:val="-6"/>
              </w:rPr>
              <w:tab/>
              <w:t xml:space="preserve">In view of </w:t>
            </w:r>
            <w:r w:rsidRPr="003A2906">
              <w:rPr>
                <w:color w:val="000000"/>
                <w:spacing w:val="-6"/>
                <w:lang w:eastAsia="en-GB"/>
              </w:rPr>
              <w:t xml:space="preserve">its mandate to “make such proposals and recommendations to the Meeting of the Parties as it considers necessary for the achievement of the purposes of the Convention” (ECE/MP.PP/2/Add.15, para. 2 (d)), </w:t>
            </w:r>
            <w:r w:rsidR="009F106D" w:rsidRPr="003A2906">
              <w:rPr>
                <w:spacing w:val="-6"/>
              </w:rPr>
              <w:t>at its twentieth meeting (Geneva, 15</w:t>
            </w:r>
            <w:r w:rsidR="000604A7" w:rsidRPr="003A2906">
              <w:rPr>
                <w:spacing w:val="-6"/>
              </w:rPr>
              <w:t>–</w:t>
            </w:r>
            <w:r w:rsidR="009F106D" w:rsidRPr="003A2906">
              <w:rPr>
                <w:spacing w:val="-6"/>
              </w:rPr>
              <w:t>17 June 2016)</w:t>
            </w:r>
            <w:r w:rsidRPr="003A2906">
              <w:rPr>
                <w:spacing w:val="-6"/>
              </w:rPr>
              <w:t>, the Working Group of the Parties to the Convention on Access to Information, Public Participation in Decision-making and Access to Justice in Environmental Matters</w:t>
            </w:r>
            <w:r w:rsidR="009F106D" w:rsidRPr="003A2906">
              <w:rPr>
                <w:spacing w:val="-6"/>
              </w:rPr>
              <w:t xml:space="preserve"> requested the Bureau to prepare a draft decision on promoting effective public participation in decision-making for </w:t>
            </w:r>
            <w:r w:rsidRPr="003A2906">
              <w:rPr>
                <w:spacing w:val="-6"/>
              </w:rPr>
              <w:t xml:space="preserve">consideration by </w:t>
            </w:r>
            <w:r w:rsidR="009F106D" w:rsidRPr="003A2906">
              <w:rPr>
                <w:spacing w:val="-6"/>
              </w:rPr>
              <w:t>the Meeting</w:t>
            </w:r>
            <w:r w:rsidR="000604A7" w:rsidRPr="003A2906">
              <w:rPr>
                <w:spacing w:val="-6"/>
              </w:rPr>
              <w:t xml:space="preserve"> of the Parties </w:t>
            </w:r>
            <w:r w:rsidRPr="003A2906">
              <w:rPr>
                <w:spacing w:val="-6"/>
              </w:rPr>
              <w:t xml:space="preserve">at its sixth session </w:t>
            </w:r>
            <w:r w:rsidR="000604A7" w:rsidRPr="003A2906">
              <w:rPr>
                <w:spacing w:val="-6"/>
              </w:rPr>
              <w:t>(Montenegro, 11–</w:t>
            </w:r>
            <w:r w:rsidR="009F106D" w:rsidRPr="003A2906">
              <w:rPr>
                <w:spacing w:val="-6"/>
              </w:rPr>
              <w:t xml:space="preserve">14 September 2017). </w:t>
            </w:r>
          </w:p>
          <w:p w:rsidR="009F106D" w:rsidRPr="003A2906" w:rsidRDefault="000604A7" w:rsidP="00C71192">
            <w:pPr>
              <w:pStyle w:val="SingleTxtG"/>
              <w:spacing w:after="60" w:line="240" w:lineRule="auto"/>
              <w:rPr>
                <w:spacing w:val="-6"/>
              </w:rPr>
            </w:pPr>
            <w:r w:rsidRPr="003A2906">
              <w:rPr>
                <w:spacing w:val="-6"/>
              </w:rPr>
              <w:tab/>
            </w:r>
            <w:r w:rsidR="009F106D" w:rsidRPr="003A2906">
              <w:rPr>
                <w:spacing w:val="-6"/>
              </w:rPr>
              <w:t xml:space="preserve">The Bureau prepared an initial draft decision on the basis of the relevant outcomes of the twentieth meeting of the Working Group of the Parties; </w:t>
            </w:r>
            <w:r w:rsidR="00180A00" w:rsidRPr="003A2906">
              <w:rPr>
                <w:spacing w:val="-6"/>
              </w:rPr>
              <w:t xml:space="preserve">the note by the Chair of the Task Force on Public Participation in Decision-making (AC/WGP-20/Inf.2) submitted to that meeting; </w:t>
            </w:r>
            <w:r w:rsidR="009F106D" w:rsidRPr="003A2906">
              <w:rPr>
                <w:spacing w:val="-6"/>
              </w:rPr>
              <w:t>the outcomes of the work undertaken by the Task Force in the current intersession</w:t>
            </w:r>
            <w:r w:rsidR="00180A00" w:rsidRPr="003A2906">
              <w:rPr>
                <w:spacing w:val="-6"/>
              </w:rPr>
              <w:t>al</w:t>
            </w:r>
            <w:r w:rsidR="009F106D" w:rsidRPr="003A2906">
              <w:rPr>
                <w:spacing w:val="-6"/>
              </w:rPr>
              <w:t xml:space="preserve"> period; and </w:t>
            </w:r>
            <w:r w:rsidR="00180A00" w:rsidRPr="003A2906">
              <w:rPr>
                <w:spacing w:val="-6"/>
              </w:rPr>
              <w:t xml:space="preserve">the previous </w:t>
            </w:r>
            <w:r w:rsidR="009F106D" w:rsidRPr="003A2906">
              <w:rPr>
                <w:spacing w:val="-6"/>
              </w:rPr>
              <w:t xml:space="preserve">decision </w:t>
            </w:r>
            <w:r w:rsidR="00180A00" w:rsidRPr="003A2906">
              <w:rPr>
                <w:spacing w:val="-6"/>
              </w:rPr>
              <w:t xml:space="preserve">of the Meeting of the Parties </w:t>
            </w:r>
            <w:r w:rsidR="009F106D" w:rsidRPr="003A2906">
              <w:rPr>
                <w:spacing w:val="-6"/>
              </w:rPr>
              <w:t>on the same subject matter</w:t>
            </w:r>
            <w:r w:rsidR="00180A00" w:rsidRPr="003A2906">
              <w:rPr>
                <w:spacing w:val="-6"/>
              </w:rPr>
              <w:t xml:space="preserve"> (decision V/2)</w:t>
            </w:r>
            <w:r w:rsidR="009F106D" w:rsidRPr="003A2906">
              <w:rPr>
                <w:spacing w:val="-6"/>
              </w:rPr>
              <w:t xml:space="preserve">. </w:t>
            </w:r>
          </w:p>
          <w:p w:rsidR="00180A00" w:rsidRPr="003A2906" w:rsidRDefault="000604A7" w:rsidP="00F0092E">
            <w:pPr>
              <w:pStyle w:val="SingleTxtG"/>
              <w:spacing w:after="60" w:line="240" w:lineRule="auto"/>
              <w:rPr>
                <w:spacing w:val="-6"/>
              </w:rPr>
            </w:pPr>
            <w:r w:rsidRPr="003A2906">
              <w:rPr>
                <w:spacing w:val="-6"/>
              </w:rPr>
              <w:tab/>
            </w:r>
            <w:r w:rsidR="00746A42" w:rsidRPr="003A2906">
              <w:rPr>
                <w:spacing w:val="-6"/>
              </w:rPr>
              <w:t>As agreed, the draft decision was then distributed to Parties and stakeholders on 27 September 2016 for comments with the deadline to respond before 7 November 2016. In preparing the present draft, the Bureau took into account the comments received.</w:t>
            </w:r>
          </w:p>
          <w:p w:rsidR="009F106D" w:rsidRPr="00E40B68" w:rsidRDefault="00180A00" w:rsidP="00F0092E">
            <w:pPr>
              <w:pStyle w:val="SingleTxtG"/>
              <w:spacing w:after="60" w:line="240" w:lineRule="auto"/>
            </w:pPr>
            <w:r w:rsidRPr="003A2906">
              <w:rPr>
                <w:spacing w:val="-6"/>
              </w:rPr>
              <w:tab/>
            </w:r>
            <w:r w:rsidR="009F106D" w:rsidRPr="003A2906">
              <w:rPr>
                <w:spacing w:val="-6"/>
              </w:rPr>
              <w:t xml:space="preserve">The Working Group of the Parties is expected to consider and approve the draft decision </w:t>
            </w:r>
            <w:r w:rsidRPr="003A2906">
              <w:rPr>
                <w:spacing w:val="-6"/>
              </w:rPr>
              <w:t xml:space="preserve">for </w:t>
            </w:r>
            <w:r w:rsidR="009F106D" w:rsidRPr="003A2906">
              <w:rPr>
                <w:spacing w:val="-6"/>
              </w:rPr>
              <w:t>submi</w:t>
            </w:r>
            <w:r w:rsidRPr="003A2906">
              <w:rPr>
                <w:spacing w:val="-6"/>
              </w:rPr>
              <w:t>ssion</w:t>
            </w:r>
            <w:r w:rsidR="009F106D" w:rsidRPr="003A2906">
              <w:rPr>
                <w:spacing w:val="-6"/>
              </w:rPr>
              <w:t xml:space="preserve"> to the Meeting of the Parties at its s</w:t>
            </w:r>
            <w:r w:rsidR="000604A7" w:rsidRPr="003A2906">
              <w:rPr>
                <w:spacing w:val="-6"/>
              </w:rPr>
              <w:t>ixth session for consideration.</w:t>
            </w:r>
          </w:p>
        </w:tc>
      </w:tr>
      <w:tr w:rsidR="009F106D" w:rsidRPr="00E40B68" w:rsidTr="00C71192">
        <w:trPr>
          <w:trHeight w:val="48"/>
          <w:jc w:val="center"/>
        </w:trPr>
        <w:tc>
          <w:tcPr>
            <w:tcW w:w="9370" w:type="dxa"/>
            <w:tcBorders>
              <w:top w:val="nil"/>
            </w:tcBorders>
            <w:shd w:val="clear" w:color="auto" w:fill="auto"/>
          </w:tcPr>
          <w:p w:rsidR="009F106D" w:rsidRPr="00E40B68" w:rsidRDefault="009F106D" w:rsidP="00C71192">
            <w:pPr>
              <w:spacing w:line="240" w:lineRule="auto"/>
            </w:pPr>
          </w:p>
        </w:tc>
      </w:tr>
    </w:tbl>
    <w:p w:rsidR="009F106D" w:rsidRPr="00E40B68" w:rsidRDefault="000604A7" w:rsidP="009F106D">
      <w:pPr>
        <w:pStyle w:val="SingleTxtG"/>
        <w:rPr>
          <w:i/>
        </w:rPr>
      </w:pPr>
      <w:r>
        <w:rPr>
          <w:i/>
        </w:rPr>
        <w:br w:type="page"/>
      </w:r>
      <w:r w:rsidR="009F106D">
        <w:rPr>
          <w:i/>
        </w:rPr>
        <w:lastRenderedPageBreak/>
        <w:tab/>
      </w:r>
      <w:r w:rsidR="009F106D" w:rsidRPr="00E40B68">
        <w:rPr>
          <w:i/>
        </w:rPr>
        <w:t>The Meeting of the Parties,</w:t>
      </w:r>
    </w:p>
    <w:p w:rsidR="009F106D" w:rsidRPr="000F05F6" w:rsidRDefault="009F106D" w:rsidP="009F106D">
      <w:pPr>
        <w:pStyle w:val="SingleTxtG"/>
        <w:spacing w:line="240" w:lineRule="auto"/>
      </w:pPr>
      <w:r>
        <w:rPr>
          <w:rStyle w:val="SingleTxtGChar"/>
          <w:i/>
        </w:rPr>
        <w:tab/>
      </w:r>
      <w:r w:rsidRPr="000F05F6">
        <w:rPr>
          <w:rStyle w:val="SingleTxtGChar"/>
          <w:i/>
        </w:rPr>
        <w:t>Recalling</w:t>
      </w:r>
      <w:r w:rsidRPr="000F05F6">
        <w:rPr>
          <w:rStyle w:val="SingleTxtGChar"/>
        </w:rPr>
        <w:t xml:space="preserve"> the provisions of articles 6, 7 and 8 of the Convention on Access to Information, Public Participation in Decision-making and Access to Justice in Environmental Matters </w:t>
      </w:r>
      <w:r w:rsidR="00F0092E">
        <w:rPr>
          <w:rStyle w:val="SingleTxtGChar"/>
        </w:rPr>
        <w:t xml:space="preserve">(Aarhus Convention), </w:t>
      </w:r>
      <w:r w:rsidRPr="000F05F6">
        <w:rPr>
          <w:rStyle w:val="SingleTxtGChar"/>
        </w:rPr>
        <w:t>and the provisions of article 6 bis of the amendment to the Convention on public participation in decisions on the deliberate release into the environment</w:t>
      </w:r>
      <w:r w:rsidRPr="000F05F6">
        <w:t xml:space="preserve"> and placing on the market of genetically modified organisms,</w:t>
      </w:r>
    </w:p>
    <w:p w:rsidR="009F106D" w:rsidRPr="000F05F6" w:rsidRDefault="009F106D" w:rsidP="009F106D">
      <w:pPr>
        <w:pStyle w:val="SingleTxtG"/>
        <w:spacing w:line="240" w:lineRule="auto"/>
      </w:pPr>
      <w:r w:rsidRPr="000F05F6">
        <w:rPr>
          <w:iCs/>
          <w:spacing w:val="1"/>
        </w:rPr>
        <w:tab/>
      </w:r>
      <w:r w:rsidR="00394456">
        <w:rPr>
          <w:i/>
          <w:iCs/>
          <w:spacing w:val="1"/>
        </w:rPr>
        <w:t xml:space="preserve">Also </w:t>
      </w:r>
      <w:r w:rsidRPr="000F05F6">
        <w:rPr>
          <w:i/>
        </w:rPr>
        <w:t>recalling</w:t>
      </w:r>
      <w:r w:rsidRPr="000F05F6">
        <w:t xml:space="preserve"> its decisions EMP.II/1 </w:t>
      </w:r>
      <w:r>
        <w:t xml:space="preserve">and </w:t>
      </w:r>
      <w:r w:rsidRPr="00950373">
        <w:t>V/2</w:t>
      </w:r>
      <w:r>
        <w:t xml:space="preserve"> </w:t>
      </w:r>
      <w:r w:rsidRPr="000F05F6">
        <w:t>on public participation in decision-making, V/5 on the strategic plan for 2015–2020 and V</w:t>
      </w:r>
      <w:r>
        <w:t>I</w:t>
      </w:r>
      <w:r w:rsidRPr="000F05F6">
        <w:t>/</w:t>
      </w:r>
      <w:r>
        <w:t>…</w:t>
      </w:r>
      <w:r w:rsidRPr="000F05F6">
        <w:t xml:space="preserve"> on the work programme for 201</w:t>
      </w:r>
      <w:r>
        <w:t>8</w:t>
      </w:r>
      <w:r w:rsidRPr="000F05F6">
        <w:t>–20</w:t>
      </w:r>
      <w:r>
        <w:t>2</w:t>
      </w:r>
      <w:r w:rsidRPr="000F05F6">
        <w:t>1,</w:t>
      </w:r>
    </w:p>
    <w:p w:rsidR="009F106D" w:rsidRDefault="009F106D" w:rsidP="009F106D">
      <w:pPr>
        <w:pStyle w:val="SingleTxtG"/>
        <w:spacing w:line="240" w:lineRule="auto"/>
        <w:rPr>
          <w:i/>
        </w:rPr>
      </w:pPr>
      <w:r>
        <w:tab/>
      </w:r>
      <w:r w:rsidRPr="00D07130">
        <w:rPr>
          <w:i/>
        </w:rPr>
        <w:t>Recogn</w:t>
      </w:r>
      <w:r w:rsidR="00394456">
        <w:rPr>
          <w:i/>
        </w:rPr>
        <w:t>izing</w:t>
      </w:r>
      <w:r>
        <w:t xml:space="preserve"> the critical role of effective public participation for successful implementation of the Sustainable Development Goals,</w:t>
      </w:r>
    </w:p>
    <w:p w:rsidR="009F106D" w:rsidRPr="000F05F6" w:rsidRDefault="009F106D" w:rsidP="00AE7137">
      <w:pPr>
        <w:pStyle w:val="SingleTxtG"/>
        <w:spacing w:line="240" w:lineRule="auto"/>
        <w:ind w:firstLine="567"/>
      </w:pPr>
      <w:r w:rsidRPr="000F05F6">
        <w:rPr>
          <w:i/>
        </w:rPr>
        <w:t>Mindful</w:t>
      </w:r>
      <w:r w:rsidRPr="000F05F6">
        <w:t xml:space="preserve"> that the 201</w:t>
      </w:r>
      <w:r>
        <w:t>4</w:t>
      </w:r>
      <w:r w:rsidRPr="000F05F6">
        <w:t xml:space="preserve"> cycle of national implementation reports, the findings of the Compliance Committee and the work carried out under the auspices of the Task Force on Public Participation in Decision-making to date have</w:t>
      </w:r>
      <w:r w:rsidR="003B6A37">
        <w:t>,</w:t>
      </w:r>
      <w:r w:rsidRPr="000F05F6">
        <w:t xml:space="preserve"> collectively</w:t>
      </w:r>
      <w:r w:rsidR="003B6A37">
        <w:t>,</w:t>
      </w:r>
      <w:r w:rsidRPr="000F05F6">
        <w:t xml:space="preserve"> shown that challenges remain to the full implementation of the second pillar of the Convention across the region,</w:t>
      </w:r>
    </w:p>
    <w:p w:rsidR="009F106D" w:rsidRPr="000F05F6" w:rsidRDefault="009F106D" w:rsidP="009F106D">
      <w:pPr>
        <w:pStyle w:val="SingleTxtG"/>
        <w:spacing w:line="240" w:lineRule="auto"/>
      </w:pPr>
      <w:r w:rsidRPr="000F05F6">
        <w:tab/>
      </w:r>
      <w:r w:rsidRPr="000F05F6">
        <w:rPr>
          <w:i/>
        </w:rPr>
        <w:t>Recognizing</w:t>
      </w:r>
      <w:r w:rsidRPr="000F05F6">
        <w:t xml:space="preserve"> the vital role played by the Task Force on Public Participation in Decision-making in bringing together experts from governments, civil society and other stakeholders to exchange experiences regarding those challenges and to explore possible good practices to address them, </w:t>
      </w:r>
    </w:p>
    <w:p w:rsidR="009F106D" w:rsidRPr="000F05F6" w:rsidRDefault="009F106D" w:rsidP="009F106D">
      <w:pPr>
        <w:pStyle w:val="SingleTxtG"/>
        <w:spacing w:line="240" w:lineRule="auto"/>
        <w:rPr>
          <w:lang w:eastAsia="en-GB"/>
        </w:rPr>
      </w:pPr>
      <w:r w:rsidRPr="000F05F6">
        <w:rPr>
          <w:lang w:eastAsia="en-GB"/>
        </w:rPr>
        <w:tab/>
      </w:r>
      <w:r w:rsidRPr="000F05F6">
        <w:rPr>
          <w:i/>
          <w:lang w:eastAsia="en-GB"/>
        </w:rPr>
        <w:t>Welcoming</w:t>
      </w:r>
      <w:r w:rsidRPr="000F05F6">
        <w:rPr>
          <w:lang w:eastAsia="en-GB"/>
        </w:rPr>
        <w:t xml:space="preserve"> the important contribution to furthering implementation of the second pillar played by organizations engaged in capacity-building at the national and subregional levels, </w:t>
      </w:r>
    </w:p>
    <w:p w:rsidR="009F106D" w:rsidRPr="000F05F6" w:rsidRDefault="009F106D" w:rsidP="009F106D">
      <w:pPr>
        <w:pStyle w:val="SingleTxtG"/>
        <w:spacing w:line="240" w:lineRule="auto"/>
      </w:pPr>
      <w:r w:rsidRPr="000F05F6">
        <w:tab/>
      </w:r>
      <w:r w:rsidR="00394456" w:rsidRPr="00CA360C">
        <w:rPr>
          <w:i/>
        </w:rPr>
        <w:t>Also</w:t>
      </w:r>
      <w:r w:rsidR="00394456">
        <w:t xml:space="preserve"> </w:t>
      </w:r>
      <w:r w:rsidR="00394456">
        <w:rPr>
          <w:i/>
        </w:rPr>
        <w:t>w</w:t>
      </w:r>
      <w:r w:rsidRPr="000F05F6">
        <w:rPr>
          <w:i/>
        </w:rPr>
        <w:t>elcoming</w:t>
      </w:r>
      <w:r w:rsidRPr="000F05F6">
        <w:t xml:space="preserve"> the work of Aarhus Centres in several countries</w:t>
      </w:r>
      <w:r w:rsidR="00F0092E">
        <w:t>,</w:t>
      </w:r>
      <w:r w:rsidRPr="000F05F6">
        <w:t xml:space="preserve"> as platforms to facilitate public participation by providing environmental information, raising public awareness, promoting participatory debate on environmental policies, programmes and projects and providing assistance to members of the public in exercising their rights,</w:t>
      </w:r>
    </w:p>
    <w:p w:rsidR="009F106D" w:rsidRDefault="009F106D" w:rsidP="009F106D">
      <w:pPr>
        <w:pStyle w:val="SingleTxtG"/>
        <w:spacing w:line="240" w:lineRule="auto"/>
      </w:pPr>
      <w:r w:rsidRPr="000F05F6">
        <w:tab/>
      </w:r>
      <w:r w:rsidRPr="000F05F6">
        <w:rPr>
          <w:i/>
        </w:rPr>
        <w:t>Underlining</w:t>
      </w:r>
      <w:r>
        <w:rPr>
          <w:i/>
        </w:rPr>
        <w:t xml:space="preserve"> </w:t>
      </w:r>
      <w:r w:rsidRPr="000F05F6">
        <w:t>the need to further the implementation of the second pillar of the Convention (articles 6, 7</w:t>
      </w:r>
      <w:r w:rsidR="00F0092E">
        <w:t>,</w:t>
      </w:r>
      <w:r w:rsidRPr="000F05F6">
        <w:t xml:space="preserve"> 8 and</w:t>
      </w:r>
      <w:r w:rsidR="00F0092E">
        <w:t>,</w:t>
      </w:r>
      <w:r w:rsidRPr="000F05F6">
        <w:t xml:space="preserve"> </w:t>
      </w:r>
      <w:r w:rsidR="00F0092E">
        <w:t xml:space="preserve">prospectively, </w:t>
      </w:r>
      <w:r w:rsidRPr="000F05F6">
        <w:t>6 bis) so as to provide for more effective public participation in decision-making in environmental matters,</w:t>
      </w:r>
    </w:p>
    <w:p w:rsidR="009F106D" w:rsidRPr="000F05F6" w:rsidRDefault="00394456" w:rsidP="00CA360C">
      <w:pPr>
        <w:pStyle w:val="SingleTxtG"/>
      </w:pPr>
      <w:r>
        <w:rPr>
          <w:i/>
        </w:rPr>
        <w:tab/>
      </w:r>
      <w:r w:rsidR="009F106D" w:rsidRPr="00E40B68">
        <w:rPr>
          <w:i/>
        </w:rPr>
        <w:t>Having reviewed</w:t>
      </w:r>
      <w:r w:rsidR="009F106D" w:rsidRPr="00E40B68">
        <w:t xml:space="preserve"> the reports of the Task Force on </w:t>
      </w:r>
      <w:r w:rsidR="009F106D" w:rsidRPr="000F05F6">
        <w:t>Public Participation in Decision-making</w:t>
      </w:r>
      <w:r w:rsidR="00F0092E">
        <w:t xml:space="preserve"> submitted to the Working Group of the Parties in the period since the fifth session of the Meeting of the Parties</w:t>
      </w:r>
      <w:r w:rsidR="009F106D" w:rsidRPr="000F05F6">
        <w:t xml:space="preserve"> </w:t>
      </w:r>
      <w:r w:rsidR="009F106D" w:rsidRPr="00E40B68">
        <w:t>(ECE/MP.PP/WG.1/201</w:t>
      </w:r>
      <w:r w:rsidR="009F106D">
        <w:t>5</w:t>
      </w:r>
      <w:r w:rsidR="009F106D" w:rsidRPr="00E40B68">
        <w:t>/</w:t>
      </w:r>
      <w:r w:rsidR="009F106D">
        <w:t>4,</w:t>
      </w:r>
      <w:r w:rsidR="009F106D" w:rsidRPr="00E40B68">
        <w:t xml:space="preserve"> ECE/MP.PP/WG.1/201</w:t>
      </w:r>
      <w:r w:rsidR="009F106D">
        <w:t>6</w:t>
      </w:r>
      <w:r w:rsidR="009F106D" w:rsidRPr="00E40B68">
        <w:t>/</w:t>
      </w:r>
      <w:r w:rsidR="009F106D">
        <w:t xml:space="preserve">4 and </w:t>
      </w:r>
      <w:r w:rsidR="009F106D" w:rsidRPr="00E40B68">
        <w:t>ECE/MP.PP/WG.1/201</w:t>
      </w:r>
      <w:r w:rsidR="009F106D">
        <w:t>7</w:t>
      </w:r>
      <w:r w:rsidR="009F106D" w:rsidRPr="00E40B68">
        <w:t>/</w:t>
      </w:r>
      <w:r w:rsidR="009F106D">
        <w:t>…</w:t>
      </w:r>
      <w:r w:rsidR="009F106D" w:rsidRPr="00E40B68">
        <w:t>),</w:t>
      </w:r>
    </w:p>
    <w:p w:rsidR="009F106D" w:rsidRDefault="009F106D" w:rsidP="009F106D">
      <w:pPr>
        <w:pStyle w:val="SingleTxtG"/>
        <w:spacing w:line="240" w:lineRule="auto"/>
      </w:pPr>
      <w:r>
        <w:tab/>
      </w:r>
      <w:r w:rsidRPr="000F05F6">
        <w:t>1.</w:t>
      </w:r>
      <w:r w:rsidRPr="000F05F6">
        <w:tab/>
      </w:r>
      <w:r w:rsidRPr="000F05F6">
        <w:rPr>
          <w:i/>
        </w:rPr>
        <w:t>Notes</w:t>
      </w:r>
      <w:r w:rsidRPr="000F05F6">
        <w:t xml:space="preserve"> with appreciation the work undertaken by the Task Force on Public Participation in Decision-making and expresses its gratitude to </w:t>
      </w:r>
      <w:r>
        <w:t>Italy</w:t>
      </w:r>
      <w:r w:rsidRPr="000F05F6">
        <w:t xml:space="preserve"> for its leadership of the Task Force;</w:t>
      </w:r>
    </w:p>
    <w:p w:rsidR="009F106D" w:rsidRDefault="009F106D" w:rsidP="009F106D">
      <w:pPr>
        <w:pStyle w:val="SingleTxtG"/>
        <w:spacing w:line="240" w:lineRule="auto"/>
      </w:pPr>
      <w:r>
        <w:tab/>
      </w:r>
      <w:r w:rsidRPr="000F05F6">
        <w:t>2.</w:t>
      </w:r>
      <w:r w:rsidRPr="000F05F6">
        <w:tab/>
      </w:r>
      <w:r>
        <w:rPr>
          <w:i/>
        </w:rPr>
        <w:t>Recogn</w:t>
      </w:r>
      <w:r w:rsidR="00394456">
        <w:rPr>
          <w:i/>
        </w:rPr>
        <w:t>ize</w:t>
      </w:r>
      <w:r>
        <w:rPr>
          <w:i/>
        </w:rPr>
        <w:t>s</w:t>
      </w:r>
      <w:r w:rsidRPr="000F05F6">
        <w:t xml:space="preserve"> the </w:t>
      </w:r>
      <w:ins w:id="1" w:author="EKoning" w:date="2017-02-21T17:43:00Z">
        <w:r w:rsidR="003D5D7F">
          <w:t xml:space="preserve">valuable </w:t>
        </w:r>
      </w:ins>
      <w:r>
        <w:t xml:space="preserve">role </w:t>
      </w:r>
      <w:ins w:id="2" w:author="EKoning" w:date="2017-02-21T17:43:00Z">
        <w:r w:rsidR="003D5D7F">
          <w:t xml:space="preserve">in a number of contracting parties </w:t>
        </w:r>
      </w:ins>
      <w:r>
        <w:t xml:space="preserve">of the </w:t>
      </w:r>
      <w:r w:rsidRPr="000F05F6">
        <w:rPr>
          <w:szCs w:val="24"/>
        </w:rPr>
        <w:t>Maastricht</w:t>
      </w:r>
      <w:r w:rsidRPr="000F05F6">
        <w:t xml:space="preserve"> </w:t>
      </w:r>
      <w:r w:rsidR="00F0092E">
        <w:t>R</w:t>
      </w:r>
      <w:r w:rsidRPr="000F05F6">
        <w:t xml:space="preserve">ecommendations </w:t>
      </w:r>
      <w:r w:rsidR="00F0092E">
        <w:t>o</w:t>
      </w:r>
      <w:r w:rsidRPr="000F05F6">
        <w:t xml:space="preserve">n </w:t>
      </w:r>
      <w:r w:rsidR="00F0092E">
        <w:t>P</w:t>
      </w:r>
      <w:r w:rsidRPr="000F05F6">
        <w:t xml:space="preserve">romoting </w:t>
      </w:r>
      <w:r w:rsidR="00F0092E">
        <w:t>E</w:t>
      </w:r>
      <w:r w:rsidRPr="000F05F6">
        <w:t xml:space="preserve">ffective </w:t>
      </w:r>
      <w:r w:rsidR="00F0092E">
        <w:t>P</w:t>
      </w:r>
      <w:r w:rsidRPr="000F05F6">
        <w:t xml:space="preserve">ublic </w:t>
      </w:r>
      <w:r w:rsidR="00F0092E">
        <w:t>P</w:t>
      </w:r>
      <w:r w:rsidRPr="000F05F6">
        <w:t xml:space="preserve">articipation in </w:t>
      </w:r>
      <w:r w:rsidR="00F0092E">
        <w:t>D</w:t>
      </w:r>
      <w:r w:rsidRPr="000F05F6">
        <w:t xml:space="preserve">ecision-making </w:t>
      </w:r>
      <w:r w:rsidR="00F0092E">
        <w:t xml:space="preserve">in Environmental Matters </w:t>
      </w:r>
      <w:r w:rsidR="00240E32">
        <w:t xml:space="preserve">(Maastricht Recommendations) </w:t>
      </w:r>
      <w:r w:rsidRPr="000F05F6">
        <w:t>(</w:t>
      </w:r>
      <w:r w:rsidR="00F0092E" w:rsidRPr="00F0092E">
        <w:t>ECE/MP.PP/2014/2/Add.2</w:t>
      </w:r>
      <w:r w:rsidRPr="000F05F6">
        <w:t>)</w:t>
      </w:r>
      <w:r w:rsidR="00F0092E">
        <w:t>,</w:t>
      </w:r>
      <w:r w:rsidRPr="000F05F6">
        <w:t xml:space="preserve"> developed under the auspices of the Task Force</w:t>
      </w:r>
      <w:r>
        <w:t>,</w:t>
      </w:r>
      <w:r w:rsidRPr="000F05F6">
        <w:t xml:space="preserve"> and </w:t>
      </w:r>
      <w:r w:rsidRPr="00CA360C">
        <w:t>invites</w:t>
      </w:r>
      <w:r w:rsidRPr="000F05F6">
        <w:t xml:space="preserve"> Parties, </w:t>
      </w:r>
      <w:r w:rsidR="00F0092E">
        <w:t>s</w:t>
      </w:r>
      <w:r w:rsidRPr="000F05F6">
        <w:t>ignatories, other interested States and stakeholders to use them as a guidance to improve implementation of the second pillar of the Convention</w:t>
      </w:r>
      <w:r>
        <w:t>, including by translating them into national and</w:t>
      </w:r>
      <w:ins w:id="3" w:author="EKoning" w:date="2017-02-21T17:43:00Z">
        <w:r w:rsidR="003D5D7F">
          <w:t>, as appropriate,</w:t>
        </w:r>
      </w:ins>
      <w:r>
        <w:t xml:space="preserve"> local languages, and distributing them among all relevant target groups dealing with public participation at the national and subnational levels, such as public authorities, </w:t>
      </w:r>
      <w:r w:rsidRPr="000F05F6">
        <w:t>non-governmental organizations</w:t>
      </w:r>
      <w:r>
        <w:t>, operators, the private sector and the general public</w:t>
      </w:r>
      <w:r w:rsidRPr="000F05F6">
        <w:t xml:space="preserve">; </w:t>
      </w:r>
    </w:p>
    <w:p w:rsidR="009F106D" w:rsidRDefault="009F106D" w:rsidP="00AE7137">
      <w:pPr>
        <w:pStyle w:val="SingleTxtG"/>
        <w:spacing w:line="240" w:lineRule="auto"/>
        <w:ind w:firstLine="567"/>
      </w:pPr>
      <w:r w:rsidRPr="000F05F6">
        <w:t>3.</w:t>
      </w:r>
      <w:r w:rsidRPr="000F05F6">
        <w:tab/>
      </w:r>
      <w:r w:rsidRPr="000F05F6">
        <w:rPr>
          <w:i/>
        </w:rPr>
        <w:t>Welcomes</w:t>
      </w:r>
      <w:r w:rsidRPr="000F05F6">
        <w:t xml:space="preserve"> initiatives taken by Parties, </w:t>
      </w:r>
      <w:r w:rsidR="00F0092E">
        <w:t>s</w:t>
      </w:r>
      <w:r w:rsidRPr="000F05F6">
        <w:t>ignatories, international organizations, non-governmental organizations, research institutes and other stakeholders to study good practices, examine practical means of promoting more effective public participation in environmental decision-making and share their findings and experience, and encourages further activities to this end;</w:t>
      </w:r>
    </w:p>
    <w:p w:rsidR="009F106D" w:rsidRPr="000F05F6" w:rsidRDefault="009F106D" w:rsidP="009F106D">
      <w:pPr>
        <w:pStyle w:val="SingleTxtG"/>
        <w:spacing w:line="240" w:lineRule="auto"/>
      </w:pPr>
      <w:r>
        <w:lastRenderedPageBreak/>
        <w:tab/>
      </w:r>
      <w:r w:rsidRPr="000F05F6">
        <w:t>4.</w:t>
      </w:r>
      <w:r w:rsidRPr="000F05F6">
        <w:tab/>
      </w:r>
      <w:r w:rsidRPr="000F05F6">
        <w:rPr>
          <w:i/>
        </w:rPr>
        <w:t>Requests</w:t>
      </w:r>
      <w:r w:rsidRPr="000F05F6">
        <w:t xml:space="preserve"> the secretariat to make information on such activities as widely accessible as possible through the Aarhus Good Practice database and other online tools;</w:t>
      </w:r>
    </w:p>
    <w:p w:rsidR="009F106D" w:rsidRDefault="009F106D" w:rsidP="009F106D">
      <w:pPr>
        <w:pStyle w:val="SingleTxtG"/>
        <w:spacing w:line="240" w:lineRule="auto"/>
      </w:pPr>
      <w:r>
        <w:tab/>
      </w:r>
      <w:r w:rsidRPr="000F05F6">
        <w:t>5.</w:t>
      </w:r>
      <w:r w:rsidRPr="000F05F6">
        <w:tab/>
      </w:r>
      <w:r w:rsidRPr="000F05F6">
        <w:rPr>
          <w:i/>
        </w:rPr>
        <w:t>Invites</w:t>
      </w:r>
      <w:r w:rsidRPr="000F05F6">
        <w:t xml:space="preserve"> Parties, </w:t>
      </w:r>
      <w:r w:rsidR="007178BE">
        <w:t>s</w:t>
      </w:r>
      <w:r w:rsidRPr="000F05F6">
        <w:t>ignatories, international organizations, non-governmental organizations and other stakeholders to strengthen implementation of the public participation pillar of the Convention at the national level</w:t>
      </w:r>
      <w:r w:rsidR="007178BE">
        <w:t>,</w:t>
      </w:r>
      <w:r w:rsidRPr="000F05F6">
        <w:t xml:space="preserve"> and where possible to make resources available for this purpose;</w:t>
      </w:r>
    </w:p>
    <w:p w:rsidR="009F106D" w:rsidRDefault="00AE7137" w:rsidP="00AE7137">
      <w:pPr>
        <w:pStyle w:val="SingleTxtG"/>
        <w:spacing w:line="240" w:lineRule="auto"/>
        <w:ind w:firstLine="567"/>
      </w:pPr>
      <w:r>
        <w:t>6.</w:t>
      </w:r>
      <w:r>
        <w:tab/>
      </w:r>
      <w:r w:rsidR="009F106D" w:rsidRPr="000F05F6">
        <w:rPr>
          <w:i/>
        </w:rPr>
        <w:t>Invites</w:t>
      </w:r>
      <w:r w:rsidR="009F106D" w:rsidRPr="000F05F6">
        <w:t xml:space="preserve"> organizations engaged in capacity-building to </w:t>
      </w:r>
      <w:r w:rsidR="009F106D" w:rsidRPr="00A7766F">
        <w:t xml:space="preserve">further the implementation of the second pillar of the Convention </w:t>
      </w:r>
      <w:r w:rsidR="009F106D">
        <w:t xml:space="preserve">and to focus on </w:t>
      </w:r>
      <w:r w:rsidR="009F106D" w:rsidRPr="000F05F6">
        <w:t>developing training programmes</w:t>
      </w:r>
      <w:r w:rsidR="009F106D">
        <w:t xml:space="preserve"> </w:t>
      </w:r>
      <w:r w:rsidR="009F106D" w:rsidRPr="000F05F6">
        <w:t xml:space="preserve">at </w:t>
      </w:r>
      <w:r w:rsidR="00240E32">
        <w:t xml:space="preserve">the </w:t>
      </w:r>
      <w:r w:rsidR="009F106D" w:rsidRPr="000F05F6">
        <w:t>national</w:t>
      </w:r>
      <w:r w:rsidR="00240E32">
        <w:t xml:space="preserve"> level</w:t>
      </w:r>
      <w:r w:rsidR="009F106D">
        <w:t xml:space="preserve">, as a priority, </w:t>
      </w:r>
      <w:r w:rsidR="009F106D" w:rsidRPr="000F05F6">
        <w:t xml:space="preserve">and </w:t>
      </w:r>
      <w:r w:rsidR="00240E32">
        <w:t xml:space="preserve">also at the </w:t>
      </w:r>
      <w:r w:rsidR="009F106D" w:rsidRPr="000F05F6">
        <w:t>subregional level</w:t>
      </w:r>
      <w:r w:rsidR="00240E32">
        <w:t>,</w:t>
      </w:r>
      <w:r w:rsidR="009F106D" w:rsidRPr="000F05F6">
        <w:t xml:space="preserve"> for public officials involved in the day-to-day task of carrying out public participation procedures covered by articles 6, 7 and 8 of the Convention;</w:t>
      </w:r>
    </w:p>
    <w:p w:rsidR="009F106D" w:rsidRPr="000F05F6" w:rsidRDefault="00AE7137" w:rsidP="00AE7137">
      <w:pPr>
        <w:pStyle w:val="SingleTxtG"/>
        <w:spacing w:line="240" w:lineRule="auto"/>
        <w:ind w:firstLine="567"/>
      </w:pPr>
      <w:r>
        <w:t>7.</w:t>
      </w:r>
      <w:r>
        <w:tab/>
      </w:r>
      <w:r w:rsidR="009F106D" w:rsidRPr="000F05F6">
        <w:rPr>
          <w:i/>
        </w:rPr>
        <w:t>Invites</w:t>
      </w:r>
      <w:r w:rsidR="009F106D" w:rsidRPr="000F05F6">
        <w:t xml:space="preserve"> researchers focusing on participatory processes and environmental decision-making to use the resources gathered under the auspices of the Task Force in their research, and also to share the results of their research with the Task Force;</w:t>
      </w:r>
    </w:p>
    <w:p w:rsidR="009F106D" w:rsidRDefault="009F106D" w:rsidP="009F106D">
      <w:pPr>
        <w:pStyle w:val="SingleTxtG"/>
        <w:spacing w:line="240" w:lineRule="auto"/>
      </w:pPr>
      <w:r>
        <w:tab/>
      </w:r>
      <w:r w:rsidRPr="000F05F6">
        <w:t>8.</w:t>
      </w:r>
      <w:r w:rsidRPr="000F05F6">
        <w:tab/>
      </w:r>
      <w:r w:rsidRPr="000F05F6">
        <w:rPr>
          <w:i/>
        </w:rPr>
        <w:t>Encourages</w:t>
      </w:r>
      <w:r w:rsidRPr="000F05F6">
        <w:t xml:space="preserve"> Parties, </w:t>
      </w:r>
      <w:r w:rsidR="00240E32">
        <w:t>s</w:t>
      </w:r>
      <w:r w:rsidRPr="000F05F6">
        <w:t>ignatories, other interested States, international organizations, non-governmental organizations, research institutes and other stakeholders to participate in the activities under the Convention on public participation in decision-making and to allocate sufficient resources for this matter;</w:t>
      </w:r>
    </w:p>
    <w:p w:rsidR="009F106D" w:rsidRPr="000F05F6" w:rsidRDefault="009F106D" w:rsidP="009F106D">
      <w:pPr>
        <w:pStyle w:val="SingleTxtG"/>
        <w:spacing w:line="240" w:lineRule="auto"/>
      </w:pPr>
      <w:r>
        <w:tab/>
      </w:r>
      <w:r w:rsidRPr="000F05F6">
        <w:t>9.</w:t>
      </w:r>
      <w:r w:rsidRPr="000F05F6">
        <w:tab/>
      </w:r>
      <w:r w:rsidRPr="000F05F6">
        <w:rPr>
          <w:i/>
          <w:iCs/>
        </w:rPr>
        <w:t xml:space="preserve">Decides </w:t>
      </w:r>
      <w:r w:rsidRPr="000F05F6">
        <w:t xml:space="preserve">to extend in time the mandate of the Task Force on Public Participation in Decision-making, under the authority of the Working Group of the Parties to the Convention, to carry out further work, taking into consideration the relevant work being undertaken by Parties, </w:t>
      </w:r>
      <w:r w:rsidR="00240E32">
        <w:t>s</w:t>
      </w:r>
      <w:r w:rsidRPr="000F05F6">
        <w:t>ignatories and other stakeholders;</w:t>
      </w:r>
    </w:p>
    <w:p w:rsidR="009F106D" w:rsidRPr="000F05F6" w:rsidRDefault="009F106D" w:rsidP="009F106D">
      <w:pPr>
        <w:pStyle w:val="SingleTxtG"/>
        <w:spacing w:line="240" w:lineRule="auto"/>
      </w:pPr>
      <w:r>
        <w:tab/>
      </w:r>
      <w:r w:rsidRPr="000F05F6">
        <w:t>1</w:t>
      </w:r>
      <w:r>
        <w:t>0.</w:t>
      </w:r>
      <w:r>
        <w:tab/>
      </w:r>
      <w:r w:rsidRPr="000F05F6">
        <w:rPr>
          <w:i/>
        </w:rPr>
        <w:t>Welcomes</w:t>
      </w:r>
      <w:r w:rsidRPr="000F05F6">
        <w:t xml:space="preserve"> the offer of </w:t>
      </w:r>
      <w:r>
        <w:t xml:space="preserve">… to </w:t>
      </w:r>
      <w:r w:rsidRPr="000F05F6">
        <w:t>lead the Task Force on Public Participation in Decision-making;</w:t>
      </w:r>
    </w:p>
    <w:p w:rsidR="009F106D" w:rsidRDefault="009F106D" w:rsidP="00AE7137">
      <w:pPr>
        <w:pStyle w:val="SingleTxtG"/>
        <w:spacing w:line="240" w:lineRule="auto"/>
        <w:ind w:firstLine="567"/>
      </w:pPr>
      <w:r w:rsidRPr="000F05F6">
        <w:t>1</w:t>
      </w:r>
      <w:r>
        <w:t>1</w:t>
      </w:r>
      <w:r w:rsidR="00AE7137">
        <w:t>.</w:t>
      </w:r>
      <w:r w:rsidR="00AE7137">
        <w:tab/>
      </w:r>
      <w:r w:rsidRPr="000F05F6">
        <w:rPr>
          <w:i/>
        </w:rPr>
        <w:t>Requests</w:t>
      </w:r>
      <w:r w:rsidRPr="000F05F6">
        <w:t xml:space="preserve"> the Task Force, subject to the availability of resources</w:t>
      </w:r>
      <w:r>
        <w:t xml:space="preserve"> and </w:t>
      </w:r>
      <w:r w:rsidRPr="000F05F6">
        <w:t>taking into account, inter alia, the national implementation reports, the findings of the Compliance Committee</w:t>
      </w:r>
      <w:r>
        <w:t xml:space="preserve"> of a systemic nature</w:t>
      </w:r>
      <w:r w:rsidRPr="000F05F6">
        <w:t xml:space="preserve">, other relevant assessments and the experiences of the public, </w:t>
      </w:r>
      <w:r>
        <w:t>to c</w:t>
      </w:r>
      <w:r w:rsidRPr="000F05F6">
        <w:t>ontinue working to strengthen the implementation of the public participation provisions of the Convention</w:t>
      </w:r>
      <w:r>
        <w:t>, with special attention to</w:t>
      </w:r>
      <w:r w:rsidRPr="000F05F6">
        <w:t>:</w:t>
      </w:r>
    </w:p>
    <w:p w:rsidR="009F106D" w:rsidRPr="00AE7137" w:rsidRDefault="009F106D" w:rsidP="00AE7137">
      <w:pPr>
        <w:pStyle w:val="SingleTxtG"/>
        <w:ind w:firstLine="567"/>
      </w:pPr>
      <w:r w:rsidRPr="00AE7137">
        <w:t>(a)</w:t>
      </w:r>
      <w:r w:rsidRPr="00AE7137">
        <w:tab/>
        <w:t>Gathering information on experiences from Parties and stakeholders regarding the application of the Maastricht Recommendations;</w:t>
      </w:r>
    </w:p>
    <w:p w:rsidR="009F106D" w:rsidRPr="00AE7137" w:rsidRDefault="009F106D" w:rsidP="00AE7137">
      <w:pPr>
        <w:pStyle w:val="SingleTxtG"/>
      </w:pPr>
      <w:r w:rsidRPr="00AE7137">
        <w:tab/>
        <w:t>(b)</w:t>
      </w:r>
      <w:r w:rsidRPr="00AE7137">
        <w:tab/>
        <w:t>Overseeing the collection and dissemination of good practices in public participation in decision-making through the Aarhus Good Practice online database;</w:t>
      </w:r>
    </w:p>
    <w:p w:rsidR="009F106D" w:rsidRPr="00AE7137" w:rsidRDefault="009F106D" w:rsidP="00AE7137">
      <w:pPr>
        <w:pStyle w:val="SingleTxtG"/>
        <w:ind w:firstLine="567"/>
      </w:pPr>
      <w:r w:rsidRPr="00AE7137">
        <w:t>(c)</w:t>
      </w:r>
      <w:r w:rsidRPr="00AE7137">
        <w:tab/>
        <w:t>Exchanging good practices and identifying innovative practices that facilitate more effective public participation without entailing additional significant financial or human resources on the part of public authorities;</w:t>
      </w:r>
    </w:p>
    <w:p w:rsidR="00237A85" w:rsidRDefault="009F106D" w:rsidP="009F106D">
      <w:pPr>
        <w:pStyle w:val="SingleTxtG"/>
        <w:spacing w:line="240" w:lineRule="auto"/>
      </w:pPr>
      <w:r w:rsidRPr="000F05F6">
        <w:tab/>
      </w:r>
      <w:r>
        <w:t>(d</w:t>
      </w:r>
      <w:r w:rsidR="00AE7137">
        <w:t>)</w:t>
      </w:r>
      <w:r>
        <w:tab/>
        <w:t>I</w:t>
      </w:r>
      <w:r w:rsidRPr="000F05F6">
        <w:t>dentify</w:t>
      </w:r>
      <w:r>
        <w:t>ing</w:t>
      </w:r>
      <w:r w:rsidRPr="000F05F6">
        <w:t xml:space="preserve"> the main obstacles to effective public participation in all types of decision-making within the scope of the Convention at the national, </w:t>
      </w:r>
      <w:r>
        <w:t>subnational</w:t>
      </w:r>
      <w:r w:rsidRPr="000F05F6">
        <w:t xml:space="preserve"> and local levels, </w:t>
      </w:r>
      <w:r>
        <w:t>in particular</w:t>
      </w:r>
      <w:r w:rsidRPr="000F05F6">
        <w:t xml:space="preserve"> </w:t>
      </w:r>
      <w:r>
        <w:t>with regard to issues of a systemic nature such as</w:t>
      </w:r>
      <w:r w:rsidR="00237A85">
        <w:t>:</w:t>
      </w:r>
    </w:p>
    <w:p w:rsidR="00237A85" w:rsidRDefault="00237A85" w:rsidP="009F106D">
      <w:pPr>
        <w:pStyle w:val="SingleTxtG"/>
        <w:spacing w:line="240" w:lineRule="auto"/>
      </w:pPr>
      <w:r>
        <w:tab/>
        <w:t>(</w:t>
      </w:r>
      <w:proofErr w:type="spellStart"/>
      <w:r>
        <w:t>i</w:t>
      </w:r>
      <w:proofErr w:type="spellEnd"/>
      <w:r>
        <w:t>)</w:t>
      </w:r>
      <w:r>
        <w:tab/>
        <w:t>M</w:t>
      </w:r>
      <w:r w:rsidR="009F106D" w:rsidRPr="002075E8">
        <w:t>eaningful and early public participation</w:t>
      </w:r>
      <w:r w:rsidR="009F106D">
        <w:t xml:space="preserve">; </w:t>
      </w:r>
    </w:p>
    <w:p w:rsidR="00237A85" w:rsidRDefault="00237A85" w:rsidP="009F106D">
      <w:pPr>
        <w:pStyle w:val="SingleTxtG"/>
        <w:spacing w:line="240" w:lineRule="auto"/>
      </w:pPr>
      <w:r>
        <w:tab/>
        <w:t xml:space="preserve">(ii) </w:t>
      </w:r>
      <w:r>
        <w:tab/>
        <w:t>T</w:t>
      </w:r>
      <w:r w:rsidR="009F106D">
        <w:t xml:space="preserve">he availability of all relevant documents to the public; </w:t>
      </w:r>
    </w:p>
    <w:p w:rsidR="00237A85" w:rsidRDefault="00237A85" w:rsidP="009F106D">
      <w:pPr>
        <w:pStyle w:val="SingleTxtG"/>
        <w:spacing w:line="240" w:lineRule="auto"/>
      </w:pPr>
      <w:r>
        <w:tab/>
        <w:t>(iii)</w:t>
      </w:r>
      <w:r>
        <w:tab/>
        <w:t>E</w:t>
      </w:r>
      <w:r w:rsidR="009F106D" w:rsidRPr="002075E8">
        <w:t>ffective notification and time frames for public participation</w:t>
      </w:r>
      <w:r w:rsidR="009F106D">
        <w:t xml:space="preserve">; </w:t>
      </w:r>
    </w:p>
    <w:p w:rsidR="00237A85" w:rsidRDefault="00237A85" w:rsidP="009F106D">
      <w:pPr>
        <w:pStyle w:val="SingleTxtG"/>
        <w:spacing w:line="240" w:lineRule="auto"/>
      </w:pPr>
      <w:r>
        <w:tab/>
        <w:t>(iv)</w:t>
      </w:r>
      <w:r>
        <w:tab/>
        <w:t>P</w:t>
      </w:r>
      <w:r w:rsidR="009F106D" w:rsidRPr="002075E8">
        <w:t>articipation of vulnerable and marginalized groups</w:t>
      </w:r>
      <w:r w:rsidR="009F106D">
        <w:t xml:space="preserve">; </w:t>
      </w:r>
    </w:p>
    <w:p w:rsidR="00237A85" w:rsidRDefault="00237A85" w:rsidP="00CA360C">
      <w:pPr>
        <w:pStyle w:val="SingleTxtG"/>
        <w:spacing w:line="240" w:lineRule="auto"/>
        <w:ind w:left="1701" w:hanging="567"/>
      </w:pPr>
      <w:r>
        <w:tab/>
        <w:t>(v)</w:t>
      </w:r>
      <w:r>
        <w:tab/>
        <w:t>P</w:t>
      </w:r>
      <w:r w:rsidR="009F106D">
        <w:t xml:space="preserve">rotection </w:t>
      </w:r>
      <w:r w:rsidR="009F106D" w:rsidRPr="00AB71E6">
        <w:rPr>
          <w:color w:val="000000"/>
        </w:rPr>
        <w:t>of whistle</w:t>
      </w:r>
      <w:r w:rsidR="00394456">
        <w:rPr>
          <w:color w:val="000000"/>
        </w:rPr>
        <w:t>-</w:t>
      </w:r>
      <w:r w:rsidR="009F106D" w:rsidRPr="00AB71E6">
        <w:rPr>
          <w:color w:val="000000"/>
        </w:rPr>
        <w:t>blowers, environmental activists and other persons exercising their rights in conformity with the provisions of the Convention</w:t>
      </w:r>
      <w:r w:rsidR="009F106D">
        <w:rPr>
          <w:color w:val="000000"/>
        </w:rPr>
        <w:t>;</w:t>
      </w:r>
      <w:r w:rsidR="009F106D">
        <w:t xml:space="preserve"> </w:t>
      </w:r>
    </w:p>
    <w:p w:rsidR="009F106D" w:rsidRDefault="00237A85" w:rsidP="00CA360C">
      <w:pPr>
        <w:pStyle w:val="SingleTxtG"/>
        <w:spacing w:line="240" w:lineRule="auto"/>
        <w:ind w:left="1701" w:hanging="567"/>
      </w:pPr>
      <w:r>
        <w:tab/>
        <w:t>(vi)</w:t>
      </w:r>
      <w:r>
        <w:tab/>
        <w:t>E</w:t>
      </w:r>
      <w:r w:rsidR="009F106D">
        <w:t>n</w:t>
      </w:r>
      <w:r w:rsidR="009F106D" w:rsidRPr="002075E8">
        <w:t>suring</w:t>
      </w:r>
      <w:r w:rsidR="009F106D">
        <w:t xml:space="preserve"> that</w:t>
      </w:r>
      <w:r w:rsidR="009F106D" w:rsidRPr="002075E8">
        <w:t xml:space="preserve"> </w:t>
      </w:r>
      <w:r w:rsidR="009F106D" w:rsidRPr="00C86E5A">
        <w:t>greater account is taken of the comments from the public in the final decisions</w:t>
      </w:r>
      <w:r w:rsidR="00500EDB">
        <w:t xml:space="preserve">, </w:t>
      </w:r>
      <w:r w:rsidR="009F106D" w:rsidRPr="00C86E5A">
        <w:t xml:space="preserve">and </w:t>
      </w:r>
      <w:r w:rsidR="00500EDB">
        <w:t>ensuring</w:t>
      </w:r>
      <w:ins w:id="4" w:author="EKoning" w:date="2017-02-21T17:44:00Z">
        <w:r w:rsidR="003D5D7F">
          <w:t xml:space="preserve">, as </w:t>
        </w:r>
        <w:r w:rsidR="003D5D7F">
          <w:t>appropriate</w:t>
        </w:r>
        <w:r w:rsidR="003D5D7F">
          <w:t>,</w:t>
        </w:r>
      </w:ins>
      <w:r w:rsidR="00500EDB">
        <w:t xml:space="preserve"> </w:t>
      </w:r>
      <w:r w:rsidR="009F106D" w:rsidRPr="00C2082B">
        <w:t>the provision of feedback on how the public’s comments have been taken into account in the decisions</w:t>
      </w:r>
      <w:r w:rsidR="009F106D" w:rsidRPr="00C86E5A">
        <w:t>;</w:t>
      </w:r>
    </w:p>
    <w:p w:rsidR="00237A85" w:rsidRDefault="009F106D" w:rsidP="009F106D">
      <w:pPr>
        <w:pStyle w:val="SingleTxtG"/>
        <w:spacing w:line="240" w:lineRule="auto"/>
      </w:pPr>
      <w:r>
        <w:lastRenderedPageBreak/>
        <w:tab/>
        <w:t>(e)</w:t>
      </w:r>
      <w:r>
        <w:tab/>
      </w:r>
      <w:r w:rsidR="00DD0DC6">
        <w:t>While continuing to consider p</w:t>
      </w:r>
      <w:r w:rsidR="00DD0DC6" w:rsidRPr="002075E8">
        <w:t>ublic participation in climate</w:t>
      </w:r>
      <w:r w:rsidR="00DD0DC6">
        <w:t xml:space="preserve"> change-related decision-making, a</w:t>
      </w:r>
      <w:r w:rsidR="00237A85">
        <w:t>ddressing, i</w:t>
      </w:r>
      <w:r>
        <w:t xml:space="preserve">n collaboration with </w:t>
      </w:r>
      <w:r w:rsidRPr="000F05F6">
        <w:t>relevant partner organizations</w:t>
      </w:r>
      <w:r w:rsidR="00237A85">
        <w:t xml:space="preserve"> and</w:t>
      </w:r>
      <w:r>
        <w:t xml:space="preserve"> as appropriate, the following subjects: </w:t>
      </w:r>
    </w:p>
    <w:p w:rsidR="00237A85" w:rsidRDefault="00237A85" w:rsidP="009F106D">
      <w:pPr>
        <w:pStyle w:val="SingleTxtG"/>
        <w:spacing w:line="240" w:lineRule="auto"/>
      </w:pPr>
      <w:r>
        <w:tab/>
        <w:t>(</w:t>
      </w:r>
      <w:proofErr w:type="spellStart"/>
      <w:r>
        <w:t>i</w:t>
      </w:r>
      <w:proofErr w:type="spellEnd"/>
      <w:r>
        <w:t>)</w:t>
      </w:r>
      <w:r>
        <w:tab/>
        <w:t>P</w:t>
      </w:r>
      <w:r w:rsidR="009F106D">
        <w:t xml:space="preserve">ublic participation in </w:t>
      </w:r>
      <w:r w:rsidR="009F106D" w:rsidRPr="002075E8">
        <w:t xml:space="preserve">decision-making on the extractive sector; </w:t>
      </w:r>
    </w:p>
    <w:p w:rsidR="00237A85" w:rsidRDefault="00237A85" w:rsidP="009F106D">
      <w:pPr>
        <w:pStyle w:val="SingleTxtG"/>
        <w:spacing w:line="240" w:lineRule="auto"/>
      </w:pPr>
      <w:r>
        <w:tab/>
        <w:t>(ii)</w:t>
      </w:r>
      <w:r>
        <w:tab/>
        <w:t>C</w:t>
      </w:r>
      <w:r w:rsidR="009F106D" w:rsidRPr="002075E8">
        <w:t xml:space="preserve">hemicals; </w:t>
      </w:r>
    </w:p>
    <w:p w:rsidR="00237A85" w:rsidRDefault="00237A85" w:rsidP="009F106D">
      <w:pPr>
        <w:pStyle w:val="SingleTxtG"/>
        <w:spacing w:line="240" w:lineRule="auto"/>
      </w:pPr>
      <w:r>
        <w:tab/>
        <w:t>(iii)</w:t>
      </w:r>
      <w:r>
        <w:tab/>
        <w:t>E</w:t>
      </w:r>
      <w:r w:rsidR="009F106D" w:rsidRPr="002075E8">
        <w:t xml:space="preserve">merging technologies (e.g., nanotechnology); </w:t>
      </w:r>
    </w:p>
    <w:p w:rsidR="00237A85" w:rsidRDefault="00237A85" w:rsidP="009F106D">
      <w:pPr>
        <w:pStyle w:val="SingleTxtG"/>
        <w:spacing w:line="240" w:lineRule="auto"/>
      </w:pPr>
      <w:r>
        <w:tab/>
        <w:t>(iv)</w:t>
      </w:r>
      <w:r>
        <w:tab/>
        <w:t>P</w:t>
      </w:r>
      <w:r w:rsidR="009F106D" w:rsidRPr="002075E8">
        <w:t>roduct-related decision-making</w:t>
      </w:r>
      <w:r>
        <w:t>;</w:t>
      </w:r>
      <w:r w:rsidR="009F106D" w:rsidRPr="002075E8">
        <w:t xml:space="preserve"> </w:t>
      </w:r>
    </w:p>
    <w:p w:rsidR="009F106D" w:rsidRPr="00E66F36" w:rsidRDefault="009F106D" w:rsidP="00AE7137">
      <w:pPr>
        <w:pStyle w:val="SingleTxtG"/>
        <w:ind w:firstLine="567"/>
        <w:rPr>
          <w:rFonts w:eastAsia="Calibri"/>
        </w:rPr>
      </w:pPr>
      <w:r w:rsidRPr="00273EA0">
        <w:rPr>
          <w:rFonts w:eastAsia="Calibri"/>
        </w:rPr>
        <w:t>1</w:t>
      </w:r>
      <w:r>
        <w:rPr>
          <w:rFonts w:eastAsia="Calibri"/>
        </w:rPr>
        <w:t>2</w:t>
      </w:r>
      <w:r w:rsidR="00AE7137">
        <w:rPr>
          <w:rFonts w:eastAsia="Calibri"/>
        </w:rPr>
        <w:t>.</w:t>
      </w:r>
      <w:r>
        <w:rPr>
          <w:rFonts w:eastAsia="Calibri"/>
          <w:i/>
        </w:rPr>
        <w:tab/>
      </w:r>
      <w:r w:rsidRPr="00E66F36">
        <w:rPr>
          <w:rFonts w:eastAsia="Calibri"/>
          <w:i/>
        </w:rPr>
        <w:t>Requests</w:t>
      </w:r>
      <w:r w:rsidRPr="00E66F36">
        <w:rPr>
          <w:rFonts w:eastAsia="Calibri"/>
        </w:rPr>
        <w:t xml:space="preserve"> the Working Group of the Parties</w:t>
      </w:r>
      <w:r>
        <w:rPr>
          <w:rFonts w:eastAsia="Calibri"/>
        </w:rPr>
        <w:t xml:space="preserve"> t</w:t>
      </w:r>
      <w:r w:rsidRPr="00E66F36">
        <w:rPr>
          <w:rFonts w:eastAsia="Calibri"/>
        </w:rPr>
        <w:t xml:space="preserve">o </w:t>
      </w:r>
      <w:r w:rsidR="00237A85">
        <w:rPr>
          <w:rFonts w:eastAsia="Calibri"/>
        </w:rPr>
        <w:t xml:space="preserve">hold </w:t>
      </w:r>
      <w:r w:rsidRPr="00E66F36">
        <w:rPr>
          <w:rFonts w:eastAsia="Calibri"/>
        </w:rPr>
        <w:t xml:space="preserve">a thematic session on promoting </w:t>
      </w:r>
      <w:r>
        <w:rPr>
          <w:rFonts w:eastAsia="Calibri"/>
        </w:rPr>
        <w:t>effective public participation in decision-making</w:t>
      </w:r>
      <w:r w:rsidR="00237A85">
        <w:rPr>
          <w:rFonts w:eastAsia="Calibri"/>
        </w:rPr>
        <w:t xml:space="preserve"> </w:t>
      </w:r>
      <w:r w:rsidR="00160447">
        <w:rPr>
          <w:rFonts w:eastAsia="Calibri"/>
        </w:rPr>
        <w:t xml:space="preserve">during one of its meetings in </w:t>
      </w:r>
      <w:r w:rsidR="00237A85">
        <w:rPr>
          <w:rFonts w:eastAsia="Calibri"/>
        </w:rPr>
        <w:t>the coming intersessional period</w:t>
      </w:r>
      <w:r w:rsidR="00160447">
        <w:rPr>
          <w:rFonts w:eastAsia="Calibri"/>
        </w:rPr>
        <w:t xml:space="preserve">, </w:t>
      </w:r>
      <w:r w:rsidRPr="00E66F36">
        <w:rPr>
          <w:rFonts w:eastAsia="Calibri"/>
        </w:rPr>
        <w:t>with a view to</w:t>
      </w:r>
      <w:r w:rsidRPr="00E66F36">
        <w:rPr>
          <w:rFonts w:eastAsia="Calibri"/>
          <w:szCs w:val="28"/>
        </w:rPr>
        <w:t xml:space="preserve"> providing opportunities for Parties, </w:t>
      </w:r>
      <w:r w:rsidR="003B6A37">
        <w:rPr>
          <w:rFonts w:eastAsia="Calibri"/>
          <w:szCs w:val="28"/>
        </w:rPr>
        <w:t>s</w:t>
      </w:r>
      <w:r w:rsidRPr="00E66F36">
        <w:rPr>
          <w:rFonts w:eastAsia="Calibri"/>
          <w:szCs w:val="28"/>
        </w:rPr>
        <w:t xml:space="preserve">ignatories and stakeholders to exchange experiences </w:t>
      </w:r>
      <w:r w:rsidR="0064559F">
        <w:rPr>
          <w:rFonts w:eastAsia="Calibri"/>
          <w:szCs w:val="28"/>
        </w:rPr>
        <w:t>o</w:t>
      </w:r>
      <w:r w:rsidRPr="00E66F36">
        <w:rPr>
          <w:rFonts w:eastAsia="Calibri"/>
          <w:szCs w:val="28"/>
        </w:rPr>
        <w:t xml:space="preserve">n the </w:t>
      </w:r>
      <w:r>
        <w:rPr>
          <w:rFonts w:eastAsia="Calibri"/>
          <w:szCs w:val="28"/>
        </w:rPr>
        <w:t>subject matters</w:t>
      </w:r>
      <w:r w:rsidRPr="00E66F36">
        <w:rPr>
          <w:rFonts w:eastAsia="Calibri"/>
          <w:szCs w:val="28"/>
        </w:rPr>
        <w:t xml:space="preserve"> </w:t>
      </w:r>
      <w:r>
        <w:t>that deserve particular attention.</w:t>
      </w:r>
    </w:p>
    <w:p w:rsidR="00B30027" w:rsidRPr="00AE7137" w:rsidRDefault="00AE7137" w:rsidP="00AE7137">
      <w:pPr>
        <w:spacing w:before="240"/>
        <w:ind w:left="1134" w:right="1134"/>
        <w:jc w:val="center"/>
        <w:rPr>
          <w:u w:val="single"/>
        </w:rPr>
      </w:pPr>
      <w:r>
        <w:rPr>
          <w:u w:val="single"/>
        </w:rPr>
        <w:tab/>
      </w:r>
      <w:r>
        <w:rPr>
          <w:u w:val="single"/>
        </w:rPr>
        <w:tab/>
      </w:r>
      <w:r>
        <w:rPr>
          <w:u w:val="single"/>
        </w:rPr>
        <w:tab/>
      </w:r>
    </w:p>
    <w:sectPr w:rsidR="00B30027" w:rsidRPr="00AE7137" w:rsidSect="000604A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1134"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FF6" w:rsidRDefault="00DB2FF6"/>
  </w:endnote>
  <w:endnote w:type="continuationSeparator" w:id="0">
    <w:p w:rsidR="00DB2FF6" w:rsidRDefault="00DB2FF6"/>
  </w:endnote>
  <w:endnote w:type="continuationNotice" w:id="1">
    <w:p w:rsidR="00DB2FF6" w:rsidRDefault="00DB2FF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D2C" w:rsidRPr="00B30027" w:rsidRDefault="00456BFE" w:rsidP="00B30027">
    <w:pPr>
      <w:pStyle w:val="Voettekst"/>
      <w:tabs>
        <w:tab w:val="right" w:pos="9638"/>
      </w:tabs>
      <w:rPr>
        <w:sz w:val="18"/>
      </w:rPr>
    </w:pPr>
    <w:r w:rsidRPr="00B30027">
      <w:rPr>
        <w:b/>
        <w:sz w:val="18"/>
      </w:rPr>
      <w:fldChar w:fldCharType="begin"/>
    </w:r>
    <w:r w:rsidR="00B42D2C" w:rsidRPr="00B30027">
      <w:rPr>
        <w:b/>
        <w:sz w:val="18"/>
      </w:rPr>
      <w:instrText xml:space="preserve"> PAGE  \* MERGEFORMAT </w:instrText>
    </w:r>
    <w:r w:rsidRPr="00B30027">
      <w:rPr>
        <w:b/>
        <w:sz w:val="18"/>
      </w:rPr>
      <w:fldChar w:fldCharType="separate"/>
    </w:r>
    <w:r w:rsidR="003D5D7F">
      <w:rPr>
        <w:b/>
        <w:noProof/>
        <w:sz w:val="18"/>
      </w:rPr>
      <w:t>4</w:t>
    </w:r>
    <w:r w:rsidRPr="00B30027">
      <w:rPr>
        <w:b/>
        <w:sz w:val="18"/>
      </w:rPr>
      <w:fldChar w:fldCharType="end"/>
    </w:r>
    <w:r w:rsidR="00B42D2C">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D2C" w:rsidRPr="00B30027" w:rsidRDefault="00B42D2C" w:rsidP="00B30027">
    <w:pPr>
      <w:pStyle w:val="Voettekst"/>
      <w:tabs>
        <w:tab w:val="right" w:pos="9638"/>
      </w:tabs>
      <w:rPr>
        <w:sz w:val="20"/>
      </w:rPr>
    </w:pPr>
    <w:r>
      <w:rPr>
        <w:sz w:val="20"/>
      </w:rPr>
      <w:tab/>
    </w:r>
    <w:r w:rsidR="00456BFE" w:rsidRPr="00B30027">
      <w:rPr>
        <w:b/>
        <w:sz w:val="18"/>
      </w:rPr>
      <w:fldChar w:fldCharType="begin"/>
    </w:r>
    <w:r w:rsidRPr="00B30027">
      <w:rPr>
        <w:b/>
        <w:sz w:val="18"/>
      </w:rPr>
      <w:instrText xml:space="preserve"> PAGE  \* MERGEFORMAT </w:instrText>
    </w:r>
    <w:r w:rsidR="00456BFE" w:rsidRPr="00B30027">
      <w:rPr>
        <w:b/>
        <w:sz w:val="18"/>
      </w:rPr>
      <w:fldChar w:fldCharType="separate"/>
    </w:r>
    <w:r w:rsidR="003D5D7F">
      <w:rPr>
        <w:b/>
        <w:noProof/>
        <w:sz w:val="18"/>
      </w:rPr>
      <w:t>5</w:t>
    </w:r>
    <w:r w:rsidR="00456BFE" w:rsidRPr="00B3002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06" w:rsidRDefault="003A2906" w:rsidP="003A2906">
    <w:pPr>
      <w:pStyle w:val="Voettekst"/>
    </w:pPr>
  </w:p>
  <w:p w:rsidR="003A2906" w:rsidRDefault="005A7915" w:rsidP="003A2906">
    <w:pPr>
      <w:pStyle w:val="Voettekst"/>
      <w:ind w:right="1134"/>
      <w:rPr>
        <w:sz w:val="20"/>
      </w:rPr>
    </w:pPr>
    <w:r>
      <w:rPr>
        <w:rFonts w:ascii="C39T30Lfz" w:hAnsi="C39T30Lfz"/>
        <w:noProof/>
        <w:sz w:val="56"/>
        <w:lang w:val="nl-NL" w:eastAsia="nl-NL"/>
      </w:rPr>
      <w:drawing>
        <wp:anchor distT="0" distB="0" distL="114300" distR="114300" simplePos="0" relativeHeight="251660288" behindDoc="0" locked="0" layoutInCell="1" allowOverlap="1">
          <wp:simplePos x="0" y="0"/>
          <wp:positionH relativeFrom="margin">
            <wp:posOffset>5457190</wp:posOffset>
          </wp:positionH>
          <wp:positionV relativeFrom="margin">
            <wp:posOffset>8028940</wp:posOffset>
          </wp:positionV>
          <wp:extent cx="643890" cy="643890"/>
          <wp:effectExtent l="0" t="0" r="3810" b="3810"/>
          <wp:wrapNone/>
          <wp:docPr id="2" name="Picture 1" descr="http://undocs.org/m2/QRCode.ashx?DS=ECE/MP.PP/WG.1/2017/L.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7/L.2&amp;Size=2 &amp;Lang=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890" cy="643890"/>
                  </a:xfrm>
                  <a:prstGeom prst="rect">
                    <a:avLst/>
                  </a:prstGeom>
                  <a:noFill/>
                  <a:ln>
                    <a:noFill/>
                  </a:ln>
                </pic:spPr>
              </pic:pic>
            </a:graphicData>
          </a:graphic>
        </wp:anchor>
      </w:drawing>
    </w:r>
    <w:r w:rsidR="003A2906">
      <w:rPr>
        <w:sz w:val="20"/>
      </w:rPr>
      <w:t>GE.17-00487(E)</w:t>
    </w:r>
    <w:bookmarkStart w:id="5" w:name="_GoBack"/>
    <w:bookmarkEnd w:id="5"/>
  </w:p>
  <w:p w:rsidR="003A2906" w:rsidRPr="003A2906" w:rsidRDefault="005A7915" w:rsidP="003A2906">
    <w:pPr>
      <w:pStyle w:val="Voettekst"/>
      <w:ind w:right="1134"/>
      <w:rPr>
        <w:rFonts w:ascii="C39T30Lfz" w:hAnsi="C39T30Lfz"/>
        <w:sz w:val="56"/>
      </w:rPr>
    </w:pPr>
    <w:r w:rsidRPr="00DA43F5">
      <w:rPr>
        <w:rFonts w:ascii="C39T30Lfz" w:hAnsi="C39T30Lfz"/>
        <w:noProof/>
        <w:sz w:val="56"/>
        <w:u w:val="single"/>
        <w:lang w:val="nl-NL" w:eastAsia="nl-NL"/>
      </w:rPr>
      <w:drawing>
        <wp:anchor distT="0" distB="0" distL="114300" distR="114300" simplePos="0" relativeHeight="251659264" behindDoc="0" locked="0" layoutInCell="1" allowOverlap="1">
          <wp:simplePos x="0" y="0"/>
          <wp:positionH relativeFrom="margin">
            <wp:posOffset>4340860</wp:posOffset>
          </wp:positionH>
          <wp:positionV relativeFrom="margin">
            <wp:posOffset>8375015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4725" cy="267335"/>
                  </a:xfrm>
                  <a:prstGeom prst="rect">
                    <a:avLst/>
                  </a:prstGeom>
                </pic:spPr>
              </pic:pic>
            </a:graphicData>
          </a:graphic>
        </wp:anchor>
      </w:drawing>
    </w:r>
    <w:r w:rsidR="003A2906">
      <w:rPr>
        <w:rFonts w:ascii="C39T30Lfz" w:hAnsi="C39T30Lfz"/>
        <w:sz w:val="56"/>
      </w:rPr>
      <w:t></w:t>
    </w:r>
    <w:r w:rsidR="003A2906">
      <w:rPr>
        <w:rFonts w:ascii="C39T30Lfz" w:hAnsi="C39T30Lfz"/>
        <w:sz w:val="56"/>
      </w:rPr>
      <w:t></w:t>
    </w:r>
    <w:r w:rsidR="003A2906">
      <w:rPr>
        <w:rFonts w:ascii="C39T30Lfz" w:hAnsi="C39T30Lfz"/>
        <w:sz w:val="56"/>
      </w:rPr>
      <w:t></w:t>
    </w:r>
    <w:r w:rsidR="003A2906">
      <w:rPr>
        <w:rFonts w:ascii="C39T30Lfz" w:hAnsi="C39T30Lfz"/>
        <w:sz w:val="56"/>
      </w:rPr>
      <w:t></w:t>
    </w:r>
    <w:r w:rsidR="003A2906">
      <w:rPr>
        <w:rFonts w:ascii="C39T30Lfz" w:hAnsi="C39T30Lfz"/>
        <w:sz w:val="56"/>
      </w:rPr>
      <w:t></w:t>
    </w:r>
    <w:r w:rsidR="003A2906">
      <w:rPr>
        <w:rFonts w:ascii="C39T30Lfz" w:hAnsi="C39T30Lfz"/>
        <w:sz w:val="56"/>
      </w:rPr>
      <w:t></w:t>
    </w:r>
    <w:r w:rsidR="003A2906">
      <w:rPr>
        <w:rFonts w:ascii="C39T30Lfz" w:hAnsi="C39T30Lfz"/>
        <w:sz w:val="56"/>
      </w:rPr>
      <w:t></w:t>
    </w:r>
    <w:r w:rsidR="003A2906">
      <w:rPr>
        <w:rFonts w:ascii="C39T30Lfz" w:hAnsi="C39T30Lfz"/>
        <w:sz w:val="56"/>
      </w:rPr>
      <w:t></w:t>
    </w:r>
    <w:r w:rsidR="003A2906">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FF6" w:rsidRPr="000B175B" w:rsidRDefault="00DB2FF6" w:rsidP="000B175B">
      <w:pPr>
        <w:tabs>
          <w:tab w:val="right" w:pos="2155"/>
        </w:tabs>
        <w:spacing w:after="80"/>
        <w:ind w:left="680"/>
        <w:rPr>
          <w:u w:val="single"/>
        </w:rPr>
      </w:pPr>
      <w:r>
        <w:rPr>
          <w:u w:val="single"/>
        </w:rPr>
        <w:tab/>
      </w:r>
    </w:p>
  </w:footnote>
  <w:footnote w:type="continuationSeparator" w:id="0">
    <w:p w:rsidR="00DB2FF6" w:rsidRPr="00FC68B7" w:rsidRDefault="00DB2FF6" w:rsidP="00FC68B7">
      <w:pPr>
        <w:tabs>
          <w:tab w:val="left" w:pos="2155"/>
        </w:tabs>
        <w:spacing w:after="80"/>
        <w:ind w:left="680"/>
        <w:rPr>
          <w:u w:val="single"/>
        </w:rPr>
      </w:pPr>
      <w:r>
        <w:rPr>
          <w:u w:val="single"/>
        </w:rPr>
        <w:tab/>
      </w:r>
    </w:p>
  </w:footnote>
  <w:footnote w:type="continuationNotice" w:id="1">
    <w:p w:rsidR="00DB2FF6" w:rsidRDefault="00DB2FF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D2C" w:rsidRPr="00B30027" w:rsidRDefault="00407C71">
    <w:pPr>
      <w:pStyle w:val="Koptekst"/>
    </w:pPr>
    <w:r>
      <w:t>ECE/MP.PP/WG.1/2017</w:t>
    </w:r>
    <w:r w:rsidR="000604A7">
      <w:t>/L.2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D2C" w:rsidRPr="00B30027" w:rsidRDefault="00407C71" w:rsidP="00B30027">
    <w:pPr>
      <w:pStyle w:val="Koptekst"/>
      <w:jc w:val="right"/>
    </w:pPr>
    <w:r>
      <w:t>ECE/MP.PP/WG.1/2017</w:t>
    </w:r>
    <w:r w:rsidR="000604A7">
      <w:t>/L.2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15" w:rsidRDefault="005A791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B7AE49A"/>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122A4B5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A541A7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4"/>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attachedTemplate r:id="rId1"/>
  <w:stylePaneFormatFilter w:val="3001"/>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rsids>
    <w:rsidRoot w:val="00B30027"/>
    <w:rsid w:val="00007965"/>
    <w:rsid w:val="000463DC"/>
    <w:rsid w:val="00046B1F"/>
    <w:rsid w:val="00050F6B"/>
    <w:rsid w:val="00053257"/>
    <w:rsid w:val="00057E97"/>
    <w:rsid w:val="000604A7"/>
    <w:rsid w:val="00060B79"/>
    <w:rsid w:val="00072C8C"/>
    <w:rsid w:val="000733B5"/>
    <w:rsid w:val="00081815"/>
    <w:rsid w:val="000931C0"/>
    <w:rsid w:val="000B0595"/>
    <w:rsid w:val="000B175B"/>
    <w:rsid w:val="000B3A0F"/>
    <w:rsid w:val="000B4EF7"/>
    <w:rsid w:val="000C2C03"/>
    <w:rsid w:val="000C2D2E"/>
    <w:rsid w:val="000E0415"/>
    <w:rsid w:val="000E406D"/>
    <w:rsid w:val="000F7BFF"/>
    <w:rsid w:val="001103AA"/>
    <w:rsid w:val="0011666B"/>
    <w:rsid w:val="0012704F"/>
    <w:rsid w:val="00154FD9"/>
    <w:rsid w:val="00160447"/>
    <w:rsid w:val="0016155E"/>
    <w:rsid w:val="00165F3A"/>
    <w:rsid w:val="00180A00"/>
    <w:rsid w:val="001969F4"/>
    <w:rsid w:val="001A3336"/>
    <w:rsid w:val="001B4B04"/>
    <w:rsid w:val="001C6663"/>
    <w:rsid w:val="001C7895"/>
    <w:rsid w:val="001D0C8C"/>
    <w:rsid w:val="001D133B"/>
    <w:rsid w:val="001D1419"/>
    <w:rsid w:val="001D26DF"/>
    <w:rsid w:val="001D3A03"/>
    <w:rsid w:val="001E7B67"/>
    <w:rsid w:val="00202DA8"/>
    <w:rsid w:val="00205814"/>
    <w:rsid w:val="00211E0B"/>
    <w:rsid w:val="00230C33"/>
    <w:rsid w:val="00237A85"/>
    <w:rsid w:val="00240E32"/>
    <w:rsid w:val="0024772E"/>
    <w:rsid w:val="00267F5F"/>
    <w:rsid w:val="00286B4D"/>
    <w:rsid w:val="002C22D3"/>
    <w:rsid w:val="002D4643"/>
    <w:rsid w:val="002F175C"/>
    <w:rsid w:val="002F2B7D"/>
    <w:rsid w:val="00302E18"/>
    <w:rsid w:val="003229D8"/>
    <w:rsid w:val="00325043"/>
    <w:rsid w:val="003469D9"/>
    <w:rsid w:val="00352709"/>
    <w:rsid w:val="0036190C"/>
    <w:rsid w:val="003619B5"/>
    <w:rsid w:val="00365763"/>
    <w:rsid w:val="00371178"/>
    <w:rsid w:val="00382732"/>
    <w:rsid w:val="00392E47"/>
    <w:rsid w:val="00394456"/>
    <w:rsid w:val="003A2906"/>
    <w:rsid w:val="003A3192"/>
    <w:rsid w:val="003A6810"/>
    <w:rsid w:val="003B4680"/>
    <w:rsid w:val="003B6A37"/>
    <w:rsid w:val="003C2CC4"/>
    <w:rsid w:val="003D4B23"/>
    <w:rsid w:val="003D5D7F"/>
    <w:rsid w:val="00407C71"/>
    <w:rsid w:val="00410C89"/>
    <w:rsid w:val="00422E03"/>
    <w:rsid w:val="00426B9B"/>
    <w:rsid w:val="004325CB"/>
    <w:rsid w:val="00436788"/>
    <w:rsid w:val="00442A83"/>
    <w:rsid w:val="004519F1"/>
    <w:rsid w:val="0045495B"/>
    <w:rsid w:val="00456BFE"/>
    <w:rsid w:val="00466275"/>
    <w:rsid w:val="0048397A"/>
    <w:rsid w:val="0048432B"/>
    <w:rsid w:val="00485CBB"/>
    <w:rsid w:val="004866B7"/>
    <w:rsid w:val="00497867"/>
    <w:rsid w:val="004C2461"/>
    <w:rsid w:val="004C7462"/>
    <w:rsid w:val="004D382D"/>
    <w:rsid w:val="004E77B2"/>
    <w:rsid w:val="00500EDB"/>
    <w:rsid w:val="00504B2D"/>
    <w:rsid w:val="0052136D"/>
    <w:rsid w:val="0052775E"/>
    <w:rsid w:val="00541C26"/>
    <w:rsid w:val="005420F2"/>
    <w:rsid w:val="005628B6"/>
    <w:rsid w:val="00593076"/>
    <w:rsid w:val="0059724D"/>
    <w:rsid w:val="005A7915"/>
    <w:rsid w:val="005B3DB3"/>
    <w:rsid w:val="005B4E13"/>
    <w:rsid w:val="005C342F"/>
    <w:rsid w:val="005D2609"/>
    <w:rsid w:val="005D6CBA"/>
    <w:rsid w:val="005F7B75"/>
    <w:rsid w:val="006001EE"/>
    <w:rsid w:val="00605042"/>
    <w:rsid w:val="00611FC4"/>
    <w:rsid w:val="00613726"/>
    <w:rsid w:val="006176FB"/>
    <w:rsid w:val="00640B26"/>
    <w:rsid w:val="0064559F"/>
    <w:rsid w:val="00652D0A"/>
    <w:rsid w:val="00657081"/>
    <w:rsid w:val="00662BB6"/>
    <w:rsid w:val="006639A4"/>
    <w:rsid w:val="006661F3"/>
    <w:rsid w:val="00673AB1"/>
    <w:rsid w:val="00676606"/>
    <w:rsid w:val="00684C21"/>
    <w:rsid w:val="006A2530"/>
    <w:rsid w:val="006C3589"/>
    <w:rsid w:val="006D37AF"/>
    <w:rsid w:val="006D4A0F"/>
    <w:rsid w:val="006D51D0"/>
    <w:rsid w:val="006D5FB9"/>
    <w:rsid w:val="006E564B"/>
    <w:rsid w:val="006E7191"/>
    <w:rsid w:val="00703577"/>
    <w:rsid w:val="00705894"/>
    <w:rsid w:val="007178BE"/>
    <w:rsid w:val="0072632A"/>
    <w:rsid w:val="007327D5"/>
    <w:rsid w:val="00746A42"/>
    <w:rsid w:val="00753308"/>
    <w:rsid w:val="007629C8"/>
    <w:rsid w:val="00770234"/>
    <w:rsid w:val="0077047D"/>
    <w:rsid w:val="00796BB4"/>
    <w:rsid w:val="007B48F7"/>
    <w:rsid w:val="007B6BA5"/>
    <w:rsid w:val="007B7908"/>
    <w:rsid w:val="007C3390"/>
    <w:rsid w:val="007C4F4B"/>
    <w:rsid w:val="007D6A75"/>
    <w:rsid w:val="007E01E9"/>
    <w:rsid w:val="007E63F3"/>
    <w:rsid w:val="007F6611"/>
    <w:rsid w:val="00811920"/>
    <w:rsid w:val="00815AD0"/>
    <w:rsid w:val="008242D7"/>
    <w:rsid w:val="008257B1"/>
    <w:rsid w:val="00832334"/>
    <w:rsid w:val="00835DBD"/>
    <w:rsid w:val="00843767"/>
    <w:rsid w:val="008679D9"/>
    <w:rsid w:val="0087321B"/>
    <w:rsid w:val="008878DE"/>
    <w:rsid w:val="0089029F"/>
    <w:rsid w:val="00890BE9"/>
    <w:rsid w:val="00894B98"/>
    <w:rsid w:val="00897278"/>
    <w:rsid w:val="008979B1"/>
    <w:rsid w:val="008A2A1B"/>
    <w:rsid w:val="008A6B25"/>
    <w:rsid w:val="008A6C4F"/>
    <w:rsid w:val="008B18AE"/>
    <w:rsid w:val="008B2335"/>
    <w:rsid w:val="008B657E"/>
    <w:rsid w:val="008E0678"/>
    <w:rsid w:val="008E38D5"/>
    <w:rsid w:val="009223CA"/>
    <w:rsid w:val="00940F93"/>
    <w:rsid w:val="0095204E"/>
    <w:rsid w:val="009656D1"/>
    <w:rsid w:val="009760F3"/>
    <w:rsid w:val="00976CFB"/>
    <w:rsid w:val="009A0830"/>
    <w:rsid w:val="009A0E8D"/>
    <w:rsid w:val="009B26E7"/>
    <w:rsid w:val="009B60F3"/>
    <w:rsid w:val="009E6B10"/>
    <w:rsid w:val="009F106D"/>
    <w:rsid w:val="00A00697"/>
    <w:rsid w:val="00A00A3F"/>
    <w:rsid w:val="00A01489"/>
    <w:rsid w:val="00A05EF5"/>
    <w:rsid w:val="00A3026E"/>
    <w:rsid w:val="00A338F1"/>
    <w:rsid w:val="00A35BE0"/>
    <w:rsid w:val="00A72F22"/>
    <w:rsid w:val="00A7360F"/>
    <w:rsid w:val="00A748A6"/>
    <w:rsid w:val="00A769F4"/>
    <w:rsid w:val="00A776B4"/>
    <w:rsid w:val="00A87DBB"/>
    <w:rsid w:val="00A94361"/>
    <w:rsid w:val="00AA1CA9"/>
    <w:rsid w:val="00AA293C"/>
    <w:rsid w:val="00AD2E25"/>
    <w:rsid w:val="00AE7137"/>
    <w:rsid w:val="00B30027"/>
    <w:rsid w:val="00B30179"/>
    <w:rsid w:val="00B421C1"/>
    <w:rsid w:val="00B42D2C"/>
    <w:rsid w:val="00B55C71"/>
    <w:rsid w:val="00B56E4A"/>
    <w:rsid w:val="00B56E9C"/>
    <w:rsid w:val="00B64B1F"/>
    <w:rsid w:val="00B6553F"/>
    <w:rsid w:val="00B77D05"/>
    <w:rsid w:val="00B81206"/>
    <w:rsid w:val="00B81E12"/>
    <w:rsid w:val="00B84537"/>
    <w:rsid w:val="00BA027A"/>
    <w:rsid w:val="00BA0E7C"/>
    <w:rsid w:val="00BA5F1A"/>
    <w:rsid w:val="00BC3FA0"/>
    <w:rsid w:val="00BC74E9"/>
    <w:rsid w:val="00BD126D"/>
    <w:rsid w:val="00BD381A"/>
    <w:rsid w:val="00BD43DB"/>
    <w:rsid w:val="00BF68A8"/>
    <w:rsid w:val="00C11A03"/>
    <w:rsid w:val="00C1371A"/>
    <w:rsid w:val="00C22C0C"/>
    <w:rsid w:val="00C25918"/>
    <w:rsid w:val="00C35F1F"/>
    <w:rsid w:val="00C4527F"/>
    <w:rsid w:val="00C463DD"/>
    <w:rsid w:val="00C4724C"/>
    <w:rsid w:val="00C629A0"/>
    <w:rsid w:val="00C641BE"/>
    <w:rsid w:val="00C64629"/>
    <w:rsid w:val="00C71192"/>
    <w:rsid w:val="00C745C3"/>
    <w:rsid w:val="00C96DF2"/>
    <w:rsid w:val="00CA360C"/>
    <w:rsid w:val="00CB048E"/>
    <w:rsid w:val="00CB3E03"/>
    <w:rsid w:val="00CC5A26"/>
    <w:rsid w:val="00CE4A8F"/>
    <w:rsid w:val="00D02901"/>
    <w:rsid w:val="00D2031B"/>
    <w:rsid w:val="00D25FE2"/>
    <w:rsid w:val="00D43252"/>
    <w:rsid w:val="00D44F86"/>
    <w:rsid w:val="00D47EEA"/>
    <w:rsid w:val="00D543AC"/>
    <w:rsid w:val="00D773DF"/>
    <w:rsid w:val="00D95303"/>
    <w:rsid w:val="00D978C6"/>
    <w:rsid w:val="00DA3C1C"/>
    <w:rsid w:val="00DA613A"/>
    <w:rsid w:val="00DB268B"/>
    <w:rsid w:val="00DB2FF6"/>
    <w:rsid w:val="00DC5061"/>
    <w:rsid w:val="00DD0DC6"/>
    <w:rsid w:val="00DD38B6"/>
    <w:rsid w:val="00DF3729"/>
    <w:rsid w:val="00E046DF"/>
    <w:rsid w:val="00E27346"/>
    <w:rsid w:val="00E368C7"/>
    <w:rsid w:val="00E71BC8"/>
    <w:rsid w:val="00E7260F"/>
    <w:rsid w:val="00E73F5D"/>
    <w:rsid w:val="00E77E4E"/>
    <w:rsid w:val="00E96630"/>
    <w:rsid w:val="00ED053E"/>
    <w:rsid w:val="00ED7A2A"/>
    <w:rsid w:val="00EF1D7F"/>
    <w:rsid w:val="00F0092E"/>
    <w:rsid w:val="00F20666"/>
    <w:rsid w:val="00F31E5F"/>
    <w:rsid w:val="00F6100A"/>
    <w:rsid w:val="00F75B14"/>
    <w:rsid w:val="00F93781"/>
    <w:rsid w:val="00F9569D"/>
    <w:rsid w:val="00FB613B"/>
    <w:rsid w:val="00FC141E"/>
    <w:rsid w:val="00FC68B7"/>
    <w:rsid w:val="00FD3F98"/>
    <w:rsid w:val="00FE106A"/>
    <w:rsid w:val="00FF145D"/>
    <w:rsid w:val="00FF7D0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C5061"/>
    <w:pPr>
      <w:suppressAutoHyphens/>
      <w:spacing w:line="240" w:lineRule="atLeast"/>
    </w:pPr>
    <w:rPr>
      <w:lang w:val="en-GB" w:eastAsia="en-US"/>
    </w:rPr>
  </w:style>
  <w:style w:type="paragraph" w:styleId="Kop1">
    <w:name w:val="heading 1"/>
    <w:aliases w:val="Table_G"/>
    <w:basedOn w:val="SingleTxtG"/>
    <w:next w:val="SingleTxtG"/>
    <w:qFormat/>
    <w:rsid w:val="00DC5061"/>
    <w:pPr>
      <w:spacing w:after="0" w:line="240" w:lineRule="auto"/>
      <w:ind w:right="0"/>
      <w:jc w:val="left"/>
      <w:outlineLvl w:val="0"/>
    </w:pPr>
  </w:style>
  <w:style w:type="paragraph" w:styleId="Kop2">
    <w:name w:val="heading 2"/>
    <w:basedOn w:val="Standaard"/>
    <w:next w:val="Standaard"/>
    <w:qFormat/>
    <w:rsid w:val="00DC5061"/>
    <w:pPr>
      <w:spacing w:line="240" w:lineRule="auto"/>
      <w:outlineLvl w:val="1"/>
    </w:pPr>
  </w:style>
  <w:style w:type="paragraph" w:styleId="Kop3">
    <w:name w:val="heading 3"/>
    <w:basedOn w:val="Standaard"/>
    <w:next w:val="Standaard"/>
    <w:qFormat/>
    <w:rsid w:val="00DC5061"/>
    <w:pPr>
      <w:spacing w:line="240" w:lineRule="auto"/>
      <w:outlineLvl w:val="2"/>
    </w:pPr>
  </w:style>
  <w:style w:type="paragraph" w:styleId="Kop4">
    <w:name w:val="heading 4"/>
    <w:basedOn w:val="Standaard"/>
    <w:next w:val="Standaard"/>
    <w:qFormat/>
    <w:rsid w:val="00DC5061"/>
    <w:pPr>
      <w:spacing w:line="240" w:lineRule="auto"/>
      <w:outlineLvl w:val="3"/>
    </w:pPr>
  </w:style>
  <w:style w:type="paragraph" w:styleId="Kop5">
    <w:name w:val="heading 5"/>
    <w:basedOn w:val="Standaard"/>
    <w:next w:val="Standaard"/>
    <w:qFormat/>
    <w:rsid w:val="00DC5061"/>
    <w:pPr>
      <w:spacing w:line="240" w:lineRule="auto"/>
      <w:outlineLvl w:val="4"/>
    </w:pPr>
  </w:style>
  <w:style w:type="paragraph" w:styleId="Kop6">
    <w:name w:val="heading 6"/>
    <w:basedOn w:val="Standaard"/>
    <w:next w:val="Standaard"/>
    <w:qFormat/>
    <w:rsid w:val="00DC5061"/>
    <w:pPr>
      <w:spacing w:line="240" w:lineRule="auto"/>
      <w:outlineLvl w:val="5"/>
    </w:pPr>
  </w:style>
  <w:style w:type="paragraph" w:styleId="Kop7">
    <w:name w:val="heading 7"/>
    <w:basedOn w:val="Standaard"/>
    <w:next w:val="Standaard"/>
    <w:qFormat/>
    <w:rsid w:val="00DC5061"/>
    <w:pPr>
      <w:spacing w:line="240" w:lineRule="auto"/>
      <w:outlineLvl w:val="6"/>
    </w:pPr>
  </w:style>
  <w:style w:type="paragraph" w:styleId="Kop8">
    <w:name w:val="heading 8"/>
    <w:basedOn w:val="Standaard"/>
    <w:next w:val="Standaard"/>
    <w:qFormat/>
    <w:rsid w:val="00DC5061"/>
    <w:pPr>
      <w:spacing w:line="240" w:lineRule="auto"/>
      <w:outlineLvl w:val="7"/>
    </w:pPr>
  </w:style>
  <w:style w:type="paragraph" w:styleId="Kop9">
    <w:name w:val="heading 9"/>
    <w:basedOn w:val="Standaard"/>
    <w:next w:val="Standaard"/>
    <w:qFormat/>
    <w:rsid w:val="00DC5061"/>
    <w:pPr>
      <w:spacing w:line="240" w:lineRule="auto"/>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MG">
    <w:name w:val="_ H __M_G"/>
    <w:basedOn w:val="Standaard"/>
    <w:next w:val="Standaard"/>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Standaard"/>
    <w:next w:val="Standaard"/>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Standaard"/>
    <w:link w:val="SingleTxtGChar"/>
    <w:rsid w:val="00DC5061"/>
    <w:pPr>
      <w:spacing w:after="120"/>
      <w:ind w:left="1134" w:right="1134"/>
      <w:jc w:val="both"/>
    </w:pPr>
  </w:style>
  <w:style w:type="character" w:styleId="Paginanummer">
    <w:name w:val="page number"/>
    <w:aliases w:val="7_G"/>
    <w:rsid w:val="00DC5061"/>
    <w:rPr>
      <w:rFonts w:ascii="Times New Roman" w:hAnsi="Times New Roman"/>
      <w:b/>
      <w:sz w:val="18"/>
    </w:rPr>
  </w:style>
  <w:style w:type="paragraph" w:styleId="Tekstzonderopmaak">
    <w:name w:val="Plain Text"/>
    <w:basedOn w:val="Standaard"/>
    <w:semiHidden/>
    <w:rsid w:val="00456BFE"/>
    <w:rPr>
      <w:rFonts w:cs="Courier New"/>
    </w:rPr>
  </w:style>
  <w:style w:type="paragraph" w:styleId="Plattetekst">
    <w:name w:val="Body Text"/>
    <w:basedOn w:val="Standaard"/>
    <w:next w:val="Standaard"/>
    <w:semiHidden/>
    <w:rsid w:val="00456BFE"/>
  </w:style>
  <w:style w:type="paragraph" w:styleId="Plattetekstinspringen">
    <w:name w:val="Body Text Indent"/>
    <w:basedOn w:val="Standaard"/>
    <w:semiHidden/>
    <w:rsid w:val="00456BFE"/>
    <w:pPr>
      <w:spacing w:after="120"/>
      <w:ind w:left="283"/>
    </w:pPr>
  </w:style>
  <w:style w:type="paragraph" w:styleId="Bloktekst">
    <w:name w:val="Block Text"/>
    <w:basedOn w:val="Standaard"/>
    <w:semiHidden/>
    <w:rsid w:val="00456BFE"/>
    <w:pPr>
      <w:ind w:left="1440" w:right="1440"/>
    </w:pPr>
  </w:style>
  <w:style w:type="paragraph" w:customStyle="1" w:styleId="SMG">
    <w:name w:val="__S_M_G"/>
    <w:basedOn w:val="Standaard"/>
    <w:next w:val="Standaard"/>
    <w:rsid w:val="00DC5061"/>
    <w:pPr>
      <w:keepNext/>
      <w:keepLines/>
      <w:spacing w:before="240" w:after="240" w:line="420" w:lineRule="exact"/>
      <w:ind w:left="1134" w:right="1134"/>
    </w:pPr>
    <w:rPr>
      <w:b/>
      <w:sz w:val="40"/>
    </w:rPr>
  </w:style>
  <w:style w:type="paragraph" w:customStyle="1" w:styleId="SLG">
    <w:name w:val="__S_L_G"/>
    <w:basedOn w:val="Standaard"/>
    <w:next w:val="Standaard"/>
    <w:rsid w:val="00DC5061"/>
    <w:pPr>
      <w:keepNext/>
      <w:keepLines/>
      <w:spacing w:before="240" w:after="240" w:line="580" w:lineRule="exact"/>
      <w:ind w:left="1134" w:right="1134"/>
    </w:pPr>
    <w:rPr>
      <w:b/>
      <w:sz w:val="56"/>
    </w:rPr>
  </w:style>
  <w:style w:type="paragraph" w:customStyle="1" w:styleId="SSG">
    <w:name w:val="__S_S_G"/>
    <w:basedOn w:val="Standaard"/>
    <w:next w:val="Standaard"/>
    <w:rsid w:val="00DC5061"/>
    <w:pPr>
      <w:keepNext/>
      <w:keepLines/>
      <w:spacing w:before="240" w:after="240" w:line="300" w:lineRule="exact"/>
      <w:ind w:left="1134" w:right="1134"/>
    </w:pPr>
    <w:rPr>
      <w:b/>
      <w:sz w:val="28"/>
    </w:rPr>
  </w:style>
  <w:style w:type="character" w:styleId="Eindnootmarkering">
    <w:name w:val="endnote reference"/>
    <w:aliases w:val="1_G"/>
    <w:rsid w:val="00DC5061"/>
    <w:rPr>
      <w:rFonts w:ascii="Times New Roman" w:hAnsi="Times New Roman"/>
      <w:sz w:val="18"/>
      <w:vertAlign w:val="superscript"/>
    </w:rPr>
  </w:style>
  <w:style w:type="character" w:styleId="Voetnootmarkering">
    <w:name w:val="footnote reference"/>
    <w:aliases w:val="4_G,Footnote symbol,Footnote reference number,Footnote Reference Superscript,BVI fnr,SUPERS,(Footnote Reference),Footnote,Voetnootverwijzing,Times 10 Point,Exposant 3 Point,note TESI,Odwołanie przypisu,Footnotemark,FR,Ref,E"/>
    <w:rsid w:val="00DC5061"/>
    <w:rPr>
      <w:rFonts w:ascii="Times New Roman" w:hAnsi="Times New Roman"/>
      <w:sz w:val="18"/>
      <w:vertAlign w:val="superscript"/>
    </w:rPr>
  </w:style>
  <w:style w:type="paragraph" w:styleId="Voetnoottekst">
    <w:name w:val="footnote text"/>
    <w:aliases w:val="5_G,fn,footnote text,Footnotes,Footnote ak"/>
    <w:basedOn w:val="Standaard"/>
    <w:link w:val="VoetnoottekstChar"/>
    <w:rsid w:val="00DC5061"/>
    <w:pPr>
      <w:tabs>
        <w:tab w:val="right" w:pos="1021"/>
      </w:tabs>
      <w:spacing w:line="220" w:lineRule="exact"/>
      <w:ind w:left="1134" w:right="1134" w:hanging="1134"/>
    </w:pPr>
    <w:rPr>
      <w:sz w:val="18"/>
    </w:rPr>
  </w:style>
  <w:style w:type="paragraph" w:customStyle="1" w:styleId="XLargeG">
    <w:name w:val="__XLarge_G"/>
    <w:basedOn w:val="Standaard"/>
    <w:next w:val="Standaard"/>
    <w:rsid w:val="00DC5061"/>
    <w:pPr>
      <w:keepNext/>
      <w:keepLines/>
      <w:spacing w:before="240" w:after="240" w:line="420" w:lineRule="exact"/>
      <w:ind w:left="1134" w:right="1134"/>
    </w:pPr>
    <w:rPr>
      <w:b/>
      <w:sz w:val="40"/>
    </w:rPr>
  </w:style>
  <w:style w:type="paragraph" w:customStyle="1" w:styleId="Bullet1G">
    <w:name w:val="_Bullet 1_G"/>
    <w:basedOn w:val="Standaard"/>
    <w:rsid w:val="00DC5061"/>
    <w:pPr>
      <w:numPr>
        <w:numId w:val="14"/>
      </w:numPr>
      <w:spacing w:after="120"/>
      <w:ind w:right="1134"/>
      <w:jc w:val="both"/>
    </w:pPr>
  </w:style>
  <w:style w:type="paragraph" w:styleId="Eindnoottekst">
    <w:name w:val="endnote text"/>
    <w:aliases w:val="2_G"/>
    <w:basedOn w:val="Voetnoottekst"/>
    <w:rsid w:val="00DC5061"/>
  </w:style>
  <w:style w:type="character" w:styleId="Verwijzingopmerking">
    <w:name w:val="annotation reference"/>
    <w:semiHidden/>
    <w:rsid w:val="00456BFE"/>
    <w:rPr>
      <w:sz w:val="6"/>
    </w:rPr>
  </w:style>
  <w:style w:type="paragraph" w:styleId="Tekstopmerking">
    <w:name w:val="annotation text"/>
    <w:basedOn w:val="Standaard"/>
    <w:link w:val="TekstopmerkingChar"/>
    <w:semiHidden/>
    <w:rsid w:val="00456BFE"/>
  </w:style>
  <w:style w:type="character" w:styleId="Regelnummer">
    <w:name w:val="line number"/>
    <w:semiHidden/>
    <w:rsid w:val="00456BFE"/>
    <w:rPr>
      <w:sz w:val="14"/>
    </w:rPr>
  </w:style>
  <w:style w:type="paragraph" w:customStyle="1" w:styleId="Bullet2G">
    <w:name w:val="_Bullet 2_G"/>
    <w:basedOn w:val="Standaard"/>
    <w:rsid w:val="00DC5061"/>
    <w:pPr>
      <w:numPr>
        <w:numId w:val="15"/>
      </w:numPr>
      <w:spacing w:after="120"/>
      <w:ind w:right="1134"/>
      <w:jc w:val="both"/>
    </w:pPr>
  </w:style>
  <w:style w:type="paragraph" w:customStyle="1" w:styleId="H1G">
    <w:name w:val="_ H_1_G"/>
    <w:basedOn w:val="Standaard"/>
    <w:next w:val="Standaard"/>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Standaard"/>
    <w:next w:val="Standaard"/>
    <w:rsid w:val="00DC5061"/>
    <w:pPr>
      <w:keepNext/>
      <w:keepLines/>
      <w:tabs>
        <w:tab w:val="right" w:pos="851"/>
      </w:tabs>
      <w:spacing w:before="240" w:after="120" w:line="240" w:lineRule="exact"/>
      <w:ind w:left="1134" w:right="1134" w:hanging="1134"/>
    </w:pPr>
    <w:rPr>
      <w:b/>
    </w:rPr>
  </w:style>
  <w:style w:type="paragraph" w:customStyle="1" w:styleId="H4G">
    <w:name w:val="_ H_4_G"/>
    <w:basedOn w:val="Standaard"/>
    <w:next w:val="Standaard"/>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Standaard"/>
    <w:next w:val="Standaard"/>
    <w:rsid w:val="00DC5061"/>
    <w:pPr>
      <w:keepNext/>
      <w:keepLines/>
      <w:tabs>
        <w:tab w:val="right" w:pos="851"/>
      </w:tabs>
      <w:spacing w:before="240" w:after="120" w:line="240" w:lineRule="exact"/>
      <w:ind w:left="1134" w:right="1134" w:hanging="1134"/>
    </w:pPr>
  </w:style>
  <w:style w:type="numbering" w:styleId="111111">
    <w:name w:val="Outline List 2"/>
    <w:basedOn w:val="Geenlijst"/>
    <w:semiHidden/>
    <w:rsid w:val="008A6C4F"/>
    <w:pPr>
      <w:numPr>
        <w:numId w:val="11"/>
      </w:numPr>
    </w:pPr>
  </w:style>
  <w:style w:type="numbering" w:styleId="1ai">
    <w:name w:val="Outline List 1"/>
    <w:basedOn w:val="Geenlijst"/>
    <w:semiHidden/>
    <w:rsid w:val="008A6C4F"/>
    <w:pPr>
      <w:numPr>
        <w:numId w:val="12"/>
      </w:numPr>
    </w:pPr>
  </w:style>
  <w:style w:type="numbering" w:styleId="Artikelsectie">
    <w:name w:val="Outline List 3"/>
    <w:basedOn w:val="Geenlijst"/>
    <w:semiHidden/>
    <w:rsid w:val="008A6C4F"/>
    <w:pPr>
      <w:numPr>
        <w:numId w:val="13"/>
      </w:numPr>
    </w:pPr>
  </w:style>
  <w:style w:type="paragraph" w:styleId="Plattetekst2">
    <w:name w:val="Body Text 2"/>
    <w:basedOn w:val="Standaard"/>
    <w:semiHidden/>
    <w:rsid w:val="008A6C4F"/>
    <w:pPr>
      <w:spacing w:after="120" w:line="480" w:lineRule="auto"/>
    </w:pPr>
  </w:style>
  <w:style w:type="paragraph" w:styleId="Plattetekst3">
    <w:name w:val="Body Text 3"/>
    <w:basedOn w:val="Standaard"/>
    <w:semiHidden/>
    <w:rsid w:val="008A6C4F"/>
    <w:pPr>
      <w:spacing w:after="120"/>
    </w:pPr>
    <w:rPr>
      <w:sz w:val="16"/>
      <w:szCs w:val="16"/>
    </w:rPr>
  </w:style>
  <w:style w:type="paragraph" w:styleId="Platteteksteersteinspringing">
    <w:name w:val="Body Text First Indent"/>
    <w:basedOn w:val="Plattetekst"/>
    <w:semiHidden/>
    <w:rsid w:val="008A6C4F"/>
    <w:pPr>
      <w:spacing w:after="120"/>
      <w:ind w:firstLine="210"/>
    </w:pPr>
  </w:style>
  <w:style w:type="paragraph" w:styleId="Platteteksteersteinspringing2">
    <w:name w:val="Body Text First Indent 2"/>
    <w:basedOn w:val="Plattetekstinspringen"/>
    <w:semiHidden/>
    <w:rsid w:val="008A6C4F"/>
    <w:pPr>
      <w:ind w:firstLine="210"/>
    </w:pPr>
  </w:style>
  <w:style w:type="paragraph" w:styleId="Plattetekstinspringen2">
    <w:name w:val="Body Text Indent 2"/>
    <w:basedOn w:val="Standaard"/>
    <w:semiHidden/>
    <w:rsid w:val="008A6C4F"/>
    <w:pPr>
      <w:spacing w:after="120" w:line="480" w:lineRule="auto"/>
      <w:ind w:left="283"/>
    </w:pPr>
  </w:style>
  <w:style w:type="paragraph" w:styleId="Plattetekstinspringen3">
    <w:name w:val="Body Text Indent 3"/>
    <w:basedOn w:val="Standaard"/>
    <w:semiHidden/>
    <w:rsid w:val="008A6C4F"/>
    <w:pPr>
      <w:spacing w:after="120"/>
      <w:ind w:left="283"/>
    </w:pPr>
    <w:rPr>
      <w:sz w:val="16"/>
      <w:szCs w:val="16"/>
    </w:rPr>
  </w:style>
  <w:style w:type="paragraph" w:styleId="Afsluiting">
    <w:name w:val="Closing"/>
    <w:basedOn w:val="Standaard"/>
    <w:semiHidden/>
    <w:rsid w:val="008A6C4F"/>
    <w:pPr>
      <w:ind w:left="4252"/>
    </w:pPr>
  </w:style>
  <w:style w:type="paragraph" w:styleId="Datum">
    <w:name w:val="Date"/>
    <w:basedOn w:val="Standaard"/>
    <w:next w:val="Standaard"/>
    <w:semiHidden/>
    <w:rsid w:val="008A6C4F"/>
  </w:style>
  <w:style w:type="paragraph" w:styleId="E-mailhandtekening">
    <w:name w:val="E-mail Signature"/>
    <w:basedOn w:val="Standaard"/>
    <w:semiHidden/>
    <w:rsid w:val="008A6C4F"/>
  </w:style>
  <w:style w:type="character" w:styleId="Nadruk">
    <w:name w:val="Emphasis"/>
    <w:qFormat/>
    <w:rsid w:val="008A6C4F"/>
    <w:rPr>
      <w:i/>
      <w:iCs/>
    </w:rPr>
  </w:style>
  <w:style w:type="paragraph" w:styleId="Afzender">
    <w:name w:val="envelope return"/>
    <w:basedOn w:val="Standaard"/>
    <w:semiHidden/>
    <w:rsid w:val="008A6C4F"/>
    <w:rPr>
      <w:rFonts w:ascii="Arial" w:hAnsi="Arial" w:cs="Arial"/>
    </w:rPr>
  </w:style>
  <w:style w:type="character" w:styleId="GevolgdeHyperlink">
    <w:name w:val="FollowedHyperlink"/>
    <w:semiHidden/>
    <w:rsid w:val="00DC5061"/>
    <w:rPr>
      <w:color w:val="auto"/>
      <w:u w:val="none"/>
    </w:rPr>
  </w:style>
  <w:style w:type="character" w:styleId="HTML-acroniem">
    <w:name w:val="HTML Acronym"/>
    <w:basedOn w:val="Standaardalinea-lettertype"/>
    <w:semiHidden/>
    <w:rsid w:val="008A6C4F"/>
  </w:style>
  <w:style w:type="paragraph" w:styleId="HTML-adres">
    <w:name w:val="HTML Address"/>
    <w:basedOn w:val="Standaard"/>
    <w:semiHidden/>
    <w:rsid w:val="008A6C4F"/>
    <w:rPr>
      <w:i/>
      <w:iCs/>
    </w:rPr>
  </w:style>
  <w:style w:type="character" w:styleId="HTML-citaat">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toetsenbord">
    <w:name w:val="HTML Keyboard"/>
    <w:semiHidden/>
    <w:rsid w:val="008A6C4F"/>
    <w:rPr>
      <w:rFonts w:ascii="Courier New" w:hAnsi="Courier New" w:cs="Courier New"/>
      <w:sz w:val="20"/>
      <w:szCs w:val="20"/>
    </w:rPr>
  </w:style>
  <w:style w:type="paragraph" w:styleId="HTML-voorafopgemaakt">
    <w:name w:val="HTML Preformatted"/>
    <w:basedOn w:val="Standaard"/>
    <w:semiHidden/>
    <w:rsid w:val="008A6C4F"/>
    <w:rPr>
      <w:rFonts w:ascii="Courier New" w:hAnsi="Courier New" w:cs="Courier New"/>
    </w:rPr>
  </w:style>
  <w:style w:type="character" w:styleId="HTML-voorbeeld">
    <w:name w:val="HTML Sample"/>
    <w:semiHidden/>
    <w:rsid w:val="008A6C4F"/>
    <w:rPr>
      <w:rFonts w:ascii="Courier New" w:hAnsi="Courier New" w:cs="Courier New"/>
    </w:rPr>
  </w:style>
  <w:style w:type="character" w:styleId="HTML-schrijfmachine">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jst">
    <w:name w:val="List"/>
    <w:basedOn w:val="Standaard"/>
    <w:semiHidden/>
    <w:rsid w:val="008A6C4F"/>
    <w:pPr>
      <w:ind w:left="283" w:hanging="283"/>
    </w:pPr>
  </w:style>
  <w:style w:type="paragraph" w:styleId="Lijst2">
    <w:name w:val="List 2"/>
    <w:basedOn w:val="Standaard"/>
    <w:semiHidden/>
    <w:rsid w:val="008A6C4F"/>
    <w:pPr>
      <w:ind w:left="566" w:hanging="283"/>
    </w:pPr>
  </w:style>
  <w:style w:type="paragraph" w:styleId="Lijst3">
    <w:name w:val="List 3"/>
    <w:basedOn w:val="Standaard"/>
    <w:semiHidden/>
    <w:rsid w:val="008A6C4F"/>
    <w:pPr>
      <w:ind w:left="849" w:hanging="283"/>
    </w:pPr>
  </w:style>
  <w:style w:type="paragraph" w:styleId="Lijst4">
    <w:name w:val="List 4"/>
    <w:basedOn w:val="Standaard"/>
    <w:semiHidden/>
    <w:rsid w:val="008A6C4F"/>
    <w:pPr>
      <w:ind w:left="1132" w:hanging="283"/>
    </w:pPr>
  </w:style>
  <w:style w:type="paragraph" w:styleId="Lijst5">
    <w:name w:val="List 5"/>
    <w:basedOn w:val="Standaard"/>
    <w:semiHidden/>
    <w:rsid w:val="008A6C4F"/>
    <w:pPr>
      <w:ind w:left="1415" w:hanging="283"/>
    </w:pPr>
  </w:style>
  <w:style w:type="paragraph" w:styleId="Lijstopsomteken">
    <w:name w:val="List Bullet"/>
    <w:basedOn w:val="Standaard"/>
    <w:semiHidden/>
    <w:rsid w:val="008A6C4F"/>
    <w:pPr>
      <w:numPr>
        <w:numId w:val="6"/>
      </w:numPr>
    </w:pPr>
  </w:style>
  <w:style w:type="paragraph" w:styleId="Lijstopsomteken2">
    <w:name w:val="List Bullet 2"/>
    <w:basedOn w:val="Standaard"/>
    <w:semiHidden/>
    <w:rsid w:val="008A6C4F"/>
    <w:pPr>
      <w:numPr>
        <w:numId w:val="7"/>
      </w:numPr>
    </w:pPr>
  </w:style>
  <w:style w:type="paragraph" w:styleId="Lijstopsomteken3">
    <w:name w:val="List Bullet 3"/>
    <w:basedOn w:val="Standaard"/>
    <w:semiHidden/>
    <w:rsid w:val="008A6C4F"/>
    <w:pPr>
      <w:numPr>
        <w:numId w:val="8"/>
      </w:numPr>
    </w:pPr>
  </w:style>
  <w:style w:type="paragraph" w:styleId="Lijstopsomteken4">
    <w:name w:val="List Bullet 4"/>
    <w:basedOn w:val="Standaard"/>
    <w:semiHidden/>
    <w:rsid w:val="008A6C4F"/>
    <w:pPr>
      <w:numPr>
        <w:numId w:val="9"/>
      </w:numPr>
    </w:pPr>
  </w:style>
  <w:style w:type="paragraph" w:styleId="Lijstopsomteken5">
    <w:name w:val="List Bullet 5"/>
    <w:basedOn w:val="Standaard"/>
    <w:semiHidden/>
    <w:rsid w:val="008A6C4F"/>
    <w:pPr>
      <w:numPr>
        <w:numId w:val="10"/>
      </w:numPr>
    </w:pPr>
  </w:style>
  <w:style w:type="paragraph" w:styleId="Lijstvoortzetting">
    <w:name w:val="List Continue"/>
    <w:basedOn w:val="Standaard"/>
    <w:semiHidden/>
    <w:rsid w:val="008A6C4F"/>
    <w:pPr>
      <w:spacing w:after="120"/>
      <w:ind w:left="283"/>
    </w:pPr>
  </w:style>
  <w:style w:type="paragraph" w:styleId="Lijstvoortzetting2">
    <w:name w:val="List Continue 2"/>
    <w:basedOn w:val="Standaard"/>
    <w:semiHidden/>
    <w:rsid w:val="008A6C4F"/>
    <w:pPr>
      <w:spacing w:after="120"/>
      <w:ind w:left="566"/>
    </w:pPr>
  </w:style>
  <w:style w:type="paragraph" w:styleId="Lijstvoortzetting3">
    <w:name w:val="List Continue 3"/>
    <w:basedOn w:val="Standaard"/>
    <w:semiHidden/>
    <w:rsid w:val="008A6C4F"/>
    <w:pPr>
      <w:spacing w:after="120"/>
      <w:ind w:left="849"/>
    </w:pPr>
  </w:style>
  <w:style w:type="paragraph" w:styleId="Lijstvoortzetting4">
    <w:name w:val="List Continue 4"/>
    <w:basedOn w:val="Standaard"/>
    <w:semiHidden/>
    <w:rsid w:val="008A6C4F"/>
    <w:pPr>
      <w:spacing w:after="120"/>
      <w:ind w:left="1132"/>
    </w:pPr>
  </w:style>
  <w:style w:type="paragraph" w:styleId="Lijstvoortzetting5">
    <w:name w:val="List Continue 5"/>
    <w:basedOn w:val="Standaard"/>
    <w:semiHidden/>
    <w:rsid w:val="008A6C4F"/>
    <w:pPr>
      <w:spacing w:after="120"/>
      <w:ind w:left="1415"/>
    </w:pPr>
  </w:style>
  <w:style w:type="paragraph" w:styleId="Lijstnummering">
    <w:name w:val="List Number"/>
    <w:basedOn w:val="Standaard"/>
    <w:semiHidden/>
    <w:rsid w:val="008A6C4F"/>
    <w:pPr>
      <w:numPr>
        <w:numId w:val="5"/>
      </w:numPr>
    </w:pPr>
  </w:style>
  <w:style w:type="paragraph" w:styleId="Lijstnummering2">
    <w:name w:val="List Number 2"/>
    <w:basedOn w:val="Standaard"/>
    <w:semiHidden/>
    <w:rsid w:val="008A6C4F"/>
    <w:pPr>
      <w:numPr>
        <w:numId w:val="4"/>
      </w:numPr>
    </w:pPr>
  </w:style>
  <w:style w:type="paragraph" w:styleId="Lijstnummering3">
    <w:name w:val="List Number 3"/>
    <w:basedOn w:val="Standaard"/>
    <w:semiHidden/>
    <w:rsid w:val="008A6C4F"/>
    <w:pPr>
      <w:numPr>
        <w:numId w:val="3"/>
      </w:numPr>
    </w:pPr>
  </w:style>
  <w:style w:type="paragraph" w:styleId="Lijstnummering4">
    <w:name w:val="List Number 4"/>
    <w:basedOn w:val="Standaard"/>
    <w:semiHidden/>
    <w:rsid w:val="008A6C4F"/>
    <w:pPr>
      <w:numPr>
        <w:numId w:val="1"/>
      </w:numPr>
    </w:pPr>
  </w:style>
  <w:style w:type="paragraph" w:styleId="Lijstnummering5">
    <w:name w:val="List Number 5"/>
    <w:basedOn w:val="Standaard"/>
    <w:semiHidden/>
    <w:rsid w:val="008A6C4F"/>
    <w:pPr>
      <w:numPr>
        <w:numId w:val="2"/>
      </w:numPr>
    </w:pPr>
  </w:style>
  <w:style w:type="paragraph" w:styleId="Berichtkop">
    <w:name w:val="Message Header"/>
    <w:basedOn w:val="Standaard"/>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alweb">
    <w:name w:val="Normal (Web)"/>
    <w:basedOn w:val="Standaard"/>
    <w:semiHidden/>
    <w:rsid w:val="008A6C4F"/>
    <w:rPr>
      <w:sz w:val="24"/>
      <w:szCs w:val="24"/>
    </w:rPr>
  </w:style>
  <w:style w:type="paragraph" w:styleId="Standaardinspringing">
    <w:name w:val="Normal Indent"/>
    <w:basedOn w:val="Standaard"/>
    <w:semiHidden/>
    <w:rsid w:val="008A6C4F"/>
    <w:pPr>
      <w:ind w:left="567"/>
    </w:pPr>
  </w:style>
  <w:style w:type="paragraph" w:styleId="Notitiekop">
    <w:name w:val="Note Heading"/>
    <w:basedOn w:val="Standaard"/>
    <w:next w:val="Standaard"/>
    <w:semiHidden/>
    <w:rsid w:val="008A6C4F"/>
  </w:style>
  <w:style w:type="paragraph" w:styleId="Aanhef">
    <w:name w:val="Salutation"/>
    <w:basedOn w:val="Standaard"/>
    <w:next w:val="Standaard"/>
    <w:semiHidden/>
    <w:rsid w:val="008A6C4F"/>
  </w:style>
  <w:style w:type="paragraph" w:styleId="Handtekening">
    <w:name w:val="Signature"/>
    <w:basedOn w:val="Standaard"/>
    <w:semiHidden/>
    <w:rsid w:val="008A6C4F"/>
    <w:pPr>
      <w:ind w:left="4252"/>
    </w:pPr>
  </w:style>
  <w:style w:type="character" w:styleId="Zwaar">
    <w:name w:val="Strong"/>
    <w:qFormat/>
    <w:rsid w:val="008A6C4F"/>
    <w:rPr>
      <w:b/>
      <w:bCs/>
    </w:rPr>
  </w:style>
  <w:style w:type="paragraph" w:styleId="Subtitel">
    <w:name w:val="Subtitle"/>
    <w:basedOn w:val="Standaard"/>
    <w:qFormat/>
    <w:rsid w:val="008A6C4F"/>
    <w:pPr>
      <w:spacing w:after="60"/>
      <w:jc w:val="center"/>
      <w:outlineLvl w:val="1"/>
    </w:pPr>
    <w:rPr>
      <w:rFonts w:ascii="Arial" w:hAnsi="Arial" w:cs="Arial"/>
      <w:sz w:val="24"/>
      <w:szCs w:val="24"/>
    </w:rPr>
  </w:style>
  <w:style w:type="table" w:styleId="3D-effectenvoortabel1">
    <w:name w:val="Table 3D effects 1"/>
    <w:basedOn w:val="Standaardtabe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semiHidden/>
    <w:rsid w:val="00DC506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elraster1">
    <w:name w:val="Table Grid 1"/>
    <w:basedOn w:val="Standaardtabe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tabel1">
    <w:name w:val="Table Web 1"/>
    <w:basedOn w:val="Standaardtabe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qFormat/>
    <w:rsid w:val="008A6C4F"/>
    <w:pPr>
      <w:spacing w:before="240" w:after="60"/>
      <w:jc w:val="center"/>
      <w:outlineLvl w:val="0"/>
    </w:pPr>
    <w:rPr>
      <w:rFonts w:ascii="Arial" w:hAnsi="Arial" w:cs="Arial"/>
      <w:b/>
      <w:bCs/>
      <w:kern w:val="28"/>
      <w:sz w:val="32"/>
      <w:szCs w:val="32"/>
    </w:rPr>
  </w:style>
  <w:style w:type="paragraph" w:styleId="Adresenvelop">
    <w:name w:val="envelope address"/>
    <w:basedOn w:val="Standaard"/>
    <w:semiHidden/>
    <w:rsid w:val="008A6C4F"/>
    <w:pPr>
      <w:framePr w:w="7920" w:h="1980" w:hRule="exact" w:hSpace="180" w:wrap="auto" w:hAnchor="page" w:xAlign="center" w:yAlign="bottom"/>
      <w:ind w:left="2880"/>
    </w:pPr>
    <w:rPr>
      <w:rFonts w:ascii="Arial" w:hAnsi="Arial" w:cs="Arial"/>
      <w:sz w:val="24"/>
      <w:szCs w:val="24"/>
    </w:rPr>
  </w:style>
  <w:style w:type="paragraph" w:styleId="Voettekst">
    <w:name w:val="footer"/>
    <w:aliases w:val="3_G"/>
    <w:basedOn w:val="Standaard"/>
    <w:rsid w:val="00DC5061"/>
    <w:pPr>
      <w:spacing w:line="240" w:lineRule="auto"/>
    </w:pPr>
    <w:rPr>
      <w:sz w:val="16"/>
    </w:rPr>
  </w:style>
  <w:style w:type="paragraph" w:styleId="Koptekst">
    <w:name w:val="header"/>
    <w:aliases w:val="6_G"/>
    <w:basedOn w:val="Standaard"/>
    <w:rsid w:val="00DC5061"/>
    <w:pPr>
      <w:pBdr>
        <w:bottom w:val="single" w:sz="4" w:space="4" w:color="auto"/>
      </w:pBdr>
      <w:spacing w:line="240" w:lineRule="auto"/>
    </w:pPr>
    <w:rPr>
      <w:b/>
      <w:sz w:val="18"/>
    </w:rPr>
  </w:style>
  <w:style w:type="paragraph" w:styleId="Ballontekst">
    <w:name w:val="Balloon Text"/>
    <w:basedOn w:val="Standaard"/>
    <w:link w:val="BallontekstChar"/>
    <w:rsid w:val="00B30027"/>
    <w:pPr>
      <w:spacing w:line="240" w:lineRule="auto"/>
    </w:pPr>
    <w:rPr>
      <w:rFonts w:ascii="Tahoma" w:hAnsi="Tahoma" w:cs="Tahoma"/>
      <w:sz w:val="16"/>
      <w:szCs w:val="16"/>
    </w:rPr>
  </w:style>
  <w:style w:type="character" w:customStyle="1" w:styleId="BallontekstChar">
    <w:name w:val="Ballontekst Char"/>
    <w:link w:val="Ballonteks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VoetnoottekstChar">
    <w:name w:val="Voetnoottekst Char"/>
    <w:aliases w:val="5_G Char,fn Char,footnote text Char,Footnotes Char,Footnote ak Char"/>
    <w:link w:val="Voetnoottekst"/>
    <w:rsid w:val="00B30027"/>
    <w:rPr>
      <w:sz w:val="18"/>
      <w:lang w:eastAsia="en-US"/>
    </w:rPr>
  </w:style>
  <w:style w:type="paragraph" w:styleId="Onderwerpvanopmerking">
    <w:name w:val="annotation subject"/>
    <w:basedOn w:val="Tekstopmerking"/>
    <w:next w:val="Tekstopmerking"/>
    <w:link w:val="OnderwerpvanopmerkingChar"/>
    <w:rsid w:val="00D543AC"/>
    <w:rPr>
      <w:b/>
      <w:bCs/>
    </w:rPr>
  </w:style>
  <w:style w:type="character" w:customStyle="1" w:styleId="TekstopmerkingChar">
    <w:name w:val="Tekst opmerking Char"/>
    <w:link w:val="Tekstopmerking"/>
    <w:semiHidden/>
    <w:rsid w:val="00D543AC"/>
    <w:rPr>
      <w:lang w:eastAsia="en-US"/>
    </w:rPr>
  </w:style>
  <w:style w:type="character" w:customStyle="1" w:styleId="OnderwerpvanopmerkingChar">
    <w:name w:val="Onderwerp van opmerking Char"/>
    <w:link w:val="Onderwerpvanopmerking"/>
    <w:rsid w:val="00D543AC"/>
    <w:rPr>
      <w:b/>
      <w:bCs/>
      <w:lang w:eastAsia="en-US"/>
    </w:rPr>
  </w:style>
  <w:style w:type="paragraph" w:styleId="Revisie">
    <w:name w:val="Revision"/>
    <w:hidden/>
    <w:uiPriority w:val="99"/>
    <w:semiHidden/>
    <w:rsid w:val="005D6CBA"/>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rsid w:val="00DC5061"/>
    <w:rPr>
      <w:rFonts w:ascii="Times New Roman" w:hAnsi="Times New Roman"/>
      <w:sz w:val="18"/>
      <w:vertAlign w:val="superscript"/>
    </w:rPr>
  </w:style>
  <w:style w:type="paragraph" w:styleId="FootnoteText">
    <w:name w:val="footnote text"/>
    <w:aliases w:val="5_G,fn,footnote text,Footnotes,Footnote ak"/>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
    <w:link w:val="FootnoteText"/>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Template>
  <TotalTime>3</TotalTime>
  <Pages>5</Pages>
  <Words>1604</Words>
  <Characters>8827</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1700487</dc:title>
  <dc:subject>ECE/MP.PP/WG.1/2017/L.2</dc:subject>
  <dc:creator>Maricar De_La_Cruz</dc:creator>
  <cp:lastModifiedBy>EKoning</cp:lastModifiedBy>
  <cp:revision>2</cp:revision>
  <cp:lastPrinted>2017-01-12T15:17:00Z</cp:lastPrinted>
  <dcterms:created xsi:type="dcterms:W3CDTF">2017-02-21T16:45:00Z</dcterms:created>
  <dcterms:modified xsi:type="dcterms:W3CDTF">2017-02-21T16:45:00Z</dcterms:modified>
</cp:coreProperties>
</file>