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403024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403024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403024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403024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403024">
                <w:t>MP.PP/WG.1/2016/8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40302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40302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403024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403024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8860F8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A658DB" w:rsidP="00403024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403024">
              <w:t xml:space="preserve">24 </w:t>
            </w:r>
            <w:proofErr w:type="spellStart"/>
            <w:r w:rsidR="00403024">
              <w:t>March</w:t>
            </w:r>
            <w:proofErr w:type="spellEnd"/>
            <w:r w:rsidR="00403024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403024">
            <w:r w:rsidRPr="00245892">
              <w:t>Russian</w:t>
            </w:r>
          </w:p>
          <w:p w:rsidR="00A658DB" w:rsidRPr="00245892" w:rsidRDefault="00A658DB" w:rsidP="00403024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8860F8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403024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03024" w:rsidRPr="00403024" w:rsidRDefault="00403024" w:rsidP="00403024">
      <w:pPr>
        <w:spacing w:before="120" w:line="240" w:lineRule="auto"/>
        <w:rPr>
          <w:sz w:val="28"/>
          <w:szCs w:val="28"/>
        </w:rPr>
      </w:pPr>
      <w:r w:rsidRPr="00403024">
        <w:rPr>
          <w:sz w:val="28"/>
          <w:szCs w:val="28"/>
        </w:rPr>
        <w:t xml:space="preserve">Совещание Сторон Конвенции о доступе </w:t>
      </w:r>
      <w:r w:rsidRPr="00403024">
        <w:rPr>
          <w:sz w:val="28"/>
          <w:szCs w:val="28"/>
        </w:rPr>
        <w:br/>
        <w:t xml:space="preserve">к информации, участии общественности </w:t>
      </w:r>
      <w:r w:rsidRPr="00403024">
        <w:rPr>
          <w:sz w:val="28"/>
          <w:szCs w:val="28"/>
        </w:rPr>
        <w:br/>
        <w:t xml:space="preserve">в процессе принятия решений и доступе </w:t>
      </w:r>
      <w:r w:rsidRPr="00403024">
        <w:rPr>
          <w:sz w:val="28"/>
          <w:szCs w:val="28"/>
        </w:rPr>
        <w:br/>
        <w:t xml:space="preserve">к правосудию по вопросам, касающимся </w:t>
      </w:r>
      <w:r w:rsidRPr="00403024">
        <w:rPr>
          <w:sz w:val="28"/>
          <w:szCs w:val="28"/>
        </w:rPr>
        <w:br/>
        <w:t>окружающей среды</w:t>
      </w:r>
    </w:p>
    <w:p w:rsidR="00403024" w:rsidRPr="00403024" w:rsidRDefault="00403024" w:rsidP="00403024">
      <w:pPr>
        <w:spacing w:before="120" w:line="240" w:lineRule="auto"/>
        <w:rPr>
          <w:b/>
          <w:sz w:val="24"/>
          <w:szCs w:val="24"/>
        </w:rPr>
      </w:pPr>
      <w:r w:rsidRPr="00403024">
        <w:rPr>
          <w:b/>
          <w:sz w:val="24"/>
          <w:szCs w:val="24"/>
        </w:rPr>
        <w:t>Рабочая группа Сторон</w:t>
      </w:r>
    </w:p>
    <w:p w:rsidR="00403024" w:rsidRPr="00403024" w:rsidRDefault="00403024" w:rsidP="00403024">
      <w:pPr>
        <w:spacing w:before="120" w:line="240" w:lineRule="auto"/>
        <w:rPr>
          <w:b/>
        </w:rPr>
      </w:pPr>
      <w:r w:rsidRPr="00403024">
        <w:rPr>
          <w:b/>
        </w:rPr>
        <w:t>Двадцатое совещание</w:t>
      </w:r>
    </w:p>
    <w:p w:rsidR="00403024" w:rsidRPr="00403024" w:rsidRDefault="00403024" w:rsidP="00403024">
      <w:pPr>
        <w:spacing w:line="240" w:lineRule="auto"/>
      </w:pPr>
      <w:r w:rsidRPr="00403024">
        <w:t>Женева, 15–17 июня 2016 года</w:t>
      </w:r>
    </w:p>
    <w:p w:rsidR="00403024" w:rsidRPr="00403024" w:rsidRDefault="00403024" w:rsidP="00403024">
      <w:pPr>
        <w:spacing w:line="240" w:lineRule="auto"/>
      </w:pPr>
      <w:r w:rsidRPr="00403024">
        <w:t xml:space="preserve">Пункт 8 </w:t>
      </w:r>
      <w:r w:rsidRPr="00403024">
        <w:rPr>
          <w:lang w:val="en-US"/>
        </w:rPr>
        <w:t>b</w:t>
      </w:r>
      <w:r w:rsidRPr="00403024">
        <w:t>) предварительной повестки дня</w:t>
      </w:r>
    </w:p>
    <w:p w:rsidR="00403024" w:rsidRPr="00450F34" w:rsidRDefault="00403024" w:rsidP="00450F34">
      <w:pPr>
        <w:rPr>
          <w:b/>
        </w:rPr>
      </w:pPr>
      <w:r w:rsidRPr="00450F34">
        <w:rPr>
          <w:b/>
        </w:rPr>
        <w:t>Подготовка к шестой сессии Совещания Сторон:</w:t>
      </w:r>
      <w:r w:rsidR="00450F34" w:rsidRPr="00450F34">
        <w:rPr>
          <w:b/>
        </w:rPr>
        <w:t xml:space="preserve"> </w:t>
      </w:r>
      <w:r w:rsidR="00450F34" w:rsidRPr="00450F34">
        <w:rPr>
          <w:b/>
        </w:rPr>
        <w:br/>
      </w:r>
      <w:r w:rsidRPr="00450F34">
        <w:rPr>
          <w:b/>
        </w:rPr>
        <w:t>будущие финансовые механизмы</w:t>
      </w:r>
    </w:p>
    <w:p w:rsidR="00403024" w:rsidRPr="00403024" w:rsidRDefault="00403024" w:rsidP="00450F34">
      <w:pPr>
        <w:pStyle w:val="HChGR"/>
      </w:pPr>
      <w:r w:rsidRPr="00403024">
        <w:tab/>
      </w:r>
      <w:r w:rsidRPr="00403024">
        <w:tab/>
        <w:t>Проект элементов возможных финансовых механизмов</w:t>
      </w:r>
    </w:p>
    <w:p w:rsidR="00403024" w:rsidRPr="00C678C5" w:rsidRDefault="00403024" w:rsidP="00450F34">
      <w:pPr>
        <w:pStyle w:val="H1GR"/>
      </w:pPr>
      <w:r w:rsidRPr="00403024">
        <w:tab/>
      </w:r>
      <w:r w:rsidRPr="00403024">
        <w:tab/>
        <w:t>Подготовлен Президиумом</w:t>
      </w:r>
    </w:p>
    <w:tbl>
      <w:tblPr>
        <w:tblStyle w:val="ae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450F34" w:rsidTr="00450F34">
        <w:tc>
          <w:tcPr>
            <w:tcW w:w="9854" w:type="dxa"/>
            <w:shd w:val="clear" w:color="auto" w:fill="auto"/>
          </w:tcPr>
          <w:p w:rsidR="00450F34" w:rsidRPr="00450F34" w:rsidRDefault="00450F34" w:rsidP="00450F34">
            <w:pPr>
              <w:suppressAutoHyphens/>
              <w:spacing w:before="240" w:after="120"/>
              <w:ind w:left="255"/>
              <w:rPr>
                <w:i/>
                <w:sz w:val="24"/>
                <w:lang w:val="en-US" w:eastAsia="ru-RU"/>
              </w:rPr>
            </w:pPr>
            <w:proofErr w:type="spellStart"/>
            <w:r w:rsidRPr="00450F34">
              <w:rPr>
                <w:i/>
                <w:sz w:val="24"/>
                <w:lang w:val="en-US" w:eastAsia="ru-RU"/>
              </w:rPr>
              <w:t>Резюме</w:t>
            </w:r>
            <w:proofErr w:type="spellEnd"/>
          </w:p>
        </w:tc>
      </w:tr>
      <w:tr w:rsidR="00450F34" w:rsidRPr="00450F34" w:rsidTr="00AE25F8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450F34" w:rsidRPr="00450F34" w:rsidRDefault="00450F34" w:rsidP="00450F34">
            <w:pPr>
              <w:pStyle w:val="SingleTxtGR"/>
              <w:rPr>
                <w:lang w:eastAsia="ru-RU"/>
              </w:rPr>
            </w:pPr>
            <w:r w:rsidRPr="00450F34">
              <w:rPr>
                <w:lang w:eastAsia="ru-RU"/>
              </w:rPr>
              <w:tab/>
              <w:t>Настоящий документ содержит проект элементов возможных финансовых механизмов в рамках Конвенции о доступе к информации, участии обществе</w:t>
            </w:r>
            <w:r w:rsidRPr="00450F34">
              <w:rPr>
                <w:lang w:eastAsia="ru-RU"/>
              </w:rPr>
              <w:t>н</w:t>
            </w:r>
            <w:r w:rsidRPr="00450F34">
              <w:rPr>
                <w:lang w:eastAsia="ru-RU"/>
              </w:rPr>
              <w:t>ности в процессе принятия решений и доступе к правосудию по вопросам, к</w:t>
            </w:r>
            <w:r w:rsidRPr="00450F34">
              <w:rPr>
                <w:lang w:eastAsia="ru-RU"/>
              </w:rPr>
              <w:t>а</w:t>
            </w:r>
            <w:r w:rsidRPr="00450F34">
              <w:rPr>
                <w:lang w:eastAsia="ru-RU"/>
              </w:rPr>
              <w:t>сающимся окружающей среды (</w:t>
            </w:r>
            <w:proofErr w:type="spellStart"/>
            <w:r w:rsidRPr="00450F34">
              <w:rPr>
                <w:lang w:eastAsia="ru-RU"/>
              </w:rPr>
              <w:t>Орхусская</w:t>
            </w:r>
            <w:proofErr w:type="spellEnd"/>
            <w:r w:rsidRPr="00450F34">
              <w:rPr>
                <w:lang w:eastAsia="ru-RU"/>
              </w:rPr>
              <w:t xml:space="preserve"> конвенция), который был подгото</w:t>
            </w:r>
            <w:r w:rsidRPr="00450F34">
              <w:rPr>
                <w:lang w:eastAsia="ru-RU"/>
              </w:rPr>
              <w:t>в</w:t>
            </w:r>
            <w:r w:rsidRPr="00450F34">
              <w:rPr>
                <w:lang w:eastAsia="ru-RU"/>
              </w:rPr>
              <w:t xml:space="preserve">лен на основе пункта 14 решения </w:t>
            </w:r>
            <w:r w:rsidRPr="00450F34">
              <w:rPr>
                <w:lang w:val="en-GB" w:eastAsia="ru-RU"/>
              </w:rPr>
              <w:t>V</w:t>
            </w:r>
            <w:r w:rsidRPr="00450F34">
              <w:rPr>
                <w:lang w:eastAsia="ru-RU"/>
              </w:rPr>
              <w:t>/7 о финансовых механизмах (</w:t>
            </w:r>
            <w:r w:rsidRPr="00450F34">
              <w:rPr>
                <w:lang w:val="en-GB" w:eastAsia="ru-RU"/>
              </w:rPr>
              <w:t>ECE</w:t>
            </w:r>
            <w:r w:rsidRPr="00450F34">
              <w:rPr>
                <w:lang w:eastAsia="ru-RU"/>
              </w:rPr>
              <w:t>/</w:t>
            </w:r>
            <w:r w:rsidRPr="00450F34">
              <w:rPr>
                <w:lang w:val="en-GB" w:eastAsia="ru-RU"/>
              </w:rPr>
              <w:t>MP</w:t>
            </w:r>
            <w:r w:rsidRPr="00450F34">
              <w:rPr>
                <w:lang w:eastAsia="ru-RU"/>
              </w:rPr>
              <w:t>.</w:t>
            </w:r>
            <w:r w:rsidRPr="00450F34">
              <w:rPr>
                <w:lang w:val="en-GB" w:eastAsia="ru-RU"/>
              </w:rPr>
              <w:t>PP</w:t>
            </w:r>
            <w:r w:rsidRPr="00450F34">
              <w:rPr>
                <w:lang w:eastAsia="ru-RU"/>
              </w:rPr>
              <w:t>/</w:t>
            </w:r>
            <w:r w:rsidRPr="00450F34">
              <w:rPr>
                <w:lang w:eastAsia="ru-RU"/>
              </w:rPr>
              <w:br/>
              <w:t>2011/2/</w:t>
            </w:r>
            <w:r w:rsidRPr="00450F34">
              <w:rPr>
                <w:lang w:val="en-GB" w:eastAsia="ru-RU"/>
              </w:rPr>
              <w:t>Add</w:t>
            </w:r>
            <w:r w:rsidRPr="00450F34">
              <w:rPr>
                <w:lang w:eastAsia="ru-RU"/>
              </w:rPr>
              <w:t>1)</w:t>
            </w:r>
            <w:r w:rsidRPr="00450F34">
              <w:rPr>
                <w:vertAlign w:val="superscript"/>
                <w:lang w:val="en-GB" w:eastAsia="ru-RU"/>
              </w:rPr>
              <w:footnoteReference w:id="1"/>
            </w:r>
            <w:r w:rsidRPr="00450F34">
              <w:rPr>
                <w:lang w:eastAsia="ru-RU"/>
              </w:rPr>
              <w:t>,</w:t>
            </w:r>
            <w:r w:rsidRPr="00450F34">
              <w:rPr>
                <w:vertAlign w:val="superscript"/>
                <w:lang w:eastAsia="ru-RU"/>
              </w:rPr>
              <w:t xml:space="preserve"> </w:t>
            </w:r>
            <w:r w:rsidRPr="00450F34">
              <w:rPr>
                <w:lang w:eastAsia="ru-RU"/>
              </w:rPr>
              <w:t xml:space="preserve"> принятого Совещанием Сторон на его пятой сессии. </w:t>
            </w:r>
          </w:p>
        </w:tc>
      </w:tr>
      <w:tr w:rsidR="00450F34" w:rsidRPr="00450F34" w:rsidTr="00AE25F8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450F34" w:rsidRPr="00450F34" w:rsidRDefault="00450F34" w:rsidP="00450F34">
            <w:pPr>
              <w:pStyle w:val="SingleTxtGR"/>
              <w:rPr>
                <w:lang w:eastAsia="ru-RU"/>
              </w:rPr>
            </w:pPr>
            <w:r w:rsidRPr="00403024">
              <w:tab/>
              <w:t>Настоящий проект был подготовлен Президиумом Конвенции с целью облегчения проводимых Рабочей группой обсуждений, посвященных подгото</w:t>
            </w:r>
            <w:r w:rsidRPr="00403024">
              <w:t>в</w:t>
            </w:r>
            <w:r w:rsidRPr="00403024">
              <w:t>ке возможного проекта решения о финансовых механизмах в рамках Конве</w:t>
            </w:r>
            <w:r w:rsidRPr="00403024">
              <w:t>н</w:t>
            </w:r>
            <w:r w:rsidRPr="00403024">
              <w:t xml:space="preserve">ции. До начала и после завершения двадцатого совещания Рабочей группы по проекту этого документа будет проведено два раунда консультаций открытого </w:t>
            </w:r>
            <w:r w:rsidRPr="00403024">
              <w:lastRenderedPageBreak/>
              <w:t>состава между национальными координационными центрами и заинтересова</w:t>
            </w:r>
            <w:r w:rsidRPr="00403024">
              <w:t>н</w:t>
            </w:r>
            <w:r w:rsidRPr="00403024">
              <w:t>ными субъектами. Как ожидается, после этого Президиум пересмотрит проект документа в свете полученных замечаний и представит его на двадцать первом совещании Рабочей группы для рассмотрения и утверждения и последующего препровождения Совещанию Сторон на предмет рассмотрения на его шестой сессии.</w:t>
            </w:r>
          </w:p>
        </w:tc>
      </w:tr>
      <w:tr w:rsidR="00450F34" w:rsidRPr="00450F34" w:rsidTr="00AE25F8">
        <w:tc>
          <w:tcPr>
            <w:tcW w:w="9854" w:type="dxa"/>
            <w:tcBorders>
              <w:top w:val="nil"/>
            </w:tcBorders>
            <w:shd w:val="clear" w:color="auto" w:fill="auto"/>
          </w:tcPr>
          <w:p w:rsidR="00450F34" w:rsidRPr="00450F34" w:rsidRDefault="00450F34" w:rsidP="00450F34">
            <w:pPr>
              <w:rPr>
                <w:lang w:eastAsia="ru-RU"/>
              </w:rPr>
            </w:pPr>
          </w:p>
        </w:tc>
      </w:tr>
    </w:tbl>
    <w:p w:rsidR="00403024" w:rsidRPr="00403024" w:rsidRDefault="00403024" w:rsidP="00403024">
      <w:pPr>
        <w:spacing w:line="240" w:lineRule="auto"/>
      </w:pPr>
      <w:r w:rsidRPr="00403024">
        <w:br w:type="page"/>
      </w:r>
    </w:p>
    <w:p w:rsidR="00403024" w:rsidRPr="00403024" w:rsidRDefault="00403024" w:rsidP="00450F34">
      <w:pPr>
        <w:pStyle w:val="HChGR"/>
      </w:pPr>
      <w:r w:rsidRPr="00403024">
        <w:lastRenderedPageBreak/>
        <w:tab/>
      </w:r>
      <w:r w:rsidRPr="00403024">
        <w:tab/>
        <w:t xml:space="preserve">Решение </w:t>
      </w:r>
      <w:r w:rsidRPr="00403024">
        <w:rPr>
          <w:lang w:val="en-GB"/>
        </w:rPr>
        <w:t>VI</w:t>
      </w:r>
      <w:r w:rsidRPr="00403024">
        <w:t xml:space="preserve">/… о финансовых механизмах в рамках Конвенции </w:t>
      </w:r>
    </w:p>
    <w:p w:rsidR="00403024" w:rsidRPr="00403024" w:rsidRDefault="00403024" w:rsidP="00403024">
      <w:pPr>
        <w:pStyle w:val="SingleTxtGR"/>
        <w:rPr>
          <w:i/>
        </w:rPr>
      </w:pPr>
      <w:r w:rsidRPr="00403024">
        <w:rPr>
          <w:i/>
        </w:rPr>
        <w:tab/>
        <w:t>Совещание Сторон Конвенции</w:t>
      </w:r>
      <w:r w:rsidRPr="00403024">
        <w:t>,</w:t>
      </w:r>
    </w:p>
    <w:p w:rsidR="00403024" w:rsidRPr="00403024" w:rsidRDefault="00403024" w:rsidP="00403024">
      <w:pPr>
        <w:pStyle w:val="SingleTxtGR"/>
      </w:pPr>
      <w:r w:rsidRPr="00403024">
        <w:tab/>
      </w:r>
      <w:r w:rsidRPr="00403024">
        <w:rPr>
          <w:i/>
        </w:rPr>
        <w:t>ссылаясь</w:t>
      </w:r>
      <w:r w:rsidRPr="00403024">
        <w:t xml:space="preserve"> на пункт 3 статьи 10 Конвенции о доступе к информации, уч</w:t>
      </w:r>
      <w:r w:rsidRPr="00403024">
        <w:t>а</w:t>
      </w:r>
      <w:r w:rsidRPr="00403024">
        <w:t>стии общественности в процессе принятия решений и доступе к правосудию по вопросам, касающимся окружающей среды (</w:t>
      </w:r>
      <w:proofErr w:type="spellStart"/>
      <w:r w:rsidRPr="00403024">
        <w:t>Орхусская</w:t>
      </w:r>
      <w:proofErr w:type="spellEnd"/>
      <w:r w:rsidRPr="00403024">
        <w:t xml:space="preserve"> конвенция), который гласит, что Совещание Сторон Конвенции может, при необходимости, рассма</w:t>
      </w:r>
      <w:r w:rsidRPr="00403024">
        <w:t>т</w:t>
      </w:r>
      <w:r w:rsidRPr="00403024">
        <w:t>ривать вопрос о создании на основе консенсуса финансовых механизмов,</w:t>
      </w:r>
    </w:p>
    <w:p w:rsidR="00403024" w:rsidRPr="00403024" w:rsidRDefault="00403024" w:rsidP="00403024">
      <w:pPr>
        <w:pStyle w:val="SingleTxtGR"/>
      </w:pPr>
      <w:r w:rsidRPr="00403024">
        <w:tab/>
      </w:r>
      <w:proofErr w:type="gramStart"/>
      <w:r w:rsidRPr="00403024">
        <w:rPr>
          <w:i/>
        </w:rPr>
        <w:t>ссылаясь также</w:t>
      </w:r>
      <w:r w:rsidRPr="00403024">
        <w:t xml:space="preserve"> на свои решения </w:t>
      </w:r>
      <w:r w:rsidRPr="00403024">
        <w:rPr>
          <w:lang w:val="en-GB"/>
        </w:rPr>
        <w:t>I</w:t>
      </w:r>
      <w:r w:rsidRPr="00403024">
        <w:t xml:space="preserve">/13, </w:t>
      </w:r>
      <w:r w:rsidRPr="00403024">
        <w:rPr>
          <w:lang w:val="en-GB"/>
        </w:rPr>
        <w:t>II</w:t>
      </w:r>
      <w:r w:rsidRPr="00403024">
        <w:t xml:space="preserve">/6, </w:t>
      </w:r>
      <w:r w:rsidRPr="00403024">
        <w:rPr>
          <w:lang w:val="en-GB"/>
        </w:rPr>
        <w:t>III</w:t>
      </w:r>
      <w:r w:rsidRPr="00403024">
        <w:t xml:space="preserve">/7, </w:t>
      </w:r>
      <w:r w:rsidRPr="00403024">
        <w:rPr>
          <w:lang w:val="en-GB"/>
        </w:rPr>
        <w:t>IV</w:t>
      </w:r>
      <w:r w:rsidRPr="00403024">
        <w:t xml:space="preserve">/7 и </w:t>
      </w:r>
      <w:r w:rsidRPr="00403024">
        <w:rPr>
          <w:lang w:val="en-GB"/>
        </w:rPr>
        <w:t>V</w:t>
      </w:r>
      <w:r w:rsidRPr="00403024">
        <w:t>/7, в соотве</w:t>
      </w:r>
      <w:r w:rsidRPr="00403024">
        <w:t>т</w:t>
      </w:r>
      <w:r w:rsidRPr="00403024">
        <w:t>ствии с которыми была создана и функционирует временная система добр</w:t>
      </w:r>
      <w:r w:rsidRPr="00403024">
        <w:t>о</w:t>
      </w:r>
      <w:r w:rsidRPr="00403024">
        <w:t>вольных взносов, которая основывается на системе долевого участия и в кот</w:t>
      </w:r>
      <w:r w:rsidRPr="00403024">
        <w:t>о</w:t>
      </w:r>
      <w:r w:rsidRPr="00403024">
        <w:t xml:space="preserve">рую могут вносить взносы Стороны, </w:t>
      </w:r>
      <w:proofErr w:type="spellStart"/>
      <w:r w:rsidRPr="00403024">
        <w:t>сигнатарии</w:t>
      </w:r>
      <w:proofErr w:type="spellEnd"/>
      <w:r w:rsidRPr="00403024">
        <w:t xml:space="preserve"> и другие государства, пож</w:t>
      </w:r>
      <w:r w:rsidRPr="00403024">
        <w:t>е</w:t>
      </w:r>
      <w:r w:rsidRPr="00403024">
        <w:t>лавшие участвовать в ней,</w:t>
      </w:r>
      <w:proofErr w:type="gramEnd"/>
    </w:p>
    <w:p w:rsidR="00403024" w:rsidRPr="00403024" w:rsidRDefault="00403024" w:rsidP="00403024">
      <w:pPr>
        <w:pStyle w:val="SingleTxtGR"/>
      </w:pPr>
      <w:r w:rsidRPr="00403024">
        <w:rPr>
          <w:i/>
        </w:rPr>
        <w:tab/>
        <w:t>рассмотрев</w:t>
      </w:r>
      <w:r w:rsidRPr="00403024">
        <w:t xml:space="preserve"> итоги оценки нынешней временной системы взносов (</w:t>
      </w:r>
      <w:r w:rsidRPr="00403024">
        <w:rPr>
          <w:lang w:val="en-GB"/>
        </w:rPr>
        <w:t>ECE</w:t>
      </w:r>
      <w:r w:rsidRPr="00403024">
        <w:t>/</w:t>
      </w:r>
      <w:r w:rsidRPr="00403024">
        <w:rPr>
          <w:lang w:val="en-GB"/>
        </w:rPr>
        <w:t>MP</w:t>
      </w:r>
      <w:r w:rsidRPr="00403024">
        <w:t>.</w:t>
      </w:r>
      <w:r w:rsidRPr="00403024">
        <w:rPr>
          <w:lang w:val="en-GB"/>
        </w:rPr>
        <w:t>PP</w:t>
      </w:r>
      <w:r w:rsidRPr="00403024">
        <w:t>/</w:t>
      </w:r>
      <w:r w:rsidRPr="00403024">
        <w:rPr>
          <w:lang w:val="en-GB"/>
        </w:rPr>
        <w:t>WG</w:t>
      </w:r>
      <w:r w:rsidRPr="00403024">
        <w:t>.1/2013/9),</w:t>
      </w:r>
    </w:p>
    <w:p w:rsidR="00403024" w:rsidRPr="00403024" w:rsidRDefault="00403024" w:rsidP="00403024">
      <w:pPr>
        <w:pStyle w:val="SingleTxtGR"/>
      </w:pPr>
      <w:r w:rsidRPr="00403024">
        <w:tab/>
      </w:r>
      <w:r w:rsidRPr="00403024">
        <w:rPr>
          <w:i/>
        </w:rPr>
        <w:t>признавая</w:t>
      </w:r>
      <w:r w:rsidRPr="00403024">
        <w:t xml:space="preserve"> необходимость:</w:t>
      </w:r>
    </w:p>
    <w:p w:rsidR="00403024" w:rsidRPr="00403024" w:rsidRDefault="00450F34" w:rsidP="00403024">
      <w:pPr>
        <w:pStyle w:val="SingleTxtGR"/>
      </w:pPr>
      <w:r>
        <w:rPr>
          <w:lang w:val="en-US"/>
        </w:rPr>
        <w:tab/>
      </w:r>
      <w:r w:rsidR="00403024" w:rsidRPr="00403024">
        <w:rPr>
          <w:lang w:val="en-US"/>
        </w:rPr>
        <w:t>a</w:t>
      </w:r>
      <w:r w:rsidR="00403024" w:rsidRPr="00403024">
        <w:t>)</w:t>
      </w:r>
      <w:r w:rsidR="00403024" w:rsidRPr="00403024">
        <w:tab/>
      </w:r>
      <w:proofErr w:type="gramStart"/>
      <w:r w:rsidR="00403024" w:rsidRPr="00403024">
        <w:t>обеспечения</w:t>
      </w:r>
      <w:proofErr w:type="gramEnd"/>
      <w:r w:rsidR="00403024" w:rsidRPr="00403024">
        <w:t xml:space="preserve"> наличия достаточных ресурсов для осуществления программы работы по Конвенции на 2018−2021 годы, которая была принята решением </w:t>
      </w:r>
      <w:r w:rsidR="00403024" w:rsidRPr="00403024">
        <w:rPr>
          <w:lang w:val="en-US"/>
        </w:rPr>
        <w:t>VI</w:t>
      </w:r>
      <w:r w:rsidR="00403024" w:rsidRPr="00403024">
        <w:t>/…;</w:t>
      </w:r>
    </w:p>
    <w:p w:rsidR="00403024" w:rsidRPr="00403024" w:rsidRDefault="00450F34" w:rsidP="00403024">
      <w:pPr>
        <w:pStyle w:val="SingleTxtGR"/>
      </w:pPr>
      <w:r w:rsidRPr="00C678C5">
        <w:tab/>
      </w:r>
      <w:r w:rsidR="00403024" w:rsidRPr="00403024">
        <w:rPr>
          <w:lang w:val="en-US"/>
        </w:rPr>
        <w:t>b</w:t>
      </w:r>
      <w:r w:rsidR="00403024" w:rsidRPr="00403024">
        <w:t>)</w:t>
      </w:r>
      <w:r w:rsidR="00403024" w:rsidRPr="00403024">
        <w:tab/>
      </w:r>
      <w:proofErr w:type="gramStart"/>
      <w:r w:rsidR="00403024" w:rsidRPr="00403024">
        <w:t>обеспечения</w:t>
      </w:r>
      <w:proofErr w:type="gramEnd"/>
      <w:r w:rsidR="00403024" w:rsidRPr="00403024">
        <w:t xml:space="preserve"> того, чтобы система финансовых взносов являлась </w:t>
      </w:r>
      <w:proofErr w:type="spellStart"/>
      <w:r w:rsidR="00403024" w:rsidRPr="00403024">
        <w:t>транспарентной</w:t>
      </w:r>
      <w:proofErr w:type="spellEnd"/>
      <w:r w:rsidR="00403024" w:rsidRPr="00403024">
        <w:t xml:space="preserve"> и доступной для всех Сторон, </w:t>
      </w:r>
      <w:proofErr w:type="spellStart"/>
      <w:r w:rsidR="00403024" w:rsidRPr="00403024">
        <w:t>сигнатариев</w:t>
      </w:r>
      <w:proofErr w:type="spellEnd"/>
      <w:r w:rsidR="00403024" w:rsidRPr="00403024">
        <w:t xml:space="preserve"> и других государств и организаций, желающих вносить взносы;</w:t>
      </w:r>
    </w:p>
    <w:p w:rsidR="00403024" w:rsidRPr="00403024" w:rsidRDefault="00450F34" w:rsidP="00403024">
      <w:pPr>
        <w:pStyle w:val="SingleTxtGR"/>
      </w:pPr>
      <w:r w:rsidRPr="00C678C5">
        <w:tab/>
      </w:r>
      <w:r w:rsidR="00403024" w:rsidRPr="00403024">
        <w:rPr>
          <w:lang w:val="en-US"/>
        </w:rPr>
        <w:t>c</w:t>
      </w:r>
      <w:r w:rsidR="00403024" w:rsidRPr="00403024">
        <w:t>)</w:t>
      </w:r>
      <w:r w:rsidR="00403024" w:rsidRPr="00403024">
        <w:tab/>
      </w:r>
      <w:proofErr w:type="gramStart"/>
      <w:r w:rsidR="00403024" w:rsidRPr="00403024">
        <w:t>создания</w:t>
      </w:r>
      <w:proofErr w:type="gramEnd"/>
      <w:r w:rsidR="00403024" w:rsidRPr="00403024">
        <w:t xml:space="preserve"> финансовых механизмов согласно Конвенции, опира</w:t>
      </w:r>
      <w:r w:rsidR="00403024" w:rsidRPr="00403024">
        <w:t>ю</w:t>
      </w:r>
      <w:r w:rsidR="00403024" w:rsidRPr="00403024">
        <w:t>щихся на принципы справедливого распределения бремени расходов, стабил</w:t>
      </w:r>
      <w:r w:rsidR="00403024" w:rsidRPr="00403024">
        <w:t>ь</w:t>
      </w:r>
      <w:r w:rsidR="00403024" w:rsidRPr="00403024">
        <w:t>ности и прогнозируемости источников финансирования, подотчетности и рац</w:t>
      </w:r>
      <w:r w:rsidR="00403024" w:rsidRPr="00403024">
        <w:t>и</w:t>
      </w:r>
      <w:r w:rsidR="00403024" w:rsidRPr="00403024">
        <w:t xml:space="preserve">онального управления финансовой деятельностью, </w:t>
      </w:r>
    </w:p>
    <w:p w:rsidR="00403024" w:rsidRPr="00403024" w:rsidRDefault="00403024" w:rsidP="00403024">
      <w:pPr>
        <w:pStyle w:val="SingleTxtGR"/>
      </w:pPr>
      <w:r w:rsidRPr="00403024">
        <w:tab/>
        <w:t>[</w:t>
      </w:r>
      <w:r w:rsidRPr="00403024">
        <w:rPr>
          <w:i/>
        </w:rPr>
        <w:t>с сожалением отмечая</w:t>
      </w:r>
      <w:r w:rsidRPr="00403024">
        <w:t xml:space="preserve">, что бремя расходов в текущий межсессионный период распределяется неравномерно, причем определенное число Сторон и </w:t>
      </w:r>
      <w:proofErr w:type="spellStart"/>
      <w:r w:rsidRPr="00403024">
        <w:t>сигнатариев</w:t>
      </w:r>
      <w:proofErr w:type="spellEnd"/>
      <w:r w:rsidRPr="00403024">
        <w:t xml:space="preserve"> вообще не вносят взносов</w:t>
      </w:r>
      <w:proofErr w:type="gramStart"/>
      <w:r w:rsidRPr="00403024">
        <w:t>,]</w:t>
      </w:r>
      <w:proofErr w:type="gramEnd"/>
    </w:p>
    <w:p w:rsidR="00403024" w:rsidRPr="00403024" w:rsidRDefault="00403024" w:rsidP="00403024">
      <w:pPr>
        <w:pStyle w:val="SingleTxtGR"/>
      </w:pPr>
      <w:r w:rsidRPr="00403024">
        <w:tab/>
        <w:t>[</w:t>
      </w:r>
      <w:r w:rsidRPr="00403024">
        <w:rPr>
          <w:i/>
        </w:rPr>
        <w:t>полагая</w:t>
      </w:r>
      <w:r w:rsidRPr="00403024">
        <w:t>, что альтернативные варианты финансовых механизмов, де</w:t>
      </w:r>
      <w:r w:rsidRPr="00403024">
        <w:t>й</w:t>
      </w:r>
      <w:r w:rsidRPr="00403024">
        <w:t>ствующих в рамках Конвенции, будут рассмотрены Совещанием Сторон на его следующей сессии для обеспечения того, чтобы эти механизмы и далее удовл</w:t>
      </w:r>
      <w:r w:rsidRPr="00403024">
        <w:t>е</w:t>
      </w:r>
      <w:r w:rsidRPr="00403024">
        <w:t>творяли требованиям стабильности, предсказуемости и справедливого распр</w:t>
      </w:r>
      <w:r w:rsidRPr="00403024">
        <w:t>е</w:t>
      </w:r>
      <w:r w:rsidRPr="00403024">
        <w:t>деления бремени расходов</w:t>
      </w:r>
      <w:proofErr w:type="gramStart"/>
      <w:r w:rsidRPr="00403024">
        <w:t>,]</w:t>
      </w:r>
      <w:proofErr w:type="gramEnd"/>
    </w:p>
    <w:p w:rsidR="00403024" w:rsidRPr="00403024" w:rsidRDefault="00403024" w:rsidP="00403024">
      <w:pPr>
        <w:pStyle w:val="SingleTxtGR"/>
      </w:pPr>
      <w:r w:rsidRPr="00403024">
        <w:tab/>
        <w:t>1.</w:t>
      </w:r>
      <w:r w:rsidRPr="00403024">
        <w:tab/>
        <w:t>[</w:t>
      </w:r>
      <w:r w:rsidRPr="00E01A44">
        <w:rPr>
          <w:i/>
        </w:rPr>
        <w:t>соглашается</w:t>
      </w:r>
      <w:r w:rsidRPr="00403024">
        <w:t xml:space="preserve"> и впредь использовать существующую временную систему взносов] [</w:t>
      </w:r>
      <w:r w:rsidRPr="00E01A44">
        <w:rPr>
          <w:i/>
        </w:rPr>
        <w:t>учреждает</w:t>
      </w:r>
      <w:r w:rsidRPr="00403024">
        <w:t xml:space="preserve"> обязательную систему взносов] для покрытия расходов на те предусмотренные в программе работы виды деятельности, кот</w:t>
      </w:r>
      <w:r w:rsidRPr="00403024">
        <w:t>о</w:t>
      </w:r>
      <w:r w:rsidRPr="00403024">
        <w:t>рые не охватываются регулярным бюджетом Организации Объединенных Наций, на основе следующих принципов:</w:t>
      </w:r>
    </w:p>
    <w:p w:rsidR="00403024" w:rsidRPr="00403024" w:rsidRDefault="00450F34" w:rsidP="00403024">
      <w:pPr>
        <w:pStyle w:val="SingleTxtGR"/>
      </w:pPr>
      <w:r w:rsidRPr="00C678C5">
        <w:tab/>
      </w:r>
      <w:r w:rsidR="00403024" w:rsidRPr="00403024">
        <w:rPr>
          <w:lang w:val="en-US"/>
        </w:rPr>
        <w:t>a</w:t>
      </w:r>
      <w:r w:rsidR="00403024" w:rsidRPr="00403024">
        <w:t>)</w:t>
      </w:r>
      <w:r w:rsidR="00403024" w:rsidRPr="00403024">
        <w:tab/>
        <w:t>Сторонам следует стремиться коллективно обеспечивать с пом</w:t>
      </w:r>
      <w:r w:rsidR="00403024" w:rsidRPr="00403024">
        <w:t>о</w:t>
      </w:r>
      <w:r w:rsidR="00403024" w:rsidRPr="00403024">
        <w:t>щью этой финансовой системы покрытие расходов на те предусмотренные в программе работы виды деятельности, которые не охватываются регулярным бюджетом Организации Объединенных Наций;</w:t>
      </w:r>
    </w:p>
    <w:p w:rsidR="00403024" w:rsidRPr="00403024" w:rsidRDefault="00450F34" w:rsidP="00403024">
      <w:pPr>
        <w:pStyle w:val="SingleTxtGR"/>
      </w:pPr>
      <w:r w:rsidRPr="00C678C5">
        <w:tab/>
      </w:r>
      <w:proofErr w:type="gramStart"/>
      <w:r>
        <w:t>[</w:t>
      </w:r>
      <w:r w:rsidR="00403024" w:rsidRPr="00403024">
        <w:rPr>
          <w:lang w:val="en-GB"/>
        </w:rPr>
        <w:t>b</w:t>
      </w:r>
      <w:r w:rsidR="00403024" w:rsidRPr="00403024">
        <w:t>)</w:t>
      </w:r>
      <w:r w:rsidR="00403024" w:rsidRPr="00403024">
        <w:tab/>
        <w:t xml:space="preserve">бремя расходов на осуществление деятельности распределяется между Сторонами и </w:t>
      </w:r>
      <w:proofErr w:type="spellStart"/>
      <w:r w:rsidR="00403024" w:rsidRPr="00403024">
        <w:t>сигнатариями</w:t>
      </w:r>
      <w:proofErr w:type="spellEnd"/>
      <w:r w:rsidR="00403024" w:rsidRPr="00403024">
        <w:t xml:space="preserve"> Конвенции пропорционально шкале взносов </w:t>
      </w:r>
      <w:r w:rsidR="00403024" w:rsidRPr="00403024">
        <w:lastRenderedPageBreak/>
        <w:t>Организации Объединенных Наций</w:t>
      </w:r>
      <w:r w:rsidR="00403024" w:rsidRPr="00403024">
        <w:rPr>
          <w:vertAlign w:val="superscript"/>
          <w:lang w:val="en-GB"/>
        </w:rPr>
        <w:footnoteReference w:id="2"/>
      </w:r>
      <w:r w:rsidR="00E01A44" w:rsidRPr="00403024">
        <w:t>,</w:t>
      </w:r>
      <w:r w:rsidR="00403024" w:rsidRPr="00403024">
        <w:t xml:space="preserve"> причем ориентировочный размер взноса каждой Стороны на 2018 год указан в приложении к настоящему решению;</w:t>
      </w:r>
      <w:proofErr w:type="gramEnd"/>
    </w:p>
    <w:p w:rsidR="00403024" w:rsidRPr="00403024" w:rsidRDefault="00450F34" w:rsidP="00403024">
      <w:pPr>
        <w:pStyle w:val="SingleTxtGR"/>
      </w:pPr>
      <w:r w:rsidRPr="00E01A44">
        <w:tab/>
      </w:r>
      <w:r w:rsidR="00403024" w:rsidRPr="00403024">
        <w:rPr>
          <w:lang w:val="en-GB"/>
        </w:rPr>
        <w:t>c</w:t>
      </w:r>
      <w:r w:rsidR="00403024" w:rsidRPr="00403024">
        <w:t>)</w:t>
      </w:r>
      <w:r w:rsidR="00403024" w:rsidRPr="00403024">
        <w:tab/>
        <w:t xml:space="preserve">шкала взносов должна корректироваться таким образом, чтобы ни одна Сторона или </w:t>
      </w:r>
      <w:proofErr w:type="spellStart"/>
      <w:r w:rsidR="00403024" w:rsidRPr="00403024">
        <w:t>сигнатарий</w:t>
      </w:r>
      <w:proofErr w:type="spellEnd"/>
      <w:r w:rsidR="00403024" w:rsidRPr="00403024">
        <w:t xml:space="preserve"> не производили взносов в размере, превыша</w:t>
      </w:r>
      <w:r w:rsidR="00403024" w:rsidRPr="00403024">
        <w:t>ю</w:t>
      </w:r>
      <w:r w:rsidR="00403024" w:rsidRPr="00403024">
        <w:t>щем 22%</w:t>
      </w:r>
      <w:r w:rsidR="00403024" w:rsidRPr="00403024">
        <w:rPr>
          <w:vertAlign w:val="superscript"/>
          <w:lang w:val="en-GB"/>
        </w:rPr>
        <w:footnoteReference w:id="3"/>
      </w:r>
      <w:r w:rsidR="00403024" w:rsidRPr="00403024">
        <w:t xml:space="preserve"> сметных расходов, покрываемых с помощью системы взносов;</w:t>
      </w:r>
    </w:p>
    <w:p w:rsidR="00403024" w:rsidRPr="00403024" w:rsidRDefault="00450F34" w:rsidP="00403024">
      <w:pPr>
        <w:pStyle w:val="SingleTxtGR"/>
      </w:pPr>
      <w:r w:rsidRPr="00C678C5">
        <w:tab/>
      </w:r>
      <w:r w:rsidR="00403024" w:rsidRPr="00403024">
        <w:rPr>
          <w:lang w:val="en-GB"/>
        </w:rPr>
        <w:t>d</w:t>
      </w:r>
      <w:r w:rsidR="00403024" w:rsidRPr="00403024">
        <w:t>)</w:t>
      </w:r>
      <w:r w:rsidR="00403024" w:rsidRPr="00403024">
        <w:tab/>
        <w:t xml:space="preserve">каждая Сторона или </w:t>
      </w:r>
      <w:proofErr w:type="spellStart"/>
      <w:r w:rsidR="00403024" w:rsidRPr="00403024">
        <w:t>сигнатарий</w:t>
      </w:r>
      <w:proofErr w:type="spellEnd"/>
      <w:r w:rsidR="00403024" w:rsidRPr="00403024">
        <w:t xml:space="preserve"> ежегодно вносит как минимум сумму, рассчитанную на основе применения скорректированной шкалы взн</w:t>
      </w:r>
      <w:r w:rsidR="00403024" w:rsidRPr="00403024">
        <w:t>о</w:t>
      </w:r>
      <w:r w:rsidR="00403024" w:rsidRPr="00403024">
        <w:t>сов, ука</w:t>
      </w:r>
      <w:r w:rsidR="00937157">
        <w:t>зываемой в подпункте</w:t>
      </w:r>
      <w:r w:rsidR="00937157" w:rsidRPr="00937157">
        <w:t xml:space="preserve"> </w:t>
      </w:r>
      <w:r w:rsidR="00403024" w:rsidRPr="00403024">
        <w:t xml:space="preserve">… , для покрытия всех сметных расходов на осуществление деятельности, однако размер каждого взноса не должен быть меньше того, который указывается в пункте </w:t>
      </w:r>
      <w:r w:rsidR="00403024" w:rsidRPr="00403024">
        <w:rPr>
          <w:lang w:val="en-GB"/>
        </w:rPr>
        <w:t>xxx</w:t>
      </w:r>
      <w:r w:rsidR="00403024" w:rsidRPr="00403024">
        <w:t>;]</w:t>
      </w:r>
    </w:p>
    <w:p w:rsidR="00403024" w:rsidRPr="00403024" w:rsidRDefault="00450F34" w:rsidP="00403024">
      <w:pPr>
        <w:pStyle w:val="SingleTxtGR"/>
      </w:pPr>
      <w:r w:rsidRPr="00937157">
        <w:tab/>
      </w:r>
      <w:r w:rsidR="00403024" w:rsidRPr="00403024">
        <w:t>[</w:t>
      </w:r>
      <w:r w:rsidR="00403024" w:rsidRPr="00403024">
        <w:rPr>
          <w:lang w:val="en-US"/>
        </w:rPr>
        <w:t>b</w:t>
      </w:r>
      <w:r w:rsidR="00403024" w:rsidRPr="00403024">
        <w:t>)]</w:t>
      </w:r>
      <w:r w:rsidR="00403024" w:rsidRPr="00403024">
        <w:tab/>
        <w:t xml:space="preserve">ожидается, что ни у одной из Сторон и ни у одного из </w:t>
      </w:r>
      <w:proofErr w:type="spellStart"/>
      <w:r w:rsidR="00403024" w:rsidRPr="00403024">
        <w:t>сигнатариев</w:t>
      </w:r>
      <w:proofErr w:type="spellEnd"/>
      <w:r w:rsidR="00403024" w:rsidRPr="00403024">
        <w:t xml:space="preserve"> взнос на программу работы по Конвенции за конкретный календарный год не будет составлять менее 500 долл. США;</w:t>
      </w:r>
    </w:p>
    <w:p w:rsidR="00403024" w:rsidRPr="00403024" w:rsidRDefault="00450F34" w:rsidP="00403024">
      <w:pPr>
        <w:pStyle w:val="SingleTxtGR"/>
      </w:pPr>
      <w:r w:rsidRPr="00C678C5">
        <w:tab/>
      </w:r>
      <w:r w:rsidR="00403024" w:rsidRPr="00403024">
        <w:t>[</w:t>
      </w:r>
      <w:r w:rsidR="00403024" w:rsidRPr="00403024">
        <w:rPr>
          <w:lang w:val="en-US"/>
        </w:rPr>
        <w:t>c</w:t>
      </w:r>
      <w:r w:rsidR="00403024" w:rsidRPr="00403024">
        <w:t>)]</w:t>
      </w:r>
      <w:r w:rsidR="00403024" w:rsidRPr="00403024">
        <w:tab/>
        <w:t>взносы вносятся наличными и не резервируются для того или ин</w:t>
      </w:r>
      <w:r w:rsidR="00403024" w:rsidRPr="00403024">
        <w:t>о</w:t>
      </w:r>
      <w:r w:rsidR="00403024" w:rsidRPr="00403024">
        <w:t>го конкретного вида деятельности;</w:t>
      </w:r>
    </w:p>
    <w:p w:rsidR="00403024" w:rsidRPr="00403024" w:rsidRDefault="00450F34" w:rsidP="00403024">
      <w:pPr>
        <w:pStyle w:val="SingleTxtGR"/>
      </w:pPr>
      <w:r w:rsidRPr="00C678C5">
        <w:tab/>
      </w:r>
      <w:r w:rsidR="00403024" w:rsidRPr="00403024">
        <w:t>[</w:t>
      </w:r>
      <w:r w:rsidR="00403024" w:rsidRPr="00403024">
        <w:rPr>
          <w:lang w:val="en-US"/>
        </w:rPr>
        <w:t>d</w:t>
      </w:r>
      <w:r w:rsidR="00403024" w:rsidRPr="00403024">
        <w:t>)]</w:t>
      </w:r>
      <w:r w:rsidR="00403024" w:rsidRPr="00403024">
        <w:tab/>
        <w:t>дополнительные взносы могут производиться наличными или натурой и могут резервироваться для какого-либо конкретного вида деятельн</w:t>
      </w:r>
      <w:r w:rsidR="00403024" w:rsidRPr="00403024">
        <w:t>о</w:t>
      </w:r>
      <w:r w:rsidR="00403024" w:rsidRPr="00403024">
        <w:t>сти;</w:t>
      </w:r>
    </w:p>
    <w:p w:rsidR="00403024" w:rsidRPr="00403024" w:rsidRDefault="00450F34" w:rsidP="00403024">
      <w:pPr>
        <w:pStyle w:val="SingleTxtGR"/>
      </w:pPr>
      <w:r w:rsidRPr="00C678C5">
        <w:tab/>
      </w:r>
      <w:r w:rsidR="00403024" w:rsidRPr="00403024">
        <w:t>[</w:t>
      </w:r>
      <w:r w:rsidR="00403024" w:rsidRPr="00403024">
        <w:rPr>
          <w:lang w:val="en-US"/>
        </w:rPr>
        <w:t>e</w:t>
      </w:r>
      <w:r w:rsidR="00403024" w:rsidRPr="00403024">
        <w:t>)]</w:t>
      </w:r>
      <w:r w:rsidR="00403024" w:rsidRPr="00403024">
        <w:tab/>
        <w:t xml:space="preserve">взносы наличными производятся через Целевой фонд Европейской экономической комиссии Организации Объединенных Наций для технического сотрудничества на местном уровне (проект Орхусской конвенции); </w:t>
      </w:r>
    </w:p>
    <w:p w:rsidR="00403024" w:rsidRPr="00403024" w:rsidRDefault="00450F34" w:rsidP="00403024">
      <w:pPr>
        <w:pStyle w:val="SingleTxtGR"/>
      </w:pPr>
      <w:r w:rsidRPr="00C678C5">
        <w:tab/>
      </w:r>
      <w:proofErr w:type="gramStart"/>
      <w:r w:rsidR="00403024" w:rsidRPr="00403024">
        <w:t>[</w:t>
      </w:r>
      <w:r w:rsidR="00403024" w:rsidRPr="00403024">
        <w:rPr>
          <w:lang w:val="en-US"/>
        </w:rPr>
        <w:t>f</w:t>
      </w:r>
      <w:r w:rsidR="00403024" w:rsidRPr="00403024">
        <w:t>)]</w:t>
      </w:r>
      <w:r w:rsidR="00403024" w:rsidRPr="00403024">
        <w:tab/>
        <w:t>если это допускается внутренними бюджетными процедурами Ст</w:t>
      </w:r>
      <w:r w:rsidR="00403024" w:rsidRPr="00403024">
        <w:t>о</w:t>
      </w:r>
      <w:r w:rsidR="00403024" w:rsidRPr="00403024">
        <w:t>рон, взносы за конкретный календарный год должны вноситься до 1 октября предшествующего ему года, а когда это невозможно, в качестве альтернативн</w:t>
      </w:r>
      <w:r w:rsidR="00403024" w:rsidRPr="00403024">
        <w:t>о</w:t>
      </w:r>
      <w:r w:rsidR="00403024" w:rsidRPr="00403024">
        <w:t>го варианта рекомендуется вносить взносы в течение первых шести месяцев календарного года, с тем чтобы обеспечить оплату расходов на персонал в ц</w:t>
      </w:r>
      <w:r w:rsidR="00403024" w:rsidRPr="00403024">
        <w:t>е</w:t>
      </w:r>
      <w:r w:rsidR="00403024" w:rsidRPr="00403024">
        <w:t>лях бесперебойного функционирования секретариата в качестве одной из при</w:t>
      </w:r>
      <w:r w:rsidR="00403024" w:rsidRPr="00403024">
        <w:t>о</w:t>
      </w:r>
      <w:r w:rsidR="00403024" w:rsidRPr="00403024">
        <w:t>ритетных задач, а также</w:t>
      </w:r>
      <w:proofErr w:type="gramEnd"/>
      <w:r w:rsidR="00403024" w:rsidRPr="00403024">
        <w:t xml:space="preserve"> своевременное и эффективное осуществление приор</w:t>
      </w:r>
      <w:r w:rsidR="00403024" w:rsidRPr="00403024">
        <w:t>и</w:t>
      </w:r>
      <w:r w:rsidR="00403024" w:rsidRPr="00403024">
        <w:t>тетных видов деятельности соответствующей программы работы;</w:t>
      </w:r>
    </w:p>
    <w:p w:rsidR="00403024" w:rsidRPr="00403024" w:rsidRDefault="00450F34" w:rsidP="00403024">
      <w:pPr>
        <w:pStyle w:val="SingleTxtGR"/>
      </w:pPr>
      <w:r w:rsidRPr="00C678C5">
        <w:tab/>
      </w:r>
      <w:r w:rsidR="00403024" w:rsidRPr="00403024">
        <w:t>[</w:t>
      </w:r>
      <w:r w:rsidR="00403024" w:rsidRPr="00403024">
        <w:rPr>
          <w:lang w:val="en-US"/>
        </w:rPr>
        <w:t>g</w:t>
      </w:r>
      <w:r w:rsidR="00403024" w:rsidRPr="00403024">
        <w:t>)]</w:t>
      </w:r>
      <w:r w:rsidR="00403024" w:rsidRPr="00403024">
        <w:tab/>
        <w:t>Стороны объявляют, когда это возможно, до принятия программы работы Совещанием Сторон, о своих ожидаемых финансовых взносах и взн</w:t>
      </w:r>
      <w:r w:rsidR="00403024" w:rsidRPr="00403024">
        <w:t>о</w:t>
      </w:r>
      <w:r w:rsidR="00403024" w:rsidRPr="00403024">
        <w:t>сах натурой в годовом или многогодовом исчислении. Изъявить желание ук</w:t>
      </w:r>
      <w:r w:rsidR="00403024" w:rsidRPr="00403024">
        <w:t>а</w:t>
      </w:r>
      <w:r w:rsidR="00403024" w:rsidRPr="00403024">
        <w:t xml:space="preserve">зать размеры своих ожидаемых взносов могут также </w:t>
      </w:r>
      <w:proofErr w:type="spellStart"/>
      <w:r w:rsidR="00403024" w:rsidRPr="00403024">
        <w:t>сигнатарии</w:t>
      </w:r>
      <w:proofErr w:type="spellEnd"/>
      <w:r w:rsidR="00403024" w:rsidRPr="00403024">
        <w:t>, другие заи</w:t>
      </w:r>
      <w:r w:rsidR="00403024" w:rsidRPr="00403024">
        <w:t>н</w:t>
      </w:r>
      <w:r w:rsidR="00403024" w:rsidRPr="00403024">
        <w:t>тересованные государства и организации;</w:t>
      </w:r>
    </w:p>
    <w:p w:rsidR="00403024" w:rsidRPr="00403024" w:rsidRDefault="00403024" w:rsidP="00403024">
      <w:pPr>
        <w:pStyle w:val="SingleTxtGR"/>
      </w:pPr>
      <w:r w:rsidRPr="00403024">
        <w:tab/>
        <w:t>2.</w:t>
      </w:r>
      <w:r w:rsidRPr="00403024">
        <w:tab/>
      </w:r>
      <w:r w:rsidRPr="00403024">
        <w:rPr>
          <w:i/>
        </w:rPr>
        <w:t>просит</w:t>
      </w:r>
      <w:r w:rsidRPr="00403024">
        <w:t xml:space="preserve"> Стороны вносить ежегодно взносы или производить взносы в многогодовом исчислении для покрытия расходов на осуществление видов деятельности согласно программе работы в соответствии со схемой, изложе</w:t>
      </w:r>
      <w:r w:rsidRPr="00403024">
        <w:t>н</w:t>
      </w:r>
      <w:r w:rsidRPr="00403024">
        <w:t>ной в пункте 1;</w:t>
      </w:r>
    </w:p>
    <w:p w:rsidR="00403024" w:rsidRPr="00403024" w:rsidRDefault="00403024" w:rsidP="00403024">
      <w:pPr>
        <w:pStyle w:val="SingleTxtGR"/>
      </w:pPr>
      <w:r w:rsidRPr="00403024">
        <w:lastRenderedPageBreak/>
        <w:tab/>
        <w:t>3.</w:t>
      </w:r>
      <w:r w:rsidRPr="00403024">
        <w:tab/>
      </w:r>
      <w:r w:rsidRPr="00403024">
        <w:rPr>
          <w:i/>
        </w:rPr>
        <w:t>предлагает</w:t>
      </w:r>
      <w:r w:rsidRPr="00403024">
        <w:t xml:space="preserve"> </w:t>
      </w:r>
      <w:proofErr w:type="spellStart"/>
      <w:r w:rsidRPr="00403024">
        <w:t>сигнатариям</w:t>
      </w:r>
      <w:proofErr w:type="spellEnd"/>
      <w:r w:rsidRPr="00403024">
        <w:t>, другим заинтересованным государствам и государственным структурам, а также частному сектору в соответствии с Пер</w:t>
      </w:r>
      <w:r w:rsidRPr="00403024">
        <w:t>е</w:t>
      </w:r>
      <w:r w:rsidRPr="00403024">
        <w:t>смотренными руководящими принципами сотрудничества между Организацией Объединенных Наций и деловым сектором</w:t>
      </w:r>
      <w:r w:rsidRPr="00403024">
        <w:rPr>
          <w:vertAlign w:val="superscript"/>
          <w:lang w:val="en-GB"/>
        </w:rPr>
        <w:footnoteReference w:id="4"/>
      </w:r>
      <w:r w:rsidRPr="00403024">
        <w:t xml:space="preserve"> вносить взносы для покрытия ра</w:t>
      </w:r>
      <w:r w:rsidRPr="00403024">
        <w:t>с</w:t>
      </w:r>
      <w:r w:rsidRPr="00403024">
        <w:t>ходов на программу работы наличными или натурой;</w:t>
      </w:r>
    </w:p>
    <w:p w:rsidR="00403024" w:rsidRPr="00403024" w:rsidRDefault="00403024" w:rsidP="00403024">
      <w:pPr>
        <w:pStyle w:val="SingleTxtGR"/>
      </w:pPr>
      <w:r w:rsidRPr="00403024">
        <w:tab/>
        <w:t>4.</w:t>
      </w:r>
      <w:r w:rsidRPr="00403024">
        <w:tab/>
      </w:r>
      <w:r w:rsidRPr="00403024">
        <w:rPr>
          <w:i/>
        </w:rPr>
        <w:t>призывает</w:t>
      </w:r>
      <w:r w:rsidRPr="00403024">
        <w:t xml:space="preserve"> страны с переходной экономикой в максимально во</w:t>
      </w:r>
      <w:r w:rsidRPr="00403024">
        <w:t>з</w:t>
      </w:r>
      <w:r w:rsidRPr="00403024">
        <w:t>можной степени финансировать свое собственное участие в проводимой де</w:t>
      </w:r>
      <w:r w:rsidRPr="00403024">
        <w:t>я</w:t>
      </w:r>
      <w:r w:rsidRPr="00403024">
        <w:t>тельности;</w:t>
      </w:r>
    </w:p>
    <w:p w:rsidR="00403024" w:rsidRPr="00403024" w:rsidRDefault="00403024" w:rsidP="00403024">
      <w:pPr>
        <w:pStyle w:val="SingleTxtGR"/>
      </w:pPr>
      <w:r w:rsidRPr="00403024">
        <w:tab/>
        <w:t>5.</w:t>
      </w:r>
      <w:r w:rsidRPr="00403024">
        <w:tab/>
      </w:r>
      <w:r w:rsidRPr="00403024">
        <w:rPr>
          <w:i/>
        </w:rPr>
        <w:t>призывает</w:t>
      </w:r>
      <w:r w:rsidRPr="00403024">
        <w:t xml:space="preserve"> международные организации, действующие в странах с переходной экономикой, поддерживать участие представителей этих стран и неправительственных организаций в совещаниях и других мероприятиях;</w:t>
      </w:r>
    </w:p>
    <w:p w:rsidR="00403024" w:rsidRPr="00403024" w:rsidRDefault="00403024" w:rsidP="00403024">
      <w:pPr>
        <w:pStyle w:val="SingleTxtGR"/>
        <w:rPr>
          <w:u w:val="single"/>
        </w:rPr>
      </w:pPr>
      <w:r w:rsidRPr="00403024">
        <w:tab/>
        <w:t>6.</w:t>
      </w:r>
      <w:r w:rsidRPr="00403024">
        <w:tab/>
      </w:r>
      <w:r w:rsidRPr="00403024">
        <w:rPr>
          <w:i/>
        </w:rPr>
        <w:t>призывает</w:t>
      </w:r>
      <w:r w:rsidRPr="00403024">
        <w:t xml:space="preserve"> Стороны, которые в соответствии с исторически сл</w:t>
      </w:r>
      <w:r w:rsidRPr="00403024">
        <w:t>о</w:t>
      </w:r>
      <w:r w:rsidRPr="00403024">
        <w:t>жившейся практикой вносили щедрые взносы, сохранять свои прежние уровни взносов или вернуться к ним;</w:t>
      </w:r>
    </w:p>
    <w:p w:rsidR="00403024" w:rsidRPr="00403024" w:rsidRDefault="00403024" w:rsidP="00403024">
      <w:pPr>
        <w:pStyle w:val="SingleTxtGR"/>
      </w:pPr>
      <w:r w:rsidRPr="00403024">
        <w:tab/>
        <w:t>7.</w:t>
      </w:r>
      <w:r w:rsidRPr="00403024">
        <w:tab/>
      </w:r>
      <w:r w:rsidRPr="00403024">
        <w:rPr>
          <w:i/>
        </w:rPr>
        <w:t>просит</w:t>
      </w:r>
      <w:r w:rsidRPr="00403024">
        <w:t xml:space="preserve"> все Стороны обеспечить справедливое распределение ф</w:t>
      </w:r>
      <w:r w:rsidRPr="00403024">
        <w:t>и</w:t>
      </w:r>
      <w:r w:rsidRPr="00403024">
        <w:t>нансовой ответственности за осуществление программы работы и просит Пр</w:t>
      </w:r>
      <w:r w:rsidRPr="00403024">
        <w:t>е</w:t>
      </w:r>
      <w:r w:rsidRPr="00403024">
        <w:t>зидиум связываться со Сторонами в соответствующих случаях на предмет д</w:t>
      </w:r>
      <w:r w:rsidRPr="00403024">
        <w:t>о</w:t>
      </w:r>
      <w:r w:rsidRPr="00403024">
        <w:t>стижения этой цели;</w:t>
      </w:r>
      <w:r w:rsidRPr="00403024">
        <w:rPr>
          <w:i/>
        </w:rPr>
        <w:t xml:space="preserve"> </w:t>
      </w:r>
    </w:p>
    <w:p w:rsidR="00403024" w:rsidRPr="00403024" w:rsidRDefault="00403024" w:rsidP="00403024">
      <w:pPr>
        <w:pStyle w:val="SingleTxtGR"/>
      </w:pPr>
      <w:r w:rsidRPr="00403024">
        <w:tab/>
      </w:r>
      <w:proofErr w:type="gramStart"/>
      <w:r w:rsidRPr="00403024">
        <w:t>8.</w:t>
      </w:r>
      <w:r w:rsidRPr="00403024">
        <w:tab/>
      </w:r>
      <w:r w:rsidRPr="00403024">
        <w:rPr>
          <w:i/>
        </w:rPr>
        <w:t>поручает</w:t>
      </w:r>
      <w:r w:rsidRPr="00403024">
        <w:t xml:space="preserve"> секретариату в соответствии с финансовыми правилами Организации Объединенных Наций выделять в Целевой фонд Конвенции к 1</w:t>
      </w:r>
      <w:r w:rsidR="00907B23">
        <w:rPr>
          <w:lang w:val="en-US"/>
        </w:rPr>
        <w:t> </w:t>
      </w:r>
      <w:r w:rsidRPr="00403024">
        <w:t>октября каждого года на приоритетной основе средства, требующиеся для продления срока действия контрактов внебюджетного персонала секретариата на предстоящий год, а также для покрытия расходов, необходимых для ос</w:t>
      </w:r>
      <w:r w:rsidRPr="00403024">
        <w:t>у</w:t>
      </w:r>
      <w:r w:rsidRPr="00403024">
        <w:t>ществления деятельности в первом квартале предстоящего года;</w:t>
      </w:r>
      <w:proofErr w:type="gramEnd"/>
    </w:p>
    <w:p w:rsidR="00403024" w:rsidRPr="00403024" w:rsidRDefault="00403024" w:rsidP="00403024">
      <w:pPr>
        <w:pStyle w:val="SingleTxtGR"/>
      </w:pPr>
      <w:r w:rsidRPr="00403024">
        <w:tab/>
        <w:t>9.</w:t>
      </w:r>
      <w:r w:rsidRPr="00403024">
        <w:tab/>
      </w:r>
      <w:r w:rsidRPr="00403024">
        <w:rPr>
          <w:i/>
        </w:rPr>
        <w:t>просит также</w:t>
      </w:r>
      <w:r w:rsidRPr="00403024">
        <w:t xml:space="preserve"> секретариат в соответствии с финансовыми прав</w:t>
      </w:r>
      <w:r w:rsidRPr="00403024">
        <w:t>и</w:t>
      </w:r>
      <w:r w:rsidRPr="00403024">
        <w:t>лами Организации Объединенных Наций контролировать расходование фина</w:t>
      </w:r>
      <w:r w:rsidRPr="00403024">
        <w:t>н</w:t>
      </w:r>
      <w:r w:rsidRPr="00403024">
        <w:t>совых средств и подготавливать ежегодные доклады с указанием конкретных размеров взносов и любых изменений, касающихся:</w:t>
      </w:r>
    </w:p>
    <w:p w:rsidR="00403024" w:rsidRPr="00403024" w:rsidRDefault="00450F34" w:rsidP="00403024">
      <w:pPr>
        <w:pStyle w:val="SingleTxtGR"/>
      </w:pPr>
      <w:r w:rsidRPr="00C678C5">
        <w:tab/>
      </w:r>
      <w:r w:rsidR="00403024" w:rsidRPr="00403024">
        <w:rPr>
          <w:lang w:val="en-US"/>
        </w:rPr>
        <w:t>a</w:t>
      </w:r>
      <w:r w:rsidR="00403024" w:rsidRPr="00403024">
        <w:t>)</w:t>
      </w:r>
      <w:r w:rsidR="00403024" w:rsidRPr="00403024">
        <w:tab/>
      </w:r>
      <w:proofErr w:type="gramStart"/>
      <w:r w:rsidR="00403024" w:rsidRPr="00403024">
        <w:t>сметных</w:t>
      </w:r>
      <w:proofErr w:type="gramEnd"/>
      <w:r w:rsidR="00403024" w:rsidRPr="00403024">
        <w:t xml:space="preserve"> расходов на осуществление деятельности на следующий календарный год; </w:t>
      </w:r>
    </w:p>
    <w:p w:rsidR="00403024" w:rsidRPr="00403024" w:rsidRDefault="00450F34" w:rsidP="00403024">
      <w:pPr>
        <w:pStyle w:val="SingleTxtGR"/>
      </w:pPr>
      <w:r w:rsidRPr="00C678C5">
        <w:tab/>
      </w:r>
      <w:r w:rsidR="00403024" w:rsidRPr="00403024">
        <w:rPr>
          <w:lang w:val="en-US"/>
        </w:rPr>
        <w:t>b</w:t>
      </w:r>
      <w:r w:rsidR="00403024" w:rsidRPr="00403024">
        <w:t>)</w:t>
      </w:r>
      <w:r w:rsidR="00403024" w:rsidRPr="00403024">
        <w:tab/>
      </w:r>
      <w:proofErr w:type="gramStart"/>
      <w:r w:rsidR="00403024" w:rsidRPr="00403024">
        <w:t>состава</w:t>
      </w:r>
      <w:proofErr w:type="gramEnd"/>
      <w:r w:rsidR="00403024" w:rsidRPr="00403024">
        <w:t xml:space="preserve"> Сторон для учета Рабочей группой Сторон с целью обесп</w:t>
      </w:r>
      <w:r w:rsidR="00403024" w:rsidRPr="00403024">
        <w:t>е</w:t>
      </w:r>
      <w:r w:rsidR="00403024" w:rsidRPr="00403024">
        <w:t>чить, чтобы уровень взносов соответствовал уровню финансирования, необх</w:t>
      </w:r>
      <w:r w:rsidR="00403024" w:rsidRPr="00403024">
        <w:t>о</w:t>
      </w:r>
      <w:r w:rsidR="00403024" w:rsidRPr="00403024">
        <w:t>димого для осуществления программы работы;</w:t>
      </w:r>
    </w:p>
    <w:p w:rsidR="00403024" w:rsidRPr="00403024" w:rsidRDefault="00403024" w:rsidP="00403024">
      <w:pPr>
        <w:pStyle w:val="SingleTxtGR"/>
      </w:pPr>
      <w:r w:rsidRPr="00403024">
        <w:tab/>
        <w:t>10.</w:t>
      </w:r>
      <w:r w:rsidRPr="00403024">
        <w:rPr>
          <w:i/>
        </w:rPr>
        <w:tab/>
        <w:t>поручает</w:t>
      </w:r>
      <w:r w:rsidRPr="00403024">
        <w:t xml:space="preserve"> Рабочей группе Сторон изучать с учетом этих ежегодных докладов вопрос о целесообразности изменения содержания или сроков ос</w:t>
      </w:r>
      <w:r w:rsidRPr="00403024">
        <w:t>у</w:t>
      </w:r>
      <w:r w:rsidRPr="00403024">
        <w:t>ществления программы работы в том случае, если уровень фактических и/или объявленных взносов не будет соответствовать требуемому уровню финансир</w:t>
      </w:r>
      <w:r w:rsidRPr="00403024">
        <w:t>о</w:t>
      </w:r>
      <w:r w:rsidRPr="00403024">
        <w:t>вания;</w:t>
      </w:r>
    </w:p>
    <w:p w:rsidR="00403024" w:rsidRPr="00403024" w:rsidRDefault="00403024" w:rsidP="00403024">
      <w:pPr>
        <w:pStyle w:val="SingleTxtGR"/>
      </w:pPr>
      <w:r w:rsidRPr="00403024">
        <w:tab/>
        <w:t>11.</w:t>
      </w:r>
      <w:r w:rsidRPr="00403024">
        <w:tab/>
      </w:r>
      <w:r w:rsidRPr="00403024">
        <w:rPr>
          <w:i/>
        </w:rPr>
        <w:t xml:space="preserve">просит </w:t>
      </w:r>
      <w:r w:rsidRPr="00403024">
        <w:t>секретариат подготавливать для каждой сессии Совещания Сторон всеобъемлющий доклад по финансовым вопросам, включая в него и</w:t>
      </w:r>
      <w:r w:rsidRPr="00403024">
        <w:t>н</w:t>
      </w:r>
      <w:r w:rsidRPr="00403024">
        <w:t>формацию о размерах взносов Сторон и других участвующих государств и о</w:t>
      </w:r>
      <w:r w:rsidRPr="00403024">
        <w:t>р</w:t>
      </w:r>
      <w:r w:rsidRPr="00403024">
        <w:t>ганизаций в бюджет Конвенции наличными и натурой, а также о том, каким о</w:t>
      </w:r>
      <w:r w:rsidRPr="00403024">
        <w:t>б</w:t>
      </w:r>
      <w:r w:rsidRPr="00403024">
        <w:t>разом эти взносы были израсходованы;</w:t>
      </w:r>
    </w:p>
    <w:p w:rsidR="00403024" w:rsidRPr="00403024" w:rsidRDefault="00403024" w:rsidP="00403024">
      <w:pPr>
        <w:pStyle w:val="SingleTxtGR"/>
      </w:pPr>
      <w:r w:rsidRPr="00403024">
        <w:lastRenderedPageBreak/>
        <w:tab/>
        <w:t>12.</w:t>
      </w:r>
      <w:r w:rsidRPr="00403024">
        <w:tab/>
      </w:r>
      <w:r w:rsidRPr="00B810E9">
        <w:rPr>
          <w:i/>
        </w:rPr>
        <w:t>постановляет</w:t>
      </w:r>
      <w:r w:rsidRPr="00403024">
        <w:t xml:space="preserve"> рассмотреть вопрос о функционировании системы финансовых механизмов на своей седьмой сессии;</w:t>
      </w:r>
    </w:p>
    <w:p w:rsidR="00403024" w:rsidRPr="00403024" w:rsidRDefault="00403024" w:rsidP="00403024">
      <w:pPr>
        <w:pStyle w:val="SingleTxtGR"/>
      </w:pPr>
      <w:r w:rsidRPr="00403024">
        <w:tab/>
        <w:t>13.</w:t>
      </w:r>
      <w:r w:rsidRPr="00403024">
        <w:tab/>
      </w:r>
      <w:r w:rsidRPr="00B810E9">
        <w:rPr>
          <w:i/>
        </w:rPr>
        <w:t>поручает</w:t>
      </w:r>
      <w:r w:rsidRPr="00403024">
        <w:t xml:space="preserve"> Президиуму и Рабочей группе Сторон изучить в течение следующего межсессионного периода варианты обеспечения более предсказу</w:t>
      </w:r>
      <w:r w:rsidRPr="00403024">
        <w:t>е</w:t>
      </w:r>
      <w:r w:rsidRPr="00403024">
        <w:t>мого, стабильного и справедливого по распределению бремени финансирования и просит их внести соответствующие предложения для рассмотрения Совещ</w:t>
      </w:r>
      <w:r w:rsidRPr="00403024">
        <w:t>а</w:t>
      </w:r>
      <w:r w:rsidRPr="00403024">
        <w:t>нием Сторон на его седьмой сессии;</w:t>
      </w:r>
    </w:p>
    <w:p w:rsidR="00403024" w:rsidRPr="00C678C5" w:rsidRDefault="00403024" w:rsidP="00403024">
      <w:pPr>
        <w:pStyle w:val="SingleTxtGR"/>
      </w:pPr>
      <w:r w:rsidRPr="00403024">
        <w:tab/>
        <w:t>14.</w:t>
      </w:r>
      <w:r w:rsidRPr="00403024">
        <w:tab/>
      </w:r>
      <w:r w:rsidRPr="00B810E9">
        <w:rPr>
          <w:i/>
        </w:rPr>
        <w:t>просит</w:t>
      </w:r>
      <w:r w:rsidRPr="00403024">
        <w:t xml:space="preserve"> Европейскую экономическую комиссию Организации Об</w:t>
      </w:r>
      <w:r w:rsidRPr="00403024">
        <w:t>ъ</w:t>
      </w:r>
      <w:r w:rsidRPr="00403024">
        <w:t>единенных Наций выделять больше ресурсов на поддержку работы по Конве</w:t>
      </w:r>
      <w:r w:rsidRPr="00403024">
        <w:t>н</w:t>
      </w:r>
      <w:r w:rsidRPr="00403024">
        <w:t>ции, отмечая в этой связи положительную оценку экологической подпрограммы во время обзора реформы ЕЭК 2005 года</w:t>
      </w:r>
      <w:r w:rsidRPr="00403024">
        <w:rPr>
          <w:bCs/>
          <w:vertAlign w:val="superscript"/>
          <w:lang w:val="en-GB"/>
        </w:rPr>
        <w:footnoteReference w:id="5"/>
      </w:r>
      <w:r w:rsidRPr="00403024">
        <w:t xml:space="preserve"> и учитывая, среди прочих, вопрос сбалансированности использования ресурсов регулярного бюджета на цели различных подпрограмм.</w:t>
      </w:r>
    </w:p>
    <w:p w:rsidR="007E58B5" w:rsidRPr="00C678C5" w:rsidRDefault="007E58B5" w:rsidP="00403024">
      <w:pPr>
        <w:pStyle w:val="SingleTxtGR"/>
      </w:pPr>
      <w:r w:rsidRPr="00C678C5">
        <w:br w:type="page"/>
      </w:r>
    </w:p>
    <w:p w:rsidR="00403024" w:rsidRPr="00403024" w:rsidRDefault="00403024" w:rsidP="007E58B5">
      <w:pPr>
        <w:pStyle w:val="HChGR"/>
      </w:pPr>
      <w:proofErr w:type="gramStart"/>
      <w:r w:rsidRPr="003A5B2A">
        <w:rPr>
          <w:b w:val="0"/>
          <w:position w:val="2"/>
          <w:sz w:val="20"/>
        </w:rPr>
        <w:lastRenderedPageBreak/>
        <w:t>[</w:t>
      </w:r>
      <w:r w:rsidRPr="007E58B5">
        <w:t>Приложение</w:t>
      </w:r>
      <w:proofErr w:type="gramEnd"/>
    </w:p>
    <w:p w:rsidR="00403024" w:rsidRPr="00403024" w:rsidRDefault="00403024" w:rsidP="007E58B5">
      <w:pPr>
        <w:pStyle w:val="HChGR"/>
      </w:pPr>
      <w:r w:rsidRPr="00403024">
        <w:tab/>
      </w:r>
      <w:r w:rsidRPr="00403024">
        <w:tab/>
        <w:t>Ориентировочные взносы на 2018 год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674"/>
        <w:gridCol w:w="1596"/>
        <w:gridCol w:w="1539"/>
        <w:gridCol w:w="1561"/>
      </w:tblGrid>
      <w:tr w:rsidR="009429CD" w:rsidRPr="007E58B5" w:rsidTr="008B475F">
        <w:trPr>
          <w:trHeight w:val="795"/>
          <w:tblHeader/>
        </w:trPr>
        <w:tc>
          <w:tcPr>
            <w:tcW w:w="26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403024" w:rsidRPr="007E58B5" w:rsidRDefault="00403024" w:rsidP="008B475F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7E58B5">
              <w:rPr>
                <w:i/>
                <w:sz w:val="16"/>
              </w:rPr>
              <w:t>Колонка A:</w:t>
            </w:r>
            <w:r w:rsidRPr="007E58B5">
              <w:rPr>
                <w:i/>
                <w:sz w:val="16"/>
              </w:rPr>
              <w:br/>
              <w:t xml:space="preserve">страны (Стороны и </w:t>
            </w:r>
            <w:proofErr w:type="spellStart"/>
            <w:r w:rsidRPr="007E58B5">
              <w:rPr>
                <w:i/>
                <w:sz w:val="16"/>
              </w:rPr>
              <w:t>сигнатарии</w:t>
            </w:r>
            <w:proofErr w:type="spellEnd"/>
            <w:r w:rsidRPr="007E58B5">
              <w:rPr>
                <w:i/>
                <w:sz w:val="16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403024" w:rsidRPr="007E58B5" w:rsidRDefault="00403024" w:rsidP="008B475F">
            <w:pPr>
              <w:suppressAutoHyphens/>
              <w:spacing w:before="80" w:after="80" w:line="200" w:lineRule="exact"/>
              <w:jc w:val="right"/>
              <w:rPr>
                <w:i/>
                <w:sz w:val="16"/>
              </w:rPr>
            </w:pPr>
            <w:r w:rsidRPr="007E58B5">
              <w:rPr>
                <w:i/>
                <w:sz w:val="16"/>
              </w:rPr>
              <w:t xml:space="preserve">Колонка </w:t>
            </w:r>
            <w:proofErr w:type="spellStart"/>
            <w:r w:rsidRPr="007E58B5">
              <w:rPr>
                <w:i/>
                <w:sz w:val="16"/>
              </w:rPr>
              <w:t>B</w:t>
            </w:r>
            <w:r w:rsidRPr="004E6226">
              <w:rPr>
                <w:i/>
                <w:sz w:val="16"/>
                <w:vertAlign w:val="superscript"/>
              </w:rPr>
              <w:t>a</w:t>
            </w:r>
            <w:proofErr w:type="spellEnd"/>
            <w:r w:rsidR="004E6226" w:rsidRPr="004E6226">
              <w:rPr>
                <w:i/>
                <w:sz w:val="16"/>
              </w:rPr>
              <w:t>:</w:t>
            </w:r>
            <w:r w:rsidRPr="007E58B5">
              <w:rPr>
                <w:i/>
                <w:sz w:val="16"/>
              </w:rPr>
              <w:t xml:space="preserve"> </w:t>
            </w:r>
            <w:r w:rsidRPr="007E58B5">
              <w:rPr>
                <w:i/>
                <w:sz w:val="16"/>
              </w:rPr>
              <w:br/>
              <w:t>шкала взносов Организации Объединенных Наций (проценты)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403024" w:rsidRPr="007E58B5" w:rsidRDefault="00403024" w:rsidP="008B475F">
            <w:pPr>
              <w:suppressAutoHyphens/>
              <w:spacing w:before="80" w:after="80" w:line="200" w:lineRule="exact"/>
              <w:jc w:val="right"/>
              <w:rPr>
                <w:i/>
                <w:sz w:val="16"/>
              </w:rPr>
            </w:pPr>
            <w:r w:rsidRPr="007E58B5">
              <w:rPr>
                <w:i/>
                <w:sz w:val="16"/>
              </w:rPr>
              <w:t xml:space="preserve">Колонка C: </w:t>
            </w:r>
            <w:r w:rsidRPr="007E58B5">
              <w:rPr>
                <w:i/>
                <w:sz w:val="16"/>
              </w:rPr>
              <w:br/>
              <w:t>скорректированная шкала взносов Организации Объединенных Наций (проценты)</w:t>
            </w:r>
            <w:r w:rsidRPr="004E6226">
              <w:rPr>
                <w:i/>
                <w:sz w:val="16"/>
                <w:vertAlign w:val="superscript"/>
              </w:rPr>
              <w:t>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03024" w:rsidRPr="007E58B5" w:rsidRDefault="00403024" w:rsidP="008B475F">
            <w:pPr>
              <w:suppressAutoHyphens/>
              <w:spacing w:before="80" w:after="80" w:line="200" w:lineRule="exact"/>
              <w:jc w:val="right"/>
              <w:rPr>
                <w:i/>
                <w:sz w:val="16"/>
              </w:rPr>
            </w:pPr>
            <w:r w:rsidRPr="007E58B5">
              <w:rPr>
                <w:i/>
                <w:sz w:val="16"/>
              </w:rPr>
              <w:t xml:space="preserve">Колонка D: </w:t>
            </w:r>
            <w:r w:rsidRPr="007E58B5">
              <w:rPr>
                <w:i/>
                <w:sz w:val="16"/>
              </w:rPr>
              <w:br/>
              <w:t xml:space="preserve">суммы, подлежащие внесению в виде взноса </w:t>
            </w:r>
            <w:r w:rsidR="007E58B5" w:rsidRPr="007E58B5">
              <w:rPr>
                <w:i/>
                <w:sz w:val="16"/>
              </w:rPr>
              <w:br/>
            </w:r>
            <w:r w:rsidRPr="007E58B5">
              <w:rPr>
                <w:i/>
                <w:sz w:val="16"/>
              </w:rPr>
              <w:t xml:space="preserve">на 2018 год </w:t>
            </w:r>
            <w:r w:rsidR="007E58B5" w:rsidRPr="007E58B5">
              <w:rPr>
                <w:i/>
                <w:sz w:val="16"/>
              </w:rPr>
              <w:br/>
            </w:r>
            <w:r w:rsidRPr="007E58B5">
              <w:rPr>
                <w:i/>
                <w:sz w:val="16"/>
              </w:rPr>
              <w:t>(долл. США)</w:t>
            </w:r>
            <w:r w:rsidRPr="004E6226">
              <w:rPr>
                <w:i/>
                <w:sz w:val="16"/>
                <w:vertAlign w:val="superscript"/>
              </w:rPr>
              <w:t>c</w:t>
            </w:r>
          </w:p>
        </w:tc>
      </w:tr>
      <w:tr w:rsidR="00403024" w:rsidRPr="007E58B5" w:rsidTr="008B475F">
        <w:trPr>
          <w:trHeight w:hRule="exact" w:val="113"/>
        </w:trPr>
        <w:tc>
          <w:tcPr>
            <w:tcW w:w="2674" w:type="dxa"/>
            <w:tcBorders>
              <w:top w:val="single" w:sz="12" w:space="0" w:color="auto"/>
            </w:tcBorders>
            <w:noWrap/>
          </w:tcPr>
          <w:p w:rsidR="00403024" w:rsidRPr="007E58B5" w:rsidRDefault="00403024" w:rsidP="007E58B5"/>
        </w:tc>
        <w:tc>
          <w:tcPr>
            <w:tcW w:w="1596" w:type="dxa"/>
            <w:tcBorders>
              <w:top w:val="single" w:sz="12" w:space="0" w:color="auto"/>
            </w:tcBorders>
            <w:noWrap/>
          </w:tcPr>
          <w:p w:rsidR="00403024" w:rsidRPr="007E58B5" w:rsidRDefault="00403024" w:rsidP="007E58B5">
            <w:pPr>
              <w:jc w:val="right"/>
            </w:pPr>
          </w:p>
        </w:tc>
        <w:tc>
          <w:tcPr>
            <w:tcW w:w="1539" w:type="dxa"/>
            <w:tcBorders>
              <w:top w:val="single" w:sz="12" w:space="0" w:color="auto"/>
            </w:tcBorders>
            <w:noWrap/>
          </w:tcPr>
          <w:p w:rsidR="00403024" w:rsidRPr="007E58B5" w:rsidRDefault="00403024" w:rsidP="007E58B5">
            <w:pPr>
              <w:jc w:val="right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  <w:tcBorders>
              <w:top w:val="single" w:sz="12" w:space="0" w:color="auto"/>
            </w:tcBorders>
          </w:tcPr>
          <w:p w:rsidR="00403024" w:rsidRPr="007E58B5" w:rsidRDefault="00403024" w:rsidP="007E58B5">
            <w:pPr>
              <w:jc w:val="right"/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Албания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008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Армения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006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Австрия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720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2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186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Азербайджан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060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182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Беларусь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056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170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Бельгия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885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2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687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Босния и Герцеговина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013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Болгария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045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137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Хорватия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099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301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Кипр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043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131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Чешская Республика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344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1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Дания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584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1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773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Эстония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038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115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 xml:space="preserve">Европейский </w:t>
            </w:r>
            <w:proofErr w:type="spellStart"/>
            <w:r w:rsidRPr="008B475F">
              <w:rPr>
                <w:sz w:val="18"/>
                <w:szCs w:val="18"/>
              </w:rPr>
              <w:t>союз</w:t>
            </w:r>
            <w:proofErr w:type="gramStart"/>
            <w:r w:rsidRPr="008B475F">
              <w:rPr>
                <w:i/>
                <w:sz w:val="18"/>
                <w:szCs w:val="18"/>
                <w:vertAlign w:val="superscript"/>
              </w:rPr>
              <w:t>d</w:t>
            </w:r>
            <w:proofErr w:type="spellEnd"/>
            <w:proofErr w:type="gramEnd"/>
          </w:p>
        </w:tc>
        <w:tc>
          <w:tcPr>
            <w:tcW w:w="1596" w:type="dxa"/>
            <w:noWrap/>
            <w:hideMark/>
          </w:tcPr>
          <w:p w:rsidR="00403024" w:rsidRPr="008B475F" w:rsidRDefault="009429CD" w:rsidP="008B475F">
            <w:pPr>
              <w:spacing w:after="40" w:line="220" w:lineRule="exact"/>
              <w:jc w:val="right"/>
              <w:rPr>
                <w:sz w:val="18"/>
                <w:szCs w:val="18"/>
                <w:lang w:val="en-US"/>
              </w:rPr>
            </w:pPr>
            <w:r w:rsidRPr="008B475F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9429CD" w:rsidP="008B475F">
            <w:pPr>
              <w:spacing w:after="40" w:line="220" w:lineRule="exact"/>
              <w:jc w:val="right"/>
              <w:rPr>
                <w:sz w:val="18"/>
                <w:szCs w:val="18"/>
                <w:lang w:val="en-US"/>
              </w:rPr>
            </w:pPr>
            <w:r w:rsidRPr="008B475F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Финляндия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456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1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384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Франция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4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859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14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752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Грузия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008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Германия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6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389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19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397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Греция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471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1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430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Венгрия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161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489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Исландия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023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Ирландия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335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1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tcBorders>
              <w:bottom w:val="nil"/>
            </w:tcBorders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Италия</w:t>
            </w:r>
          </w:p>
        </w:tc>
        <w:tc>
          <w:tcPr>
            <w:tcW w:w="1596" w:type="dxa"/>
            <w:tcBorders>
              <w:bottom w:val="nil"/>
            </w:tcBorders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3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748</w:t>
            </w:r>
          </w:p>
        </w:tc>
        <w:tc>
          <w:tcPr>
            <w:tcW w:w="1539" w:type="dxa"/>
            <w:tcBorders>
              <w:bottom w:val="nil"/>
            </w:tcBorders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11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379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tcBorders>
              <w:top w:val="nil"/>
              <w:bottom w:val="nil"/>
            </w:tcBorders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Казахстан</w:t>
            </w:r>
          </w:p>
        </w:tc>
        <w:tc>
          <w:tcPr>
            <w:tcW w:w="1596" w:type="dxa"/>
            <w:tcBorders>
              <w:top w:val="nil"/>
              <w:bottom w:val="nil"/>
            </w:tcBorders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191</w:t>
            </w:r>
          </w:p>
        </w:tc>
        <w:tc>
          <w:tcPr>
            <w:tcW w:w="1539" w:type="dxa"/>
            <w:tcBorders>
              <w:top w:val="nil"/>
              <w:bottom w:val="nil"/>
            </w:tcBorders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580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  <w:tcBorders>
              <w:top w:val="nil"/>
            </w:tcBorders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tcBorders>
              <w:top w:val="nil"/>
            </w:tcBorders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Кыргызстан</w:t>
            </w:r>
          </w:p>
        </w:tc>
        <w:tc>
          <w:tcPr>
            <w:tcW w:w="1596" w:type="dxa"/>
            <w:tcBorders>
              <w:top w:val="nil"/>
            </w:tcBorders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002</w:t>
            </w:r>
          </w:p>
        </w:tc>
        <w:tc>
          <w:tcPr>
            <w:tcW w:w="1539" w:type="dxa"/>
            <w:tcBorders>
              <w:top w:val="nil"/>
            </w:tcBorders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  <w:tcBorders>
              <w:top w:val="nil"/>
            </w:tcBorders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Латвия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050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152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Лихтенштейн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007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Литва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072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219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Люксембург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064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194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Мальта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016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Монако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010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tcBorders>
              <w:bottom w:val="nil"/>
            </w:tcBorders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Черногория</w:t>
            </w:r>
          </w:p>
        </w:tc>
        <w:tc>
          <w:tcPr>
            <w:tcW w:w="1596" w:type="dxa"/>
            <w:tcBorders>
              <w:bottom w:val="nil"/>
            </w:tcBorders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004</w:t>
            </w:r>
          </w:p>
        </w:tc>
        <w:tc>
          <w:tcPr>
            <w:tcW w:w="1539" w:type="dxa"/>
            <w:tcBorders>
              <w:bottom w:val="nil"/>
            </w:tcBorders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tcBorders>
              <w:top w:val="nil"/>
              <w:bottom w:val="nil"/>
            </w:tcBorders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Нидерланды</w:t>
            </w:r>
          </w:p>
        </w:tc>
        <w:tc>
          <w:tcPr>
            <w:tcW w:w="1596" w:type="dxa"/>
            <w:tcBorders>
              <w:top w:val="nil"/>
              <w:bottom w:val="nil"/>
            </w:tcBorders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1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482</w:t>
            </w:r>
          </w:p>
        </w:tc>
        <w:tc>
          <w:tcPr>
            <w:tcW w:w="1539" w:type="dxa"/>
            <w:tcBorders>
              <w:top w:val="nil"/>
              <w:bottom w:val="nil"/>
            </w:tcBorders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4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499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  <w:tcBorders>
              <w:top w:val="nil"/>
            </w:tcBorders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tcBorders>
              <w:top w:val="nil"/>
            </w:tcBorders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lastRenderedPageBreak/>
              <w:t>Норвегия</w:t>
            </w:r>
          </w:p>
        </w:tc>
        <w:tc>
          <w:tcPr>
            <w:tcW w:w="1596" w:type="dxa"/>
            <w:tcBorders>
              <w:top w:val="nil"/>
            </w:tcBorders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849</w:t>
            </w:r>
          </w:p>
        </w:tc>
        <w:tc>
          <w:tcPr>
            <w:tcW w:w="1539" w:type="dxa"/>
            <w:tcBorders>
              <w:top w:val="nil"/>
            </w:tcBorders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2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578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  <w:tcBorders>
              <w:top w:val="nil"/>
            </w:tcBorders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Польша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841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2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553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Португалия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392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1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190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Республика Молдова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004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Румыния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184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559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Сербия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032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Словакия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160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486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Словения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084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255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Испания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2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443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7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417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Швеция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956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2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902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Швейцария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1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140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3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461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Таджикистан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004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 xml:space="preserve">Бывшая югославская </w:t>
            </w:r>
            <w:r w:rsidR="009429CD" w:rsidRPr="008B475F">
              <w:rPr>
                <w:sz w:val="18"/>
                <w:szCs w:val="18"/>
              </w:rPr>
              <w:br/>
            </w:r>
            <w:r w:rsidRPr="008B475F">
              <w:rPr>
                <w:sz w:val="18"/>
                <w:szCs w:val="18"/>
              </w:rPr>
              <w:t>Республика Македония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007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Туркменистан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026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079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Украина</w:t>
            </w:r>
          </w:p>
        </w:tc>
        <w:tc>
          <w:tcPr>
            <w:tcW w:w="1596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103</w:t>
            </w:r>
          </w:p>
        </w:tc>
        <w:tc>
          <w:tcPr>
            <w:tcW w:w="1539" w:type="dxa"/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0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313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tcBorders>
              <w:bottom w:val="single" w:sz="4" w:space="0" w:color="auto"/>
            </w:tcBorders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 xml:space="preserve">Соединенное Королевство </w:t>
            </w:r>
            <w:r w:rsidR="00834470" w:rsidRPr="00834470">
              <w:rPr>
                <w:sz w:val="18"/>
                <w:szCs w:val="18"/>
              </w:rPr>
              <w:br/>
            </w:r>
            <w:r w:rsidRPr="008B475F">
              <w:rPr>
                <w:sz w:val="18"/>
                <w:szCs w:val="18"/>
              </w:rPr>
              <w:t>Великобритании и Северной Ирландии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4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463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  <w:r w:rsidRPr="008B475F">
              <w:rPr>
                <w:sz w:val="18"/>
                <w:szCs w:val="18"/>
              </w:rPr>
              <w:t>13</w:t>
            </w:r>
            <w:r w:rsidR="009429CD" w:rsidRPr="008B475F">
              <w:rPr>
                <w:sz w:val="18"/>
                <w:szCs w:val="18"/>
              </w:rPr>
              <w:t>,</w:t>
            </w:r>
            <w:r w:rsidRPr="008B475F">
              <w:rPr>
                <w:sz w:val="18"/>
                <w:szCs w:val="18"/>
              </w:rPr>
              <w:t>550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  <w:tcBorders>
              <w:bottom w:val="single" w:sz="4" w:space="0" w:color="auto"/>
            </w:tcBorders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sz w:val="18"/>
                <w:szCs w:val="18"/>
              </w:rPr>
            </w:pPr>
          </w:p>
        </w:tc>
      </w:tr>
      <w:tr w:rsidR="00403024" w:rsidRPr="008B475F" w:rsidTr="008B475F">
        <w:trPr>
          <w:trHeight w:val="300"/>
        </w:trPr>
        <w:tc>
          <w:tcPr>
            <w:tcW w:w="2674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rPr>
                <w:b/>
                <w:sz w:val="18"/>
                <w:szCs w:val="18"/>
              </w:rPr>
            </w:pPr>
            <w:r w:rsidRPr="008B475F">
              <w:rPr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b/>
                <w:sz w:val="18"/>
                <w:szCs w:val="18"/>
              </w:rPr>
            </w:pPr>
            <w:r w:rsidRPr="008B475F">
              <w:rPr>
                <w:b/>
                <w:sz w:val="18"/>
                <w:szCs w:val="18"/>
              </w:rPr>
              <w:t>32</w:t>
            </w:r>
            <w:r w:rsidR="009429CD" w:rsidRPr="008B475F">
              <w:rPr>
                <w:b/>
                <w:sz w:val="18"/>
                <w:szCs w:val="18"/>
              </w:rPr>
              <w:t>,</w:t>
            </w:r>
            <w:r w:rsidRPr="008B475F">
              <w:rPr>
                <w:b/>
                <w:sz w:val="18"/>
                <w:szCs w:val="18"/>
              </w:rPr>
              <w:t>937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b/>
                <w:sz w:val="18"/>
                <w:szCs w:val="18"/>
              </w:rPr>
            </w:pPr>
            <w:r w:rsidRPr="008B475F">
              <w:rPr>
                <w:b/>
                <w:sz w:val="18"/>
                <w:szCs w:val="18"/>
              </w:rPr>
              <w:t>100</w:t>
            </w:r>
            <w:r w:rsidR="009429CD" w:rsidRPr="008B475F">
              <w:rPr>
                <w:b/>
                <w:sz w:val="18"/>
                <w:szCs w:val="18"/>
              </w:rPr>
              <w:t>,</w:t>
            </w:r>
            <w:r w:rsidRPr="008B475F">
              <w:rPr>
                <w:b/>
                <w:sz w:val="18"/>
                <w:szCs w:val="18"/>
              </w:rPr>
              <w:t>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1" w:type="dxa"/>
            <w:tcBorders>
              <w:top w:val="single" w:sz="4" w:space="0" w:color="auto"/>
            </w:tcBorders>
          </w:tcPr>
          <w:p w:rsidR="00403024" w:rsidRPr="008B475F" w:rsidRDefault="00403024" w:rsidP="008B475F">
            <w:pPr>
              <w:spacing w:after="40" w:line="220" w:lineRule="exact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403024" w:rsidRPr="004E6226" w:rsidRDefault="00403024" w:rsidP="008860F8">
      <w:pPr>
        <w:pStyle w:val="SingleTxtGR"/>
        <w:suppressAutoHyphens/>
        <w:spacing w:before="120" w:after="0" w:line="220" w:lineRule="exact"/>
        <w:ind w:firstLine="170"/>
        <w:jc w:val="left"/>
        <w:rPr>
          <w:sz w:val="18"/>
          <w:szCs w:val="18"/>
        </w:rPr>
      </w:pPr>
      <w:r w:rsidRPr="004E6226">
        <w:rPr>
          <w:i/>
          <w:sz w:val="18"/>
          <w:szCs w:val="18"/>
          <w:vertAlign w:val="superscript"/>
          <w:lang w:val="en-GB"/>
        </w:rPr>
        <w:t>a</w:t>
      </w:r>
      <w:r w:rsidRPr="004E6226">
        <w:rPr>
          <w:sz w:val="18"/>
          <w:szCs w:val="18"/>
        </w:rPr>
        <w:t xml:space="preserve"> </w:t>
      </w:r>
      <w:r w:rsidR="009429CD" w:rsidRPr="009429CD">
        <w:rPr>
          <w:sz w:val="18"/>
          <w:szCs w:val="18"/>
        </w:rPr>
        <w:t xml:space="preserve"> </w:t>
      </w:r>
      <w:r w:rsidRPr="004E6226">
        <w:rPr>
          <w:sz w:val="18"/>
          <w:szCs w:val="18"/>
        </w:rPr>
        <w:t xml:space="preserve">Цифры в колонке </w:t>
      </w:r>
      <w:r w:rsidRPr="004E6226">
        <w:rPr>
          <w:sz w:val="18"/>
          <w:szCs w:val="18"/>
          <w:lang w:val="en-GB"/>
        </w:rPr>
        <w:t>B</w:t>
      </w:r>
      <w:r w:rsidRPr="004E6226">
        <w:rPr>
          <w:sz w:val="18"/>
          <w:szCs w:val="18"/>
        </w:rPr>
        <w:t xml:space="preserve"> основаны на шкале взносов из проекта резолюции, представленного Пятым комитетом Генеральной Ассамблее. Резолюция 70/245, принятая Генеральной Ассамблеей 23 декабря 2015 года, на тот момент пока еще отсутствовала. Одн</w:t>
      </w:r>
      <w:r w:rsidRPr="004E6226">
        <w:rPr>
          <w:sz w:val="18"/>
          <w:szCs w:val="18"/>
        </w:rPr>
        <w:t>а</w:t>
      </w:r>
      <w:r w:rsidRPr="004E6226">
        <w:rPr>
          <w:sz w:val="18"/>
          <w:szCs w:val="18"/>
        </w:rPr>
        <w:t>ко никаких существенных изменений в текст внесено не было.</w:t>
      </w:r>
    </w:p>
    <w:p w:rsidR="00403024" w:rsidRPr="004E6226" w:rsidRDefault="00403024" w:rsidP="008860F8">
      <w:pPr>
        <w:pStyle w:val="SingleTxtGR"/>
        <w:suppressAutoHyphens/>
        <w:spacing w:after="0" w:line="220" w:lineRule="exact"/>
        <w:ind w:firstLine="170"/>
        <w:jc w:val="left"/>
        <w:rPr>
          <w:i/>
          <w:sz w:val="18"/>
          <w:szCs w:val="18"/>
        </w:rPr>
      </w:pPr>
      <w:proofErr w:type="gramStart"/>
      <w:r w:rsidRPr="004E6226">
        <w:rPr>
          <w:i/>
          <w:sz w:val="18"/>
          <w:szCs w:val="18"/>
          <w:vertAlign w:val="superscript"/>
          <w:lang w:val="en-GB"/>
        </w:rPr>
        <w:t>b</w:t>
      </w:r>
      <w:r w:rsidRPr="004E6226">
        <w:rPr>
          <w:sz w:val="18"/>
          <w:szCs w:val="18"/>
        </w:rPr>
        <w:t xml:space="preserve"> </w:t>
      </w:r>
      <w:r w:rsidR="009429CD" w:rsidRPr="009429CD">
        <w:rPr>
          <w:sz w:val="18"/>
          <w:szCs w:val="18"/>
        </w:rPr>
        <w:t xml:space="preserve"> </w:t>
      </w:r>
      <w:r w:rsidRPr="004E6226">
        <w:rPr>
          <w:sz w:val="18"/>
          <w:szCs w:val="18"/>
        </w:rPr>
        <w:t>Проценты</w:t>
      </w:r>
      <w:proofErr w:type="gramEnd"/>
      <w:r w:rsidRPr="004E6226">
        <w:rPr>
          <w:sz w:val="18"/>
          <w:szCs w:val="18"/>
        </w:rPr>
        <w:t>, указанные в шкале взносов Организации Объединенных Наций, были скорректированы для Орхусской конвенции с использованием множительного коэффициента 3.036, с тем чтобы в общей сложности получилось 100%.</w:t>
      </w:r>
    </w:p>
    <w:p w:rsidR="00403024" w:rsidRPr="004E6226" w:rsidRDefault="00403024" w:rsidP="008860F8">
      <w:pPr>
        <w:pStyle w:val="SingleTxtGR"/>
        <w:suppressAutoHyphens/>
        <w:spacing w:after="0" w:line="220" w:lineRule="exact"/>
        <w:ind w:firstLine="170"/>
        <w:jc w:val="left"/>
        <w:rPr>
          <w:sz w:val="18"/>
          <w:szCs w:val="18"/>
        </w:rPr>
      </w:pPr>
      <w:r w:rsidRPr="004E6226">
        <w:rPr>
          <w:i/>
          <w:sz w:val="18"/>
          <w:szCs w:val="18"/>
          <w:vertAlign w:val="superscript"/>
          <w:lang w:val="en-GB"/>
        </w:rPr>
        <w:t>c</w:t>
      </w:r>
      <w:r w:rsidRPr="004E6226">
        <w:rPr>
          <w:bCs/>
          <w:sz w:val="18"/>
          <w:szCs w:val="18"/>
        </w:rPr>
        <w:t xml:space="preserve">  </w:t>
      </w:r>
      <w:r w:rsidRPr="004E6226">
        <w:rPr>
          <w:sz w:val="18"/>
          <w:szCs w:val="18"/>
        </w:rPr>
        <w:t xml:space="preserve">С учетом сноски </w:t>
      </w:r>
      <w:r w:rsidRPr="004E6226">
        <w:rPr>
          <w:sz w:val="18"/>
          <w:szCs w:val="18"/>
          <w:lang w:val="en-US"/>
        </w:rPr>
        <w:t>d</w:t>
      </w:r>
      <w:r w:rsidRPr="004E6226">
        <w:rPr>
          <w:sz w:val="18"/>
          <w:szCs w:val="18"/>
        </w:rPr>
        <w:t xml:space="preserve"> ниже, касающейся взноса Европейского союза, показатели, указываемые в колонке </w:t>
      </w:r>
      <w:r w:rsidRPr="004E6226">
        <w:rPr>
          <w:sz w:val="18"/>
          <w:szCs w:val="18"/>
          <w:lang w:val="en-GB"/>
        </w:rPr>
        <w:t>D</w:t>
      </w:r>
      <w:r w:rsidRPr="004E6226">
        <w:rPr>
          <w:sz w:val="18"/>
          <w:szCs w:val="18"/>
        </w:rPr>
        <w:t>, будут рассчитываться путем умножения процентной величины в колонке С на ежегодные сметные потребности в расходах на программу работы, ко</w:t>
      </w:r>
      <w:r w:rsidRPr="004E6226">
        <w:rPr>
          <w:sz w:val="18"/>
          <w:szCs w:val="18"/>
        </w:rPr>
        <w:t>н</w:t>
      </w:r>
      <w:r w:rsidRPr="004E6226">
        <w:rPr>
          <w:sz w:val="18"/>
          <w:szCs w:val="18"/>
        </w:rPr>
        <w:t xml:space="preserve">кретно определенные в проекте решения по программе работы на </w:t>
      </w:r>
      <w:r w:rsidR="008860F8">
        <w:rPr>
          <w:sz w:val="18"/>
          <w:szCs w:val="18"/>
        </w:rPr>
        <w:br/>
      </w:r>
      <w:r w:rsidRPr="004E6226">
        <w:rPr>
          <w:sz w:val="18"/>
          <w:szCs w:val="18"/>
        </w:rPr>
        <w:t>2018−2021 годы</w:t>
      </w:r>
      <w:r w:rsidRPr="004E6226">
        <w:rPr>
          <w:bCs/>
          <w:sz w:val="18"/>
          <w:szCs w:val="18"/>
        </w:rPr>
        <w:t xml:space="preserve"> (</w:t>
      </w:r>
      <w:r w:rsidRPr="004E6226">
        <w:rPr>
          <w:bCs/>
          <w:sz w:val="18"/>
          <w:szCs w:val="18"/>
          <w:lang w:val="en-GB"/>
        </w:rPr>
        <w:t>ECE</w:t>
      </w:r>
      <w:r w:rsidRPr="004E6226">
        <w:rPr>
          <w:bCs/>
          <w:sz w:val="18"/>
          <w:szCs w:val="18"/>
        </w:rPr>
        <w:t>/</w:t>
      </w:r>
      <w:r w:rsidRPr="004E6226">
        <w:rPr>
          <w:bCs/>
          <w:sz w:val="18"/>
          <w:szCs w:val="18"/>
          <w:lang w:val="en-GB"/>
        </w:rPr>
        <w:t>MP</w:t>
      </w:r>
      <w:r w:rsidRPr="004E6226">
        <w:rPr>
          <w:bCs/>
          <w:sz w:val="18"/>
          <w:szCs w:val="18"/>
        </w:rPr>
        <w:t>.</w:t>
      </w:r>
      <w:r w:rsidRPr="004E6226">
        <w:rPr>
          <w:bCs/>
          <w:sz w:val="18"/>
          <w:szCs w:val="18"/>
          <w:lang w:val="en-GB"/>
        </w:rPr>
        <w:t>PP</w:t>
      </w:r>
      <w:r w:rsidRPr="004E6226">
        <w:rPr>
          <w:bCs/>
          <w:sz w:val="18"/>
          <w:szCs w:val="18"/>
        </w:rPr>
        <w:t>/</w:t>
      </w:r>
      <w:r w:rsidRPr="004E6226">
        <w:rPr>
          <w:bCs/>
          <w:sz w:val="18"/>
          <w:szCs w:val="18"/>
          <w:lang w:val="en-GB"/>
        </w:rPr>
        <w:t>WG</w:t>
      </w:r>
      <w:r w:rsidRPr="004E6226">
        <w:rPr>
          <w:bCs/>
          <w:sz w:val="18"/>
          <w:szCs w:val="18"/>
        </w:rPr>
        <w:t xml:space="preserve">.1/2017/…). </w:t>
      </w:r>
      <w:r w:rsidRPr="004E6226">
        <w:rPr>
          <w:sz w:val="18"/>
          <w:szCs w:val="18"/>
        </w:rPr>
        <w:t xml:space="preserve">Фактические суммы взноса каждой Стороны и </w:t>
      </w:r>
      <w:proofErr w:type="spellStart"/>
      <w:r w:rsidRPr="004E6226">
        <w:rPr>
          <w:sz w:val="18"/>
          <w:szCs w:val="18"/>
        </w:rPr>
        <w:t>сигнатария</w:t>
      </w:r>
      <w:proofErr w:type="spellEnd"/>
      <w:r w:rsidRPr="004E6226">
        <w:rPr>
          <w:sz w:val="18"/>
          <w:szCs w:val="18"/>
        </w:rPr>
        <w:t xml:space="preserve"> в период 2018−2021 годов будут рассчитаны в должном порядке при том условии, что проект решения по программе работы на 2018−2021 годы будет рассмотрен и утве</w:t>
      </w:r>
      <w:r w:rsidRPr="004E6226">
        <w:rPr>
          <w:sz w:val="18"/>
          <w:szCs w:val="18"/>
        </w:rPr>
        <w:t>р</w:t>
      </w:r>
      <w:r w:rsidRPr="004E6226">
        <w:rPr>
          <w:sz w:val="18"/>
          <w:szCs w:val="18"/>
        </w:rPr>
        <w:t>жден.</w:t>
      </w:r>
      <w:r w:rsidRPr="004E6226">
        <w:rPr>
          <w:bCs/>
          <w:sz w:val="18"/>
          <w:szCs w:val="18"/>
        </w:rPr>
        <w:t xml:space="preserve"> </w:t>
      </w:r>
    </w:p>
    <w:p w:rsidR="00403024" w:rsidRPr="004E6226" w:rsidRDefault="00403024" w:rsidP="008860F8">
      <w:pPr>
        <w:pStyle w:val="SingleTxtGR"/>
        <w:suppressAutoHyphens/>
        <w:spacing w:after="0" w:line="220" w:lineRule="exact"/>
        <w:ind w:firstLine="170"/>
        <w:jc w:val="left"/>
        <w:rPr>
          <w:sz w:val="18"/>
          <w:szCs w:val="18"/>
        </w:rPr>
      </w:pPr>
      <w:r w:rsidRPr="004E6226">
        <w:rPr>
          <w:i/>
          <w:sz w:val="18"/>
          <w:szCs w:val="18"/>
          <w:vertAlign w:val="superscript"/>
          <w:lang w:val="en-US"/>
        </w:rPr>
        <w:t>d</w:t>
      </w:r>
      <w:r w:rsidRPr="004E6226">
        <w:rPr>
          <w:bCs/>
          <w:sz w:val="18"/>
          <w:szCs w:val="18"/>
        </w:rPr>
        <w:t xml:space="preserve"> </w:t>
      </w:r>
      <w:r w:rsidR="009429CD" w:rsidRPr="009429CD">
        <w:rPr>
          <w:bCs/>
          <w:sz w:val="18"/>
          <w:szCs w:val="18"/>
        </w:rPr>
        <w:t xml:space="preserve"> </w:t>
      </w:r>
      <w:r w:rsidRPr="004E6226">
        <w:rPr>
          <w:bCs/>
          <w:sz w:val="18"/>
          <w:szCs w:val="18"/>
        </w:rPr>
        <w:t xml:space="preserve">Европейскому союзу не был присвоен процентный показатель, поскольку ЕС не включен в шкалу взносов Организации Объединенных Наций, поэтому рассчитать уровень его взносов на такой же основе, что и для других Сторон и </w:t>
      </w:r>
      <w:proofErr w:type="spellStart"/>
      <w:r w:rsidRPr="004E6226">
        <w:rPr>
          <w:bCs/>
          <w:sz w:val="18"/>
          <w:szCs w:val="18"/>
        </w:rPr>
        <w:t>сигнатариев</w:t>
      </w:r>
      <w:proofErr w:type="spellEnd"/>
      <w:r w:rsidRPr="004E6226">
        <w:rPr>
          <w:bCs/>
          <w:sz w:val="18"/>
          <w:szCs w:val="18"/>
        </w:rPr>
        <w:t xml:space="preserve"> </w:t>
      </w:r>
      <w:r w:rsidR="008860F8">
        <w:rPr>
          <w:bCs/>
          <w:sz w:val="18"/>
          <w:szCs w:val="18"/>
        </w:rPr>
        <w:br/>
      </w:r>
      <w:bookmarkStart w:id="2" w:name="_GoBack"/>
      <w:bookmarkEnd w:id="2"/>
      <w:r w:rsidRPr="004E6226">
        <w:rPr>
          <w:bCs/>
          <w:sz w:val="18"/>
          <w:szCs w:val="18"/>
        </w:rPr>
        <w:t xml:space="preserve">(т.е. на основе адаптированной шкалы взносов Организации Объединенных Наций), невозможно. </w:t>
      </w:r>
      <w:proofErr w:type="gramStart"/>
      <w:r w:rsidRPr="004E6226">
        <w:rPr>
          <w:bCs/>
          <w:sz w:val="18"/>
          <w:szCs w:val="18"/>
        </w:rPr>
        <w:t xml:space="preserve">Возможные альтернативные способы оценки уровня взносов </w:t>
      </w:r>
      <w:r w:rsidRPr="004E6226">
        <w:rPr>
          <w:sz w:val="18"/>
          <w:szCs w:val="18"/>
        </w:rPr>
        <w:t>Европейского союза</w:t>
      </w:r>
      <w:r w:rsidRPr="004E6226">
        <w:rPr>
          <w:bCs/>
          <w:sz w:val="18"/>
          <w:szCs w:val="18"/>
        </w:rPr>
        <w:t xml:space="preserve"> включают: а) использование размера ранее производившихся ЕС взносов в качестве основы для расчетов и его вычитания из общих сметных потребностей в расходах до применения шкалы взносов Организации Объединенных Наций в </w:t>
      </w:r>
      <w:r w:rsidRPr="004E6226">
        <w:rPr>
          <w:bCs/>
          <w:sz w:val="18"/>
          <w:szCs w:val="18"/>
        </w:rPr>
        <w:lastRenderedPageBreak/>
        <w:t>отношении других Сторон; или b) установление определенного процента, который не рассчитывается на основе шкалы взносов Организации Объединенных Наций.]</w:t>
      </w:r>
      <w:proofErr w:type="gramEnd"/>
    </w:p>
    <w:p w:rsidR="00A658DB" w:rsidRPr="009429CD" w:rsidRDefault="009429CD" w:rsidP="009429CD">
      <w:pPr>
        <w:spacing w:before="240"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9429CD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24" w:rsidRDefault="00403024" w:rsidP="00B471C5">
      <w:r>
        <w:separator/>
      </w:r>
    </w:p>
  </w:endnote>
  <w:endnote w:type="continuationSeparator" w:id="0">
    <w:p w:rsidR="00403024" w:rsidRDefault="0040302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24" w:rsidRPr="009A6F4A" w:rsidRDefault="00403024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8860F8">
      <w:rPr>
        <w:b/>
        <w:noProof/>
        <w:sz w:val="18"/>
        <w:szCs w:val="18"/>
      </w:rPr>
      <w:t>8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09722E">
      <w:rPr>
        <w:lang w:val="en-US"/>
      </w:rPr>
      <w:t>04887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24" w:rsidRPr="009A6F4A" w:rsidRDefault="00403024" w:rsidP="007005EE">
    <w:pPr>
      <w:pStyle w:val="a7"/>
      <w:rPr>
        <w:lang w:val="en-US"/>
      </w:rPr>
    </w:pPr>
    <w:r>
      <w:rPr>
        <w:lang w:val="en-US"/>
      </w:rPr>
      <w:t>GE.16-</w:t>
    </w:r>
    <w:r w:rsidR="0009722E">
      <w:rPr>
        <w:lang w:val="en-US"/>
      </w:rPr>
      <w:t>04887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8860F8">
      <w:rPr>
        <w:b/>
        <w:noProof/>
        <w:sz w:val="18"/>
        <w:szCs w:val="18"/>
      </w:rPr>
      <w:t>9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403024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403024" w:rsidRPr="001C3ABC" w:rsidRDefault="00403024" w:rsidP="00403024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D83FF5">
            <w:rPr>
              <w:lang w:val="en-US"/>
            </w:rPr>
            <w:t>04887</w:t>
          </w:r>
          <w:r w:rsidRPr="001C3ABC">
            <w:rPr>
              <w:lang w:val="en-US"/>
            </w:rPr>
            <w:t xml:space="preserve"> (R)</w:t>
          </w:r>
          <w:r w:rsidR="0012791B">
            <w:rPr>
              <w:lang w:val="en-US"/>
            </w:rPr>
            <w:t xml:space="preserve">   0604</w:t>
          </w:r>
          <w:r w:rsidR="00D83FF5">
            <w:rPr>
              <w:lang w:val="en-US"/>
            </w:rPr>
            <w:t>16   060416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403024" w:rsidRDefault="00403024" w:rsidP="00403024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403024" w:rsidRDefault="00D83FF5" w:rsidP="00403024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7850" cy="577850"/>
                <wp:effectExtent l="0" t="0" r="0" b="0"/>
                <wp:docPr id="3" name="Рисунок 3" descr="http://undocs.org/m2/QRCode.ashx?DS=ECE/MP.PP/WG.1/2016/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MP.PP/WG.1/2016/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3024" w:rsidRPr="00797A78" w:rsidTr="00403024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403024" w:rsidRPr="00D83FF5" w:rsidRDefault="00D83FF5" w:rsidP="0040302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83FF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83FF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83FF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83FF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83FF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D83FF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D83FF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D83FF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D83FF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403024" w:rsidRDefault="00403024" w:rsidP="00403024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403024" w:rsidRDefault="00403024" w:rsidP="00403024"/>
      </w:tc>
    </w:tr>
  </w:tbl>
  <w:p w:rsidR="00403024" w:rsidRPr="007005EE" w:rsidRDefault="00403024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24" w:rsidRPr="009141DC" w:rsidRDefault="0040302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03024" w:rsidRPr="00D1261C" w:rsidRDefault="0040302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450F34" w:rsidRPr="00D15B25" w:rsidRDefault="00450F34" w:rsidP="00450F34">
      <w:pPr>
        <w:pStyle w:val="aa"/>
        <w:rPr>
          <w:lang w:val="ru-RU"/>
        </w:rPr>
      </w:pPr>
      <w:r>
        <w:tab/>
      </w:r>
      <w:r>
        <w:rPr>
          <w:rStyle w:val="a6"/>
        </w:rPr>
        <w:footnoteRef/>
      </w:r>
      <w:r w:rsidRPr="00D15B25">
        <w:rPr>
          <w:lang w:val="ru-RU"/>
        </w:rPr>
        <w:tab/>
      </w:r>
      <w:r>
        <w:rPr>
          <w:lang w:val="ru-RU"/>
        </w:rPr>
        <w:t>Размещено</w:t>
      </w:r>
      <w:r w:rsidRPr="00D15B25">
        <w:rPr>
          <w:lang w:val="ru-RU"/>
        </w:rPr>
        <w:t xml:space="preserve"> по адресу </w:t>
      </w:r>
      <w:hyperlink r:id="rId1" w:anchor="/" w:history="1">
        <w:r w:rsidRPr="00F56B73">
          <w:rPr>
            <w:rStyle w:val="af1"/>
          </w:rPr>
          <w:t>http</w:t>
        </w:r>
        <w:r w:rsidRPr="00D15B25">
          <w:rPr>
            <w:rStyle w:val="af1"/>
            <w:lang w:val="ru-RU"/>
          </w:rPr>
          <w:t>://</w:t>
        </w:r>
        <w:r w:rsidRPr="00F56B73">
          <w:rPr>
            <w:rStyle w:val="af1"/>
          </w:rPr>
          <w:t>www</w:t>
        </w:r>
        <w:r w:rsidRPr="00D15B25">
          <w:rPr>
            <w:rStyle w:val="af1"/>
            <w:lang w:val="ru-RU"/>
          </w:rPr>
          <w:t>.</w:t>
        </w:r>
        <w:proofErr w:type="spellStart"/>
        <w:r w:rsidRPr="00F56B73">
          <w:rPr>
            <w:rStyle w:val="af1"/>
          </w:rPr>
          <w:t>unece</w:t>
        </w:r>
        <w:proofErr w:type="spellEnd"/>
        <w:r w:rsidRPr="00D15B25">
          <w:rPr>
            <w:rStyle w:val="af1"/>
            <w:lang w:val="ru-RU"/>
          </w:rPr>
          <w:t>.</w:t>
        </w:r>
        <w:r w:rsidRPr="00F56B73">
          <w:rPr>
            <w:rStyle w:val="af1"/>
          </w:rPr>
          <w:t>org</w:t>
        </w:r>
        <w:r w:rsidRPr="00D15B25">
          <w:rPr>
            <w:rStyle w:val="af1"/>
            <w:lang w:val="ru-RU"/>
          </w:rPr>
          <w:t>/</w:t>
        </w:r>
        <w:proofErr w:type="spellStart"/>
        <w:r w:rsidRPr="00F56B73">
          <w:rPr>
            <w:rStyle w:val="af1"/>
          </w:rPr>
          <w:t>env</w:t>
        </w:r>
        <w:proofErr w:type="spellEnd"/>
        <w:r w:rsidRPr="00D15B25">
          <w:rPr>
            <w:rStyle w:val="af1"/>
            <w:lang w:val="ru-RU"/>
          </w:rPr>
          <w:t>/</w:t>
        </w:r>
        <w:r w:rsidRPr="00F56B73">
          <w:rPr>
            <w:rStyle w:val="af1"/>
          </w:rPr>
          <w:t>pp</w:t>
        </w:r>
        <w:r w:rsidRPr="00D15B25">
          <w:rPr>
            <w:rStyle w:val="af1"/>
            <w:lang w:val="ru-RU"/>
          </w:rPr>
          <w:t>/</w:t>
        </w:r>
        <w:proofErr w:type="spellStart"/>
        <w:r w:rsidRPr="00F56B73">
          <w:rPr>
            <w:rStyle w:val="af1"/>
          </w:rPr>
          <w:t>aarhus</w:t>
        </w:r>
        <w:proofErr w:type="spellEnd"/>
        <w:r w:rsidRPr="00D15B25">
          <w:rPr>
            <w:rStyle w:val="af1"/>
            <w:lang w:val="ru-RU"/>
          </w:rPr>
          <w:t>/</w:t>
        </w:r>
        <w:r w:rsidRPr="00F56B73">
          <w:rPr>
            <w:rStyle w:val="af1"/>
          </w:rPr>
          <w:t>mop</w:t>
        </w:r>
        <w:r w:rsidRPr="00D15B25">
          <w:rPr>
            <w:rStyle w:val="af1"/>
            <w:lang w:val="ru-RU"/>
          </w:rPr>
          <w:t>5_</w:t>
        </w:r>
        <w:r w:rsidRPr="00F56B73">
          <w:rPr>
            <w:rStyle w:val="af1"/>
          </w:rPr>
          <w:t>docs</w:t>
        </w:r>
        <w:r w:rsidRPr="00D15B25">
          <w:rPr>
            <w:rStyle w:val="af1"/>
            <w:lang w:val="ru-RU"/>
          </w:rPr>
          <w:t>.</w:t>
        </w:r>
        <w:r w:rsidRPr="00F56B73">
          <w:rPr>
            <w:rStyle w:val="af1"/>
          </w:rPr>
          <w:t>html</w:t>
        </w:r>
        <w:r w:rsidRPr="00D15B25">
          <w:rPr>
            <w:rStyle w:val="af1"/>
            <w:lang w:val="ru-RU"/>
          </w:rPr>
          <w:t>#/</w:t>
        </w:r>
      </w:hyperlink>
      <w:r w:rsidRPr="00D15B25">
        <w:rPr>
          <w:rStyle w:val="af1"/>
          <w:lang w:val="ru-RU"/>
        </w:rPr>
        <w:t>.</w:t>
      </w:r>
    </w:p>
  </w:footnote>
  <w:footnote w:id="2">
    <w:p w:rsidR="00403024" w:rsidRPr="00096AA2" w:rsidRDefault="00403024" w:rsidP="00403024">
      <w:pPr>
        <w:pStyle w:val="aa"/>
        <w:rPr>
          <w:szCs w:val="18"/>
          <w:lang w:val="ru-RU"/>
        </w:rPr>
      </w:pPr>
      <w:r w:rsidRPr="00D15B25">
        <w:rPr>
          <w:lang w:val="ru-RU"/>
        </w:rPr>
        <w:tab/>
      </w:r>
      <w:r w:rsidRPr="00773DFD">
        <w:rPr>
          <w:rStyle w:val="a6"/>
        </w:rPr>
        <w:footnoteRef/>
      </w:r>
      <w:r w:rsidRPr="004626F1">
        <w:rPr>
          <w:lang w:val="ru-RU"/>
        </w:rPr>
        <w:tab/>
        <w:t>Шкала взносов Организации Объединенных Наций принимается Генеральной Ассамблеей на трехлетний период</w:t>
      </w:r>
      <w:r w:rsidRPr="004626F1">
        <w:rPr>
          <w:color w:val="000000"/>
          <w:lang w:val="ru-RU"/>
        </w:rPr>
        <w:t xml:space="preserve">. </w:t>
      </w:r>
      <w:r w:rsidRPr="004626F1">
        <w:rPr>
          <w:lang w:val="ru-RU"/>
        </w:rPr>
        <w:t xml:space="preserve">Она служит основой для расчета взносов государств-членов в регулярный бюджет Организации Объединенных Наций. </w:t>
      </w:r>
      <w:r w:rsidRPr="00096AA2">
        <w:rPr>
          <w:lang w:val="ru-RU"/>
        </w:rPr>
        <w:t>В</w:t>
      </w:r>
      <w:r w:rsidR="00907B23">
        <w:rPr>
          <w:lang w:val="en-US"/>
        </w:rPr>
        <w:t> </w:t>
      </w:r>
      <w:r w:rsidRPr="00096AA2">
        <w:rPr>
          <w:lang w:val="ru-RU"/>
        </w:rPr>
        <w:t>декабре 2015 года Генеральная Ассамблея приняла</w:t>
      </w:r>
      <w:r w:rsidRPr="00096AA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резолюцию</w:t>
      </w:r>
      <w:r w:rsidRPr="00096AA2">
        <w:rPr>
          <w:color w:val="000000"/>
          <w:lang w:val="ru-RU"/>
        </w:rPr>
        <w:t xml:space="preserve"> 70/245 </w:t>
      </w:r>
      <w:r>
        <w:rPr>
          <w:lang w:val="ru-RU"/>
        </w:rPr>
        <w:t>о ш</w:t>
      </w:r>
      <w:r w:rsidRPr="00096AA2">
        <w:rPr>
          <w:lang w:val="ru-RU"/>
        </w:rPr>
        <w:t>кал</w:t>
      </w:r>
      <w:r>
        <w:rPr>
          <w:lang w:val="ru-RU"/>
        </w:rPr>
        <w:t>е</w:t>
      </w:r>
      <w:r w:rsidRPr="00096AA2">
        <w:rPr>
          <w:lang w:val="ru-RU"/>
        </w:rPr>
        <w:t xml:space="preserve"> взносов для распределения расходов Организации Объединенных Наций</w:t>
      </w:r>
      <w:r w:rsidRPr="00096AA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 период</w:t>
      </w:r>
      <w:r w:rsidRPr="00096AA2">
        <w:rPr>
          <w:color w:val="000000"/>
          <w:lang w:val="ru-RU"/>
        </w:rPr>
        <w:t xml:space="preserve"> 2016–2018</w:t>
      </w:r>
      <w:r>
        <w:rPr>
          <w:color w:val="000000"/>
          <w:lang w:val="ru-RU"/>
        </w:rPr>
        <w:t xml:space="preserve"> годов</w:t>
      </w:r>
      <w:r w:rsidRPr="00096AA2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Как подтверждается в указанной резолюции</w:t>
      </w:r>
      <w:r w:rsidRPr="00096AA2">
        <w:rPr>
          <w:color w:val="000000"/>
          <w:lang w:val="ru-RU"/>
        </w:rPr>
        <w:t xml:space="preserve">, </w:t>
      </w:r>
      <w:r>
        <w:rPr>
          <w:lang w:val="ru-RU"/>
        </w:rPr>
        <w:t>о</w:t>
      </w:r>
      <w:r w:rsidRPr="00096AA2">
        <w:rPr>
          <w:lang w:val="ru-RU"/>
        </w:rPr>
        <w:t xml:space="preserve">сновополагающим для расчета взносов государств-членов является принцип, согласно которому </w:t>
      </w:r>
      <w:r w:rsidR="003C4EF7">
        <w:rPr>
          <w:lang w:val="ru-RU"/>
        </w:rPr>
        <w:t>«</w:t>
      </w:r>
      <w:r w:rsidRPr="00096AA2">
        <w:rPr>
          <w:lang w:val="ru-RU"/>
        </w:rPr>
        <w:t>расходы Организации распределяются между государствами-членами в соответствии с их платежеспособностью</w:t>
      </w:r>
      <w:r w:rsidR="003C4EF7">
        <w:rPr>
          <w:lang w:val="ru-RU"/>
        </w:rPr>
        <w:t>»</w:t>
      </w:r>
      <w:r w:rsidRPr="00096AA2">
        <w:rPr>
          <w:color w:val="000000"/>
          <w:szCs w:val="18"/>
          <w:lang w:val="ru-RU"/>
        </w:rPr>
        <w:t>.</w:t>
      </w:r>
    </w:p>
  </w:footnote>
  <w:footnote w:id="3">
    <w:p w:rsidR="00403024" w:rsidRPr="005E5B12" w:rsidRDefault="00403024" w:rsidP="00403024">
      <w:pPr>
        <w:pStyle w:val="aa"/>
        <w:rPr>
          <w:szCs w:val="18"/>
          <w:lang w:val="ru-RU"/>
        </w:rPr>
      </w:pPr>
      <w:r w:rsidRPr="00096AA2">
        <w:rPr>
          <w:szCs w:val="18"/>
          <w:lang w:val="ru-RU"/>
        </w:rPr>
        <w:tab/>
      </w:r>
      <w:r w:rsidRPr="00773DFD">
        <w:rPr>
          <w:rStyle w:val="a6"/>
          <w:szCs w:val="18"/>
        </w:rPr>
        <w:footnoteRef/>
      </w:r>
      <w:r w:rsidRPr="005E5B12">
        <w:rPr>
          <w:szCs w:val="18"/>
          <w:lang w:val="ru-RU"/>
        </w:rPr>
        <w:tab/>
      </w:r>
      <w:r>
        <w:rPr>
          <w:szCs w:val="18"/>
          <w:lang w:val="ru-RU"/>
        </w:rPr>
        <w:t>В</w:t>
      </w:r>
      <w:r w:rsidRPr="005E5B1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соответствии</w:t>
      </w:r>
      <w:r w:rsidRPr="005E5B1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</w:t>
      </w:r>
      <w:r w:rsidRPr="005E5B1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резолюцией</w:t>
      </w:r>
      <w:r w:rsidRPr="005E5B12">
        <w:rPr>
          <w:color w:val="000000"/>
          <w:lang w:val="ru-RU"/>
        </w:rPr>
        <w:t xml:space="preserve"> </w:t>
      </w:r>
      <w:r w:rsidRPr="005E5B12">
        <w:rPr>
          <w:spacing w:val="-1"/>
          <w:position w:val="-1"/>
          <w:szCs w:val="18"/>
          <w:lang w:val="ru-RU"/>
        </w:rPr>
        <w:t>70/</w:t>
      </w:r>
      <w:r w:rsidRPr="005E5B12">
        <w:rPr>
          <w:position w:val="-1"/>
          <w:szCs w:val="18"/>
          <w:lang w:val="ru-RU"/>
        </w:rPr>
        <w:t xml:space="preserve">245, </w:t>
      </w:r>
      <w:r>
        <w:rPr>
          <w:position w:val="-1"/>
          <w:szCs w:val="18"/>
          <w:lang w:val="ru-RU"/>
        </w:rPr>
        <w:t>где речь идет о</w:t>
      </w:r>
      <w:r w:rsidR="00F453DF">
        <w:rPr>
          <w:position w:val="-1"/>
          <w:szCs w:val="18"/>
          <w:lang w:val="ru-RU"/>
        </w:rPr>
        <w:t xml:space="preserve"> 22%</w:t>
      </w:r>
      <w:r>
        <w:rPr>
          <w:position w:val="-1"/>
          <w:szCs w:val="18"/>
          <w:lang w:val="ru-RU"/>
        </w:rPr>
        <w:t xml:space="preserve"> на период</w:t>
      </w:r>
      <w:r w:rsidRPr="005E5B12">
        <w:rPr>
          <w:spacing w:val="47"/>
          <w:szCs w:val="18"/>
          <w:lang w:val="ru-RU"/>
        </w:rPr>
        <w:t xml:space="preserve"> </w:t>
      </w:r>
      <w:r w:rsidRPr="005E5B12">
        <w:rPr>
          <w:spacing w:val="4"/>
          <w:szCs w:val="18"/>
          <w:lang w:val="ru-RU"/>
        </w:rPr>
        <w:t>20</w:t>
      </w:r>
      <w:r w:rsidRPr="005E5B12">
        <w:rPr>
          <w:szCs w:val="18"/>
          <w:lang w:val="ru-RU"/>
        </w:rPr>
        <w:t>16</w:t>
      </w:r>
      <w:r w:rsidRPr="005E5B12">
        <w:rPr>
          <w:spacing w:val="42"/>
          <w:szCs w:val="18"/>
          <w:lang w:val="ru-RU"/>
        </w:rPr>
        <w:t>–</w:t>
      </w:r>
      <w:r w:rsidRPr="005E5B12">
        <w:rPr>
          <w:spacing w:val="4"/>
          <w:w w:val="103"/>
          <w:szCs w:val="18"/>
          <w:lang w:val="ru-RU"/>
        </w:rPr>
        <w:t>2018</w:t>
      </w:r>
      <w:r>
        <w:rPr>
          <w:spacing w:val="4"/>
          <w:w w:val="103"/>
          <w:szCs w:val="18"/>
          <w:lang w:val="ru-RU"/>
        </w:rPr>
        <w:t xml:space="preserve"> годов</w:t>
      </w:r>
      <w:r w:rsidRPr="005E5B12">
        <w:rPr>
          <w:spacing w:val="4"/>
          <w:w w:val="103"/>
          <w:szCs w:val="18"/>
          <w:lang w:val="ru-RU"/>
        </w:rPr>
        <w:t>.</w:t>
      </w:r>
    </w:p>
  </w:footnote>
  <w:footnote w:id="4">
    <w:p w:rsidR="00403024" w:rsidRPr="00395E9B" w:rsidRDefault="00403024" w:rsidP="00403024">
      <w:pPr>
        <w:pStyle w:val="aa"/>
        <w:rPr>
          <w:lang w:val="ru-RU"/>
        </w:rPr>
      </w:pPr>
      <w:r w:rsidRPr="005E5B12">
        <w:rPr>
          <w:lang w:val="ru-RU"/>
        </w:rPr>
        <w:tab/>
      </w:r>
      <w:r w:rsidRPr="00773DFD">
        <w:rPr>
          <w:rStyle w:val="a6"/>
        </w:rPr>
        <w:footnoteRef/>
      </w:r>
      <w:r w:rsidRPr="00395E9B">
        <w:rPr>
          <w:lang w:val="ru-RU"/>
        </w:rPr>
        <w:tab/>
      </w:r>
      <w:r>
        <w:rPr>
          <w:lang w:val="ru-RU"/>
        </w:rPr>
        <w:t>Выпуще</w:t>
      </w:r>
      <w:r w:rsidRPr="00395E9B">
        <w:rPr>
          <w:lang w:val="ru-RU"/>
        </w:rPr>
        <w:t xml:space="preserve">ны Генеральным секретарем в ноябре 2009 года. </w:t>
      </w:r>
      <w:proofErr w:type="gramStart"/>
      <w:r w:rsidRPr="00395E9B">
        <w:rPr>
          <w:lang w:val="ru-RU"/>
        </w:rPr>
        <w:t>Размещены</w:t>
      </w:r>
      <w:proofErr w:type="gramEnd"/>
      <w:r w:rsidRPr="00395E9B">
        <w:rPr>
          <w:lang w:val="ru-RU"/>
        </w:rPr>
        <w:t xml:space="preserve"> по адресу </w:t>
      </w:r>
      <w:hyperlink r:id="rId2" w:history="1">
        <w:r w:rsidRPr="00F56B73">
          <w:rPr>
            <w:rStyle w:val="af1"/>
          </w:rPr>
          <w:t>http</w:t>
        </w:r>
        <w:r w:rsidRPr="00395E9B">
          <w:rPr>
            <w:rStyle w:val="af1"/>
            <w:lang w:val="ru-RU"/>
          </w:rPr>
          <w:t>://</w:t>
        </w:r>
        <w:r w:rsidRPr="00F56B73">
          <w:rPr>
            <w:rStyle w:val="af1"/>
          </w:rPr>
          <w:t>business</w:t>
        </w:r>
        <w:r w:rsidRPr="00395E9B">
          <w:rPr>
            <w:rStyle w:val="af1"/>
            <w:lang w:val="ru-RU"/>
          </w:rPr>
          <w:t>.</w:t>
        </w:r>
        <w:r w:rsidRPr="00F56B73">
          <w:rPr>
            <w:rStyle w:val="af1"/>
          </w:rPr>
          <w:t>un</w:t>
        </w:r>
        <w:r w:rsidRPr="00395E9B">
          <w:rPr>
            <w:rStyle w:val="af1"/>
            <w:lang w:val="ru-RU"/>
          </w:rPr>
          <w:t>.</w:t>
        </w:r>
        <w:r w:rsidRPr="00F56B73">
          <w:rPr>
            <w:rStyle w:val="af1"/>
          </w:rPr>
          <w:t>org</w:t>
        </w:r>
        <w:r w:rsidRPr="00395E9B">
          <w:rPr>
            <w:rStyle w:val="af1"/>
            <w:lang w:val="ru-RU"/>
          </w:rPr>
          <w:t>/</w:t>
        </w:r>
        <w:proofErr w:type="spellStart"/>
        <w:r w:rsidRPr="00F56B73">
          <w:rPr>
            <w:rStyle w:val="af1"/>
          </w:rPr>
          <w:t>en</w:t>
        </w:r>
        <w:proofErr w:type="spellEnd"/>
        <w:r w:rsidRPr="00395E9B">
          <w:rPr>
            <w:rStyle w:val="af1"/>
            <w:lang w:val="ru-RU"/>
          </w:rPr>
          <w:t>/</w:t>
        </w:r>
        <w:r w:rsidRPr="00F56B73">
          <w:rPr>
            <w:rStyle w:val="af1"/>
          </w:rPr>
          <w:t>documents</w:t>
        </w:r>
        <w:r w:rsidRPr="00395E9B">
          <w:rPr>
            <w:rStyle w:val="af1"/>
            <w:lang w:val="ru-RU"/>
          </w:rPr>
          <w:t>/6602</w:t>
        </w:r>
      </w:hyperlink>
      <w:r w:rsidRPr="00395E9B">
        <w:rPr>
          <w:rStyle w:val="af1"/>
          <w:lang w:val="ru-RU"/>
        </w:rPr>
        <w:t>.</w:t>
      </w:r>
    </w:p>
  </w:footnote>
  <w:footnote w:id="5">
    <w:p w:rsidR="00403024" w:rsidRPr="00907B23" w:rsidRDefault="00403024" w:rsidP="00403024">
      <w:pPr>
        <w:pStyle w:val="aa"/>
        <w:rPr>
          <w:lang w:val="ru-RU"/>
        </w:rPr>
      </w:pPr>
      <w:r w:rsidRPr="00395E9B">
        <w:rPr>
          <w:lang w:val="ru-RU"/>
        </w:rPr>
        <w:tab/>
      </w:r>
      <w:r>
        <w:rPr>
          <w:rStyle w:val="a6"/>
        </w:rPr>
        <w:footnoteRef/>
      </w:r>
      <w:r w:rsidRPr="000678AF">
        <w:rPr>
          <w:lang w:val="ru-RU"/>
        </w:rPr>
        <w:tab/>
      </w:r>
      <w:r>
        <w:rPr>
          <w:szCs w:val="18"/>
          <w:lang w:val="ru-RU"/>
        </w:rPr>
        <w:t>См</w:t>
      </w:r>
      <w:r w:rsidRPr="000678AF">
        <w:rPr>
          <w:szCs w:val="18"/>
          <w:lang w:val="ru-RU"/>
        </w:rPr>
        <w:t xml:space="preserve">. </w:t>
      </w:r>
      <w:r w:rsidRPr="000678AF">
        <w:rPr>
          <w:i/>
          <w:szCs w:val="18"/>
          <w:lang w:val="ru-RU"/>
        </w:rPr>
        <w:t xml:space="preserve">Официальные отчеты </w:t>
      </w:r>
      <w:r w:rsidRPr="000678AF">
        <w:rPr>
          <w:i/>
          <w:lang w:val="ru-RU"/>
        </w:rPr>
        <w:t>Экономического и Социального Совета</w:t>
      </w:r>
      <w:r w:rsidRPr="000678AF">
        <w:rPr>
          <w:i/>
          <w:szCs w:val="18"/>
          <w:lang w:val="ru-RU"/>
        </w:rPr>
        <w:t>, 2013</w:t>
      </w:r>
      <w:r>
        <w:rPr>
          <w:i/>
          <w:szCs w:val="18"/>
          <w:lang w:val="ru-RU"/>
        </w:rPr>
        <w:t xml:space="preserve"> год</w:t>
      </w:r>
      <w:r w:rsidRPr="000678AF">
        <w:rPr>
          <w:i/>
          <w:szCs w:val="18"/>
          <w:lang w:val="ru-RU"/>
        </w:rPr>
        <w:t xml:space="preserve">, </w:t>
      </w:r>
      <w:r>
        <w:rPr>
          <w:i/>
          <w:szCs w:val="18"/>
          <w:lang w:val="ru-RU"/>
        </w:rPr>
        <w:t>Дополнение</w:t>
      </w:r>
      <w:r w:rsidR="008860F8" w:rsidRPr="008860F8">
        <w:rPr>
          <w:i/>
          <w:szCs w:val="18"/>
          <w:lang w:val="ru-RU"/>
        </w:rPr>
        <w:t xml:space="preserve"> </w:t>
      </w:r>
      <w:r w:rsidR="008860F8">
        <w:rPr>
          <w:i/>
          <w:szCs w:val="18"/>
          <w:lang w:val="ru-RU"/>
        </w:rPr>
        <w:t>№</w:t>
      </w:r>
      <w:r w:rsidRPr="000678AF">
        <w:rPr>
          <w:i/>
          <w:szCs w:val="18"/>
          <w:lang w:val="ru-RU"/>
        </w:rPr>
        <w:t xml:space="preserve"> 17</w:t>
      </w:r>
      <w:r w:rsidRPr="000678AF">
        <w:rPr>
          <w:szCs w:val="18"/>
          <w:lang w:val="ru-RU"/>
        </w:rPr>
        <w:t xml:space="preserve"> (</w:t>
      </w:r>
      <w:r w:rsidRPr="00AA6F78">
        <w:rPr>
          <w:bCs/>
          <w:szCs w:val="18"/>
        </w:rPr>
        <w:t>E</w:t>
      </w:r>
      <w:r w:rsidRPr="000678AF">
        <w:rPr>
          <w:bCs/>
          <w:szCs w:val="18"/>
          <w:lang w:val="ru-RU"/>
        </w:rPr>
        <w:t>/2013/37–</w:t>
      </w:r>
      <w:r w:rsidRPr="00AA6F78">
        <w:rPr>
          <w:bCs/>
          <w:szCs w:val="18"/>
        </w:rPr>
        <w:t>E</w:t>
      </w:r>
      <w:r w:rsidRPr="000678AF">
        <w:rPr>
          <w:bCs/>
          <w:szCs w:val="18"/>
          <w:lang w:val="ru-RU"/>
        </w:rPr>
        <w:t>/</w:t>
      </w:r>
      <w:r w:rsidRPr="00AA6F78">
        <w:rPr>
          <w:bCs/>
          <w:szCs w:val="18"/>
        </w:rPr>
        <w:t>ECE</w:t>
      </w:r>
      <w:r w:rsidRPr="000678AF">
        <w:rPr>
          <w:bCs/>
          <w:szCs w:val="18"/>
          <w:lang w:val="ru-RU"/>
        </w:rPr>
        <w:t xml:space="preserve">/1464), </w:t>
      </w:r>
      <w:r>
        <w:rPr>
          <w:szCs w:val="18"/>
          <w:lang w:val="ru-RU"/>
        </w:rPr>
        <w:t>приложение</w:t>
      </w:r>
      <w:r w:rsidRPr="000678AF">
        <w:rPr>
          <w:szCs w:val="18"/>
          <w:lang w:val="ru-RU"/>
        </w:rPr>
        <w:t xml:space="preserve"> </w:t>
      </w:r>
      <w:r>
        <w:rPr>
          <w:szCs w:val="18"/>
        </w:rPr>
        <w:t>III</w:t>
      </w:r>
      <w:r w:rsidRPr="000678AF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глава</w:t>
      </w:r>
      <w:r w:rsidRPr="000678AF">
        <w:rPr>
          <w:szCs w:val="18"/>
          <w:lang w:val="ru-RU"/>
        </w:rPr>
        <w:t xml:space="preserve"> </w:t>
      </w:r>
      <w:r>
        <w:rPr>
          <w:szCs w:val="18"/>
        </w:rPr>
        <w:t>II</w:t>
      </w:r>
      <w:r w:rsidRPr="000678AF">
        <w:rPr>
          <w:szCs w:val="18"/>
          <w:lang w:val="ru-RU"/>
        </w:rPr>
        <w:t>.</w:t>
      </w:r>
      <w:r w:rsidRPr="00F50EAC">
        <w:rPr>
          <w:szCs w:val="18"/>
        </w:rPr>
        <w:t>A</w:t>
      </w:r>
      <w:r w:rsidRPr="000678AF">
        <w:rPr>
          <w:szCs w:val="18"/>
          <w:lang w:val="ru-RU" w:eastAsia="en-GB"/>
        </w:rPr>
        <w:t xml:space="preserve">, </w:t>
      </w:r>
      <w:r>
        <w:rPr>
          <w:szCs w:val="18"/>
          <w:lang w:val="ru-RU" w:eastAsia="en-GB"/>
        </w:rPr>
        <w:t>размещено по</w:t>
      </w:r>
      <w:r w:rsidR="00D83FF5">
        <w:rPr>
          <w:szCs w:val="18"/>
          <w:lang w:val="en-US" w:eastAsia="en-GB"/>
        </w:rPr>
        <w:t> </w:t>
      </w:r>
      <w:r>
        <w:rPr>
          <w:szCs w:val="18"/>
          <w:lang w:val="ru-RU" w:eastAsia="en-GB"/>
        </w:rPr>
        <w:t>адресу</w:t>
      </w:r>
      <w:r w:rsidRPr="000678AF">
        <w:rPr>
          <w:szCs w:val="18"/>
          <w:lang w:val="ru-RU" w:eastAsia="en-GB"/>
        </w:rPr>
        <w:t xml:space="preserve"> </w:t>
      </w:r>
      <w:hyperlink r:id="rId3" w:anchor="/" w:history="1">
        <w:r w:rsidRPr="00F50EAC">
          <w:rPr>
            <w:rStyle w:val="af1"/>
            <w:szCs w:val="18"/>
          </w:rPr>
          <w:t>http</w:t>
        </w:r>
        <w:r w:rsidRPr="000678AF">
          <w:rPr>
            <w:rStyle w:val="af1"/>
            <w:szCs w:val="18"/>
            <w:lang w:val="ru-RU"/>
          </w:rPr>
          <w:t>://</w:t>
        </w:r>
        <w:r w:rsidRPr="00F50EAC">
          <w:rPr>
            <w:rStyle w:val="af1"/>
            <w:szCs w:val="18"/>
          </w:rPr>
          <w:t>www</w:t>
        </w:r>
        <w:r w:rsidRPr="000678AF">
          <w:rPr>
            <w:rStyle w:val="af1"/>
            <w:szCs w:val="18"/>
            <w:lang w:val="ru-RU"/>
          </w:rPr>
          <w:t>.</w:t>
        </w:r>
        <w:proofErr w:type="spellStart"/>
        <w:r w:rsidRPr="00F50EAC">
          <w:rPr>
            <w:rStyle w:val="af1"/>
            <w:szCs w:val="18"/>
          </w:rPr>
          <w:t>unece</w:t>
        </w:r>
        <w:proofErr w:type="spellEnd"/>
        <w:r w:rsidRPr="000678AF">
          <w:rPr>
            <w:rStyle w:val="af1"/>
            <w:szCs w:val="18"/>
            <w:lang w:val="ru-RU"/>
          </w:rPr>
          <w:t>.</w:t>
        </w:r>
        <w:r w:rsidRPr="00F50EAC">
          <w:rPr>
            <w:rStyle w:val="af1"/>
            <w:szCs w:val="18"/>
          </w:rPr>
          <w:t>org</w:t>
        </w:r>
        <w:r w:rsidRPr="000678AF">
          <w:rPr>
            <w:rStyle w:val="af1"/>
            <w:szCs w:val="18"/>
            <w:lang w:val="ru-RU"/>
          </w:rPr>
          <w:t>/</w:t>
        </w:r>
        <w:r w:rsidRPr="00F50EAC">
          <w:rPr>
            <w:rStyle w:val="af1"/>
            <w:szCs w:val="18"/>
          </w:rPr>
          <w:t>index</w:t>
        </w:r>
        <w:r w:rsidRPr="000678AF">
          <w:rPr>
            <w:rStyle w:val="af1"/>
            <w:szCs w:val="18"/>
            <w:lang w:val="ru-RU"/>
          </w:rPr>
          <w:t>.</w:t>
        </w:r>
        <w:proofErr w:type="spellStart"/>
        <w:r w:rsidRPr="00F50EAC">
          <w:rPr>
            <w:rStyle w:val="af1"/>
            <w:szCs w:val="18"/>
          </w:rPr>
          <w:t>php</w:t>
        </w:r>
        <w:proofErr w:type="spellEnd"/>
        <w:r w:rsidRPr="000678AF">
          <w:rPr>
            <w:rStyle w:val="af1"/>
            <w:szCs w:val="18"/>
            <w:lang w:val="ru-RU"/>
          </w:rPr>
          <w:t>?</w:t>
        </w:r>
        <w:r w:rsidRPr="00F50EAC">
          <w:rPr>
            <w:rStyle w:val="af1"/>
            <w:szCs w:val="18"/>
          </w:rPr>
          <w:t>id</w:t>
        </w:r>
        <w:r w:rsidRPr="000678AF">
          <w:rPr>
            <w:rStyle w:val="af1"/>
            <w:szCs w:val="18"/>
            <w:lang w:val="ru-RU"/>
          </w:rPr>
          <w:t>=31965#/</w:t>
        </w:r>
      </w:hyperlink>
      <w:r w:rsidR="00907B23" w:rsidRPr="00907B23">
        <w:rPr>
          <w:rStyle w:val="af1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24" w:rsidRPr="007005EE" w:rsidRDefault="00403024">
    <w:pPr>
      <w:pStyle w:val="a3"/>
      <w:rPr>
        <w:lang w:val="en-US"/>
      </w:rPr>
    </w:pPr>
    <w:r>
      <w:rPr>
        <w:lang w:val="en-US"/>
      </w:rPr>
      <w:t>ECE/</w:t>
    </w:r>
    <w:r w:rsidR="00D83FF5" w:rsidRPr="00D83FF5">
      <w:rPr>
        <w:lang w:val="en-US"/>
      </w:rPr>
      <w:t>MP.PP/WG.1/2016/8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24" w:rsidRPr="004D639B" w:rsidRDefault="00403024" w:rsidP="007005EE">
    <w:pPr>
      <w:pStyle w:val="a3"/>
      <w:jc w:val="right"/>
      <w:rPr>
        <w:lang w:val="en-US"/>
      </w:rPr>
    </w:pPr>
    <w:r>
      <w:rPr>
        <w:lang w:val="en-US"/>
      </w:rPr>
      <w:t>ECE/</w:t>
    </w:r>
    <w:r w:rsidR="00D83FF5" w:rsidRPr="00D83FF5">
      <w:rPr>
        <w:lang w:val="en-US"/>
      </w:rPr>
      <w:t>MP.PP/WG.1/2016/8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24"/>
    <w:rsid w:val="000450D1"/>
    <w:rsid w:val="0009722E"/>
    <w:rsid w:val="000B1FD5"/>
    <w:rsid w:val="000F2A4F"/>
    <w:rsid w:val="0012791B"/>
    <w:rsid w:val="001D0D07"/>
    <w:rsid w:val="00203F84"/>
    <w:rsid w:val="00275188"/>
    <w:rsid w:val="0028687D"/>
    <w:rsid w:val="002B091C"/>
    <w:rsid w:val="002B3D40"/>
    <w:rsid w:val="002D0CCB"/>
    <w:rsid w:val="00345C79"/>
    <w:rsid w:val="00366A39"/>
    <w:rsid w:val="003A5B2A"/>
    <w:rsid w:val="003C4EF7"/>
    <w:rsid w:val="00403024"/>
    <w:rsid w:val="00450F34"/>
    <w:rsid w:val="0048005C"/>
    <w:rsid w:val="004D639B"/>
    <w:rsid w:val="004E242B"/>
    <w:rsid w:val="004E3D1D"/>
    <w:rsid w:val="004E6226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82B7F"/>
    <w:rsid w:val="007A1F42"/>
    <w:rsid w:val="007D76DD"/>
    <w:rsid w:val="007E58B5"/>
    <w:rsid w:val="00834470"/>
    <w:rsid w:val="008717E8"/>
    <w:rsid w:val="008860F8"/>
    <w:rsid w:val="008B475F"/>
    <w:rsid w:val="008D01AE"/>
    <w:rsid w:val="008E0423"/>
    <w:rsid w:val="00907B23"/>
    <w:rsid w:val="009141DC"/>
    <w:rsid w:val="009174A1"/>
    <w:rsid w:val="00937157"/>
    <w:rsid w:val="009429CD"/>
    <w:rsid w:val="0098674D"/>
    <w:rsid w:val="00997ACA"/>
    <w:rsid w:val="00A03FB7"/>
    <w:rsid w:val="00A55C56"/>
    <w:rsid w:val="00A658DB"/>
    <w:rsid w:val="00A75A11"/>
    <w:rsid w:val="00A9606E"/>
    <w:rsid w:val="00AD7EAD"/>
    <w:rsid w:val="00AE25F8"/>
    <w:rsid w:val="00B35A32"/>
    <w:rsid w:val="00B432C6"/>
    <w:rsid w:val="00B471C5"/>
    <w:rsid w:val="00B6474A"/>
    <w:rsid w:val="00B810E9"/>
    <w:rsid w:val="00BE1742"/>
    <w:rsid w:val="00C678C5"/>
    <w:rsid w:val="00D1261C"/>
    <w:rsid w:val="00D26030"/>
    <w:rsid w:val="00D75DCE"/>
    <w:rsid w:val="00D83FF5"/>
    <w:rsid w:val="00DD35AC"/>
    <w:rsid w:val="00DD479F"/>
    <w:rsid w:val="00E01A44"/>
    <w:rsid w:val="00E15E48"/>
    <w:rsid w:val="00EB0723"/>
    <w:rsid w:val="00EB2957"/>
    <w:rsid w:val="00EE6F37"/>
    <w:rsid w:val="00F1599F"/>
    <w:rsid w:val="00F31EF2"/>
    <w:rsid w:val="00F4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,Footnote symbol,Footnote reference number,Footnote Reference Superscript,BVI fnr,SUPERS,(Footnote Reference),Footnote,Voetnootverwijzing,Times 10 Point,Exposant 3 Point,note TESI,Odwołanie przypisu,Footnotemark,FR,Ref,E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03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024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af1">
    <w:name w:val="Hyperlink"/>
    <w:basedOn w:val="a0"/>
    <w:semiHidden/>
    <w:rsid w:val="00403024"/>
    <w:rPr>
      <w:color w:val="auto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,Footnote symbol,Footnote reference number,Footnote Reference Superscript,BVI fnr,SUPERS,(Footnote Reference),Footnote,Voetnootverwijzing,Times 10 Point,Exposant 3 Point,note TESI,Odwołanie przypisu,Footnotemark,FR,Ref,E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03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024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af1">
    <w:name w:val="Hyperlink"/>
    <w:basedOn w:val="a0"/>
    <w:semiHidden/>
    <w:rsid w:val="00403024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index.php?id=31965" TargetMode="External"/><Relationship Id="rId2" Type="http://schemas.openxmlformats.org/officeDocument/2006/relationships/hyperlink" Target="http://business.un.org/en/documents/6602" TargetMode="External"/><Relationship Id="rId1" Type="http://schemas.openxmlformats.org/officeDocument/2006/relationships/hyperlink" Target="http://www.unece.org/env/pp/aarhus/mop5_doc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400C-2550-4D1E-A4A7-01984EB8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9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Sharkina</cp:lastModifiedBy>
  <cp:revision>2</cp:revision>
  <cp:lastPrinted>2016-04-06T14:34:00Z</cp:lastPrinted>
  <dcterms:created xsi:type="dcterms:W3CDTF">2016-04-06T15:02:00Z</dcterms:created>
  <dcterms:modified xsi:type="dcterms:W3CDTF">2016-04-06T15:02:00Z</dcterms:modified>
</cp:coreProperties>
</file>