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C091B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D4CB4C" w14:textId="77777777" w:rsidR="002D5AAC" w:rsidRDefault="002D5AAC" w:rsidP="004F19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87F8A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15A000C" w14:textId="77777777" w:rsidR="002D5AAC" w:rsidRDefault="004F194E" w:rsidP="004F194E">
            <w:pPr>
              <w:jc w:val="right"/>
            </w:pPr>
            <w:r w:rsidRPr="004F194E">
              <w:rPr>
                <w:sz w:val="40"/>
              </w:rPr>
              <w:t>ECE</w:t>
            </w:r>
            <w:r>
              <w:t>/MP.PRTR/WG.1/2020/8</w:t>
            </w:r>
          </w:p>
        </w:tc>
      </w:tr>
      <w:tr w:rsidR="002D5AAC" w:rsidRPr="004F194E" w14:paraId="2D1C74C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A4078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2C6EEA" wp14:editId="21A805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C0C5C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6FCB3F" w14:textId="77777777" w:rsidR="002D5AAC" w:rsidRDefault="004F19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AD4D7AC" w14:textId="77777777" w:rsidR="004F194E" w:rsidRDefault="00A37515" w:rsidP="004F19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F194E">
              <w:rPr>
                <w:lang w:val="en-US"/>
              </w:rPr>
              <w:t xml:space="preserve"> October 2020</w:t>
            </w:r>
          </w:p>
          <w:p w14:paraId="3262CCA2" w14:textId="77777777" w:rsidR="004F194E" w:rsidRDefault="004F194E" w:rsidP="004F19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5132F4" w14:textId="77777777" w:rsidR="004F194E" w:rsidRPr="008D53B6" w:rsidRDefault="004F194E" w:rsidP="004F19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B91B10" w14:textId="77777777" w:rsidR="004F194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4FF8B2" w14:textId="77777777" w:rsidR="004F194E" w:rsidRPr="00A37515" w:rsidRDefault="004F194E" w:rsidP="00A37515">
      <w:pPr>
        <w:spacing w:before="120"/>
        <w:rPr>
          <w:sz w:val="28"/>
          <w:szCs w:val="28"/>
        </w:rPr>
      </w:pPr>
      <w:r w:rsidRPr="00A37515">
        <w:rPr>
          <w:sz w:val="28"/>
          <w:szCs w:val="28"/>
        </w:rPr>
        <w:t xml:space="preserve">Совещание Сторон Протокола </w:t>
      </w:r>
      <w:r w:rsidR="0032260E">
        <w:rPr>
          <w:sz w:val="28"/>
          <w:szCs w:val="28"/>
        </w:rPr>
        <w:br/>
      </w:r>
      <w:r w:rsidRPr="00A37515">
        <w:rPr>
          <w:sz w:val="28"/>
          <w:szCs w:val="28"/>
        </w:rPr>
        <w:t xml:space="preserve">о регистрах выбросов и переноса </w:t>
      </w:r>
      <w:r w:rsidR="0032260E">
        <w:rPr>
          <w:sz w:val="28"/>
          <w:szCs w:val="28"/>
        </w:rPr>
        <w:br/>
      </w:r>
      <w:r w:rsidRPr="00A37515">
        <w:rPr>
          <w:sz w:val="28"/>
          <w:szCs w:val="28"/>
        </w:rPr>
        <w:t xml:space="preserve">загрязнителей к Конвенции о доступе </w:t>
      </w:r>
      <w:r w:rsidR="0032260E">
        <w:rPr>
          <w:sz w:val="28"/>
          <w:szCs w:val="28"/>
        </w:rPr>
        <w:br/>
      </w:r>
      <w:r w:rsidRPr="00A37515">
        <w:rPr>
          <w:sz w:val="28"/>
          <w:szCs w:val="28"/>
        </w:rPr>
        <w:t xml:space="preserve">к информации, участии общественности </w:t>
      </w:r>
      <w:r w:rsidR="0032260E">
        <w:rPr>
          <w:sz w:val="28"/>
          <w:szCs w:val="28"/>
        </w:rPr>
        <w:br/>
      </w:r>
      <w:r w:rsidRPr="00A37515">
        <w:rPr>
          <w:sz w:val="28"/>
          <w:szCs w:val="28"/>
        </w:rPr>
        <w:t xml:space="preserve">в процессе принятия решений и доступе </w:t>
      </w:r>
      <w:r w:rsidR="0032260E">
        <w:rPr>
          <w:sz w:val="28"/>
          <w:szCs w:val="28"/>
        </w:rPr>
        <w:br/>
      </w:r>
      <w:r w:rsidRPr="00A37515">
        <w:rPr>
          <w:sz w:val="28"/>
          <w:szCs w:val="28"/>
        </w:rPr>
        <w:t xml:space="preserve">к правосудию по вопросам, </w:t>
      </w:r>
      <w:r w:rsidR="0032260E">
        <w:rPr>
          <w:sz w:val="28"/>
          <w:szCs w:val="28"/>
        </w:rPr>
        <w:br/>
      </w:r>
      <w:r w:rsidRPr="00A37515">
        <w:rPr>
          <w:sz w:val="28"/>
          <w:szCs w:val="28"/>
        </w:rPr>
        <w:t>касающимся окружающей среды</w:t>
      </w:r>
    </w:p>
    <w:p w14:paraId="3E04B43C" w14:textId="77777777" w:rsidR="004F194E" w:rsidRPr="00A37515" w:rsidRDefault="004F194E" w:rsidP="00A37515">
      <w:pPr>
        <w:spacing w:before="120"/>
        <w:rPr>
          <w:b/>
          <w:bCs/>
          <w:sz w:val="24"/>
          <w:szCs w:val="24"/>
        </w:rPr>
      </w:pPr>
      <w:r w:rsidRPr="00A37515">
        <w:rPr>
          <w:b/>
          <w:bCs/>
          <w:sz w:val="24"/>
          <w:szCs w:val="24"/>
        </w:rPr>
        <w:t>Рабочая группа Сторон</w:t>
      </w:r>
    </w:p>
    <w:p w14:paraId="55832708" w14:textId="77777777" w:rsidR="004F194E" w:rsidRPr="00A37515" w:rsidRDefault="004F194E" w:rsidP="00A37515">
      <w:pPr>
        <w:spacing w:before="120"/>
        <w:rPr>
          <w:b/>
          <w:bCs/>
        </w:rPr>
      </w:pPr>
      <w:r w:rsidRPr="00A37515">
        <w:rPr>
          <w:b/>
          <w:bCs/>
        </w:rPr>
        <w:t>Восьмое совещание</w:t>
      </w:r>
    </w:p>
    <w:p w14:paraId="237D3174" w14:textId="77777777" w:rsidR="004F194E" w:rsidRDefault="004F194E" w:rsidP="004F194E">
      <w:r>
        <w:t>Женева, 16–18 декабря 2020 года</w:t>
      </w:r>
    </w:p>
    <w:p w14:paraId="14DEF6ED" w14:textId="77777777" w:rsidR="004F194E" w:rsidRDefault="004F194E" w:rsidP="004F194E">
      <w:r>
        <w:t xml:space="preserve">Пункт 8 b) </w:t>
      </w:r>
      <w:proofErr w:type="spellStart"/>
      <w:r>
        <w:t>iii</w:t>
      </w:r>
      <w:proofErr w:type="spellEnd"/>
      <w:r>
        <w:t xml:space="preserve">) предварительной повестки дня </w:t>
      </w:r>
    </w:p>
    <w:p w14:paraId="48B39606" w14:textId="77777777" w:rsidR="00E12C5F" w:rsidRPr="0032260E" w:rsidRDefault="004F194E" w:rsidP="004F194E">
      <w:pPr>
        <w:rPr>
          <w:b/>
          <w:bCs/>
        </w:rPr>
      </w:pPr>
      <w:r w:rsidRPr="0032260E">
        <w:rPr>
          <w:b/>
          <w:bCs/>
        </w:rPr>
        <w:t xml:space="preserve">Подготовка к четвертой сессии Совещания </w:t>
      </w:r>
      <w:r w:rsidR="0032260E">
        <w:rPr>
          <w:b/>
          <w:bCs/>
        </w:rPr>
        <w:br/>
      </w:r>
      <w:r w:rsidR="0032260E" w:rsidRPr="0032260E">
        <w:rPr>
          <w:b/>
          <w:bCs/>
        </w:rPr>
        <w:t xml:space="preserve">Сторон </w:t>
      </w:r>
      <w:r w:rsidRPr="0032260E">
        <w:rPr>
          <w:b/>
          <w:bCs/>
        </w:rPr>
        <w:t xml:space="preserve">Протокола: основная подготовка: </w:t>
      </w:r>
      <w:r w:rsidR="0032260E">
        <w:rPr>
          <w:b/>
          <w:bCs/>
        </w:rPr>
        <w:br/>
      </w:r>
      <w:r w:rsidRPr="0032260E">
        <w:rPr>
          <w:b/>
          <w:bCs/>
        </w:rPr>
        <w:t>программа работы на 2022–2025 годы</w:t>
      </w:r>
    </w:p>
    <w:p w14:paraId="2C8F394D" w14:textId="77777777" w:rsidR="004F194E" w:rsidRPr="004F194E" w:rsidRDefault="004F194E" w:rsidP="0032260E">
      <w:pPr>
        <w:pStyle w:val="HChG"/>
      </w:pPr>
      <w:r w:rsidRPr="004F194E">
        <w:tab/>
      </w:r>
      <w:r w:rsidRPr="004F194E">
        <w:tab/>
        <w:t>Проект решения о программе работы по Протоколу о</w:t>
      </w:r>
      <w:r w:rsidR="0032260E">
        <w:rPr>
          <w:lang w:val="en-US"/>
        </w:rPr>
        <w:t> </w:t>
      </w:r>
      <w:r w:rsidRPr="004F194E">
        <w:t xml:space="preserve">регистрах выбросов и переноса загрязнителей </w:t>
      </w:r>
      <w:r w:rsidR="0032260E">
        <w:br/>
      </w:r>
      <w:r w:rsidRPr="004F194E">
        <w:t>на 2022–2025 годы</w:t>
      </w:r>
      <w:r w:rsidRPr="0032260E">
        <w:rPr>
          <w:b w:val="0"/>
          <w:bCs/>
          <w:sz w:val="20"/>
          <w:szCs w:val="14"/>
        </w:rPr>
        <w:footnoteReference w:customMarkFollows="1" w:id="1"/>
        <w:t>*</w:t>
      </w:r>
    </w:p>
    <w:p w14:paraId="0D95FFA4" w14:textId="77777777" w:rsidR="004F194E" w:rsidRDefault="004F194E" w:rsidP="0032260E">
      <w:pPr>
        <w:pStyle w:val="H1G"/>
      </w:pPr>
      <w:r w:rsidRPr="004F194E">
        <w:tab/>
      </w:r>
      <w:r w:rsidRPr="004F194E">
        <w:tab/>
        <w:t>Подготовлен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F194E" w:rsidRPr="004F194E" w14:paraId="27C49CED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E7CE0B0" w14:textId="77777777" w:rsidR="004F194E" w:rsidRPr="004F194E" w:rsidRDefault="004F194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F194E">
              <w:rPr>
                <w:rFonts w:cs="Times New Roman"/>
              </w:rPr>
              <w:tab/>
            </w:r>
            <w:r w:rsidRPr="004F194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F194E" w:rsidRPr="004F194E" w14:paraId="6ABF948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CC4F389" w14:textId="77777777" w:rsidR="004F194E" w:rsidRPr="004F194E" w:rsidRDefault="004F194E" w:rsidP="00D6488B">
            <w:pPr>
              <w:pStyle w:val="SingleTxtG"/>
            </w:pPr>
            <w:r>
              <w:tab/>
            </w:r>
            <w:r>
              <w:tab/>
            </w:r>
            <w:r w:rsidRPr="004F194E">
              <w:t>На своей третьей сессии (</w:t>
            </w:r>
            <w:proofErr w:type="spellStart"/>
            <w:r w:rsidRPr="004F194E">
              <w:t>Будва</w:t>
            </w:r>
            <w:proofErr w:type="spellEnd"/>
            <w:r w:rsidRPr="004F194E">
              <w:t xml:space="preserve">, Черногория, 15 сентября 2017 года) Совещание Сторон Протокола о регистрах выбросов и переноса загрязнителей к Конвенции о доступе к информации, участии общественности в процессе принятия решений и доступе к правосудию по вопросам, касающимся окружающей среды, просило секретариат, с учетом результатов осуществления программы работы на </w:t>
            </w:r>
            <w:r w:rsidR="0032260E">
              <w:br/>
            </w:r>
            <w:r w:rsidRPr="004F194E">
              <w:t>2018−2021 годы, подготовить проект программы работы на межсессионный период после четвертой сессии Совещания Сторон (запланирована на октябрь 2021 года), включая подробную разбивку сметных расходов, для рассмотрения и дальнейшей проработки Президиумом и Рабочей группой Сторон не позднее чем за три месяца до начала четвертой сессии Совещания Сторон с целью его возможного утверждения на этом совещании (ECE/MP.PRTR/2017/6/Add.1, решение III/2, пункт 7).</w:t>
            </w:r>
          </w:p>
        </w:tc>
      </w:tr>
      <w:tr w:rsidR="004F194E" w:rsidRPr="004F194E" w14:paraId="0C7840A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2B1DD01" w14:textId="77777777" w:rsidR="004F194E" w:rsidRDefault="004F194E" w:rsidP="00D6488B">
            <w:pPr>
              <w:pStyle w:val="SingleTxtG"/>
            </w:pPr>
            <w:r>
              <w:tab/>
            </w:r>
            <w:r>
              <w:tab/>
            </w:r>
            <w:r w:rsidRPr="004F194E">
              <w:t>Настоящий документ был подготовлен во исполнение вышеуказанного мандата. В документе содержится предлагаемый проект решения по программе работы на 2022–2025 годы по Протоколу о регистрах выбросов и переноса загрязнителей к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      </w:r>
            <w:proofErr w:type="spellStart"/>
            <w:r w:rsidRPr="004F194E">
              <w:t>Орхусская</w:t>
            </w:r>
            <w:proofErr w:type="spellEnd"/>
            <w:r w:rsidRPr="004F194E">
              <w:t xml:space="preserve"> конвенция), подготовленный на основе решения III/2 о программе работы (ECE/MP.PRTR/2017/6/Add.1), которое было принято Совещанием Сторон на ее третьей сессии, и в соответствии с запиской о программе работы по Протоколу о регистрах выбросов и переноса загрязнителей на </w:t>
            </w:r>
            <w:r w:rsidR="0032260E">
              <w:br/>
            </w:r>
            <w:r w:rsidRPr="004F194E">
              <w:t>2022–2025 годы (ECE/MP.PRTR/WG.1/2019/7), рассмотренной Рабочей группой на ее седьмом совещании (Женева, 28 и 29 ноября 2019 года), а также соответствующими решениями этого совещания (ECE/MP.PRTR/WG.1/2019/2).</w:t>
            </w:r>
          </w:p>
        </w:tc>
      </w:tr>
      <w:tr w:rsidR="004F194E" w:rsidRPr="004F194E" w14:paraId="74C2432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C55704D" w14:textId="77777777" w:rsidR="004F194E" w:rsidRDefault="004F194E" w:rsidP="00D6488B">
            <w:pPr>
              <w:pStyle w:val="SingleTxtG"/>
            </w:pPr>
            <w:r>
              <w:lastRenderedPageBreak/>
              <w:tab/>
            </w:r>
            <w:r>
              <w:tab/>
            </w:r>
            <w:r w:rsidRPr="004F194E">
              <w:t>Цель настоящего документа — содействовать обсуждению Рабочей группой вопроса о подготовке проекта программы работы на межсессионный период после завершения четвертой сессии Совещания Сторон Протокола. Расходы были рассчитаны на основе опыта, накопленного в ходе осуществления текущей программы работы. Как и в предыдущий межсессионный период, подготовка новой программы работы требует стратегического планирования и гибкости, поскольку она охватывает довольно длительный период и сопряжена с некоторой неопределенностью в отношении последствий фактических затрат. В этой связи в сметные расходы следует закладывать такие риски и неопределенности, как колебания валютных курсов, изменение цен на авиабилеты и административных требований в Организации Объединенных Наций. При составлении сметы расходов, включаемой в программу работы, эти риски принимаются во внимание, и в этой смете возможные затраты предположительно отражены по максимуму (первоначальные сметные расходы на будущие программы работы, как правило, превышают фактические затраты).</w:t>
            </w:r>
          </w:p>
        </w:tc>
      </w:tr>
      <w:tr w:rsidR="004F194E" w:rsidRPr="004F194E" w14:paraId="60DEF60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B979293" w14:textId="77777777" w:rsidR="004F194E" w:rsidRDefault="004F194E" w:rsidP="00D6488B">
            <w:pPr>
              <w:pStyle w:val="SingleTxtG"/>
            </w:pPr>
            <w:r>
              <w:tab/>
            </w:r>
            <w:r>
              <w:tab/>
            </w:r>
            <w:r w:rsidRPr="004F194E">
              <w:t>Рабочей группе предлагается на своей восьмой сессии (Женева, 16–18 декабря 2020 года) рассмотреть и утвердить проект программы работы и поручить Президиуму доработать проект решения с программой работы, который должен быть представлен Совещанию Сторон для принятия на его четвертой сессии (запланирована на октябрь 2021 года).</w:t>
            </w:r>
          </w:p>
        </w:tc>
      </w:tr>
      <w:tr w:rsidR="004F194E" w:rsidRPr="004F194E" w14:paraId="396596C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4916892" w14:textId="77777777" w:rsidR="004F194E" w:rsidRPr="004F194E" w:rsidRDefault="004F194E" w:rsidP="00850215">
            <w:pPr>
              <w:rPr>
                <w:rFonts w:cs="Times New Roman"/>
              </w:rPr>
            </w:pPr>
          </w:p>
        </w:tc>
      </w:tr>
    </w:tbl>
    <w:p w14:paraId="09576103" w14:textId="77777777" w:rsidR="004F194E" w:rsidRDefault="004F194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8317373" w14:textId="77777777" w:rsidR="004F194E" w:rsidRPr="004F194E" w:rsidRDefault="004F194E" w:rsidP="004F194E">
      <w:pPr>
        <w:pStyle w:val="SingleTxtG"/>
        <w:rPr>
          <w:i/>
        </w:rPr>
      </w:pPr>
      <w:r w:rsidRPr="004F194E">
        <w:rPr>
          <w:i/>
        </w:rPr>
        <w:tab/>
      </w:r>
      <w:r w:rsidR="0032260E">
        <w:rPr>
          <w:i/>
        </w:rPr>
        <w:tab/>
      </w:r>
      <w:r w:rsidRPr="004F194E">
        <w:rPr>
          <w:i/>
        </w:rPr>
        <w:t>Совещание Сторон</w:t>
      </w:r>
      <w:r w:rsidRPr="004F194E">
        <w:rPr>
          <w:iCs/>
        </w:rPr>
        <w:t>,</w:t>
      </w:r>
    </w:p>
    <w:p w14:paraId="1C26E7EF" w14:textId="77777777" w:rsidR="004F194E" w:rsidRPr="004F194E" w:rsidRDefault="004F194E" w:rsidP="004F194E">
      <w:pPr>
        <w:pStyle w:val="SingleTxtG"/>
      </w:pPr>
      <w:r w:rsidRPr="004F194E">
        <w:rPr>
          <w:i/>
          <w:iCs/>
        </w:rPr>
        <w:tab/>
      </w:r>
      <w:r w:rsidRPr="004F194E">
        <w:rPr>
          <w:i/>
          <w:iCs/>
        </w:rPr>
        <w:tab/>
        <w:t xml:space="preserve">ссылаясь </w:t>
      </w:r>
      <w:r w:rsidRPr="004F194E">
        <w:t>на статью 17, пункт 2, Протокола о регистрах выбросов и переноса загрязнителей, в соответствии с которым Совещание Сторон постоянно следит за ходом осуществления и совершенствования Протокола и с учетом этой цели, в</w:t>
      </w:r>
      <w:r w:rsidR="0032260E">
        <w:rPr>
          <w:lang w:val="en-US"/>
        </w:rPr>
        <w:t> </w:t>
      </w:r>
      <w:r w:rsidRPr="004F194E">
        <w:t>частности, определяет программу работы,</w:t>
      </w:r>
    </w:p>
    <w:p w14:paraId="1B9C77B2" w14:textId="77777777" w:rsidR="004F194E" w:rsidRPr="004F194E" w:rsidRDefault="004F194E" w:rsidP="004F194E">
      <w:pPr>
        <w:pStyle w:val="SingleTxtG"/>
      </w:pPr>
      <w:r w:rsidRPr="004F194E">
        <w:rPr>
          <w:i/>
          <w:iCs/>
        </w:rPr>
        <w:tab/>
      </w:r>
      <w:r w:rsidRPr="004F194E">
        <w:rPr>
          <w:i/>
          <w:iCs/>
        </w:rPr>
        <w:tab/>
        <w:t xml:space="preserve">ссылаясь также </w:t>
      </w:r>
      <w:r w:rsidRPr="004F194E">
        <w:t>на свое решение I/6 о процедурах подготовки, принятия и мониторинга программ работы и программе работы на 2011−2014 годы, а также решения II/3 и III/</w:t>
      </w:r>
      <w:r w:rsidRPr="004F194E">
        <w:t>2</w:t>
      </w:r>
      <w:r w:rsidRPr="004F194E">
        <w:t xml:space="preserve"> о программе работы на соответственно 2015–2017 и </w:t>
      </w:r>
      <w:r w:rsidR="0032260E">
        <w:br/>
      </w:r>
      <w:r w:rsidRPr="004F194E">
        <w:t>2018–2021 годы,</w:t>
      </w:r>
    </w:p>
    <w:p w14:paraId="5CA8A029" w14:textId="77777777" w:rsidR="004F194E" w:rsidRPr="004F194E" w:rsidRDefault="004F194E" w:rsidP="004F194E">
      <w:pPr>
        <w:pStyle w:val="SingleTxtG"/>
      </w:pPr>
      <w:r w:rsidRPr="004F194E">
        <w:rPr>
          <w:i/>
        </w:rPr>
        <w:tab/>
      </w:r>
      <w:r w:rsidRPr="004F194E">
        <w:rPr>
          <w:i/>
        </w:rPr>
        <w:tab/>
        <w:t xml:space="preserve">принимая во внимание </w:t>
      </w:r>
      <w:r w:rsidRPr="004F194E">
        <w:rPr>
          <w:iCs/>
        </w:rPr>
        <w:t>стратегический план на 2015−2020 годы по линии Протокола о регистрах выбросов и переноса загрязнителей, принятый решением II/2, и схему финансовых процедур, принятую решением</w:t>
      </w:r>
      <w:r w:rsidRPr="004F194E">
        <w:rPr>
          <w:i/>
        </w:rPr>
        <w:t xml:space="preserve"> </w:t>
      </w:r>
      <w:r w:rsidRPr="004F194E">
        <w:t xml:space="preserve">IV/…, </w:t>
      </w:r>
    </w:p>
    <w:p w14:paraId="4C151D16" w14:textId="77777777" w:rsidR="004F194E" w:rsidRPr="004F194E" w:rsidRDefault="004F194E" w:rsidP="004F194E">
      <w:pPr>
        <w:pStyle w:val="SingleTxtG"/>
      </w:pPr>
      <w:r w:rsidRPr="004F194E">
        <w:rPr>
          <w:i/>
        </w:rPr>
        <w:tab/>
      </w:r>
      <w:r w:rsidRPr="004F194E">
        <w:rPr>
          <w:i/>
        </w:rPr>
        <w:tab/>
        <w:t xml:space="preserve">признавая, </w:t>
      </w:r>
      <w:r w:rsidRPr="004F194E">
        <w:rPr>
          <w:iCs/>
        </w:rPr>
        <w:t>что Протокол играет важную роль в оказании поддержки Сторонам в деле достижения ряда целей в области устойчивого развития, главным образом целей</w:t>
      </w:r>
      <w:r w:rsidR="0032260E">
        <w:rPr>
          <w:b/>
          <w:iCs/>
          <w:lang w:val="en-US"/>
        </w:rPr>
        <w:t> </w:t>
      </w:r>
      <w:r w:rsidRPr="004F194E">
        <w:rPr>
          <w:iCs/>
        </w:rPr>
        <w:t>3, 6, 7, 8, 9, 10, 11, 12, 13, 14, 15 и 16,</w:t>
      </w:r>
    </w:p>
    <w:p w14:paraId="6109A6D0" w14:textId="77777777" w:rsidR="004F194E" w:rsidRPr="004F194E" w:rsidRDefault="004F194E" w:rsidP="004F194E">
      <w:pPr>
        <w:pStyle w:val="SingleTxtG"/>
        <w:rPr>
          <w:iCs/>
        </w:rPr>
      </w:pPr>
      <w:r w:rsidRPr="004F194E">
        <w:tab/>
      </w:r>
      <w:r w:rsidRPr="004F194E">
        <w:tab/>
        <w:t>1.</w:t>
      </w:r>
      <w:r w:rsidRPr="004F194E">
        <w:tab/>
      </w:r>
      <w:r w:rsidRPr="004F194E">
        <w:rPr>
          <w:i/>
        </w:rPr>
        <w:t xml:space="preserve">утверждает </w:t>
      </w:r>
      <w:r w:rsidRPr="004F194E">
        <w:rPr>
          <w:iCs/>
        </w:rPr>
        <w:t>программу работы на 2022−2025 годы, содержащую смету расходов по каждому виду деятельности, которая приведена в приложении к настоящему решению;</w:t>
      </w:r>
    </w:p>
    <w:p w14:paraId="4A5160E3" w14:textId="77777777" w:rsidR="004F194E" w:rsidRPr="004F194E" w:rsidRDefault="004F194E" w:rsidP="004F194E">
      <w:pPr>
        <w:pStyle w:val="SingleTxtG"/>
        <w:rPr>
          <w:i/>
          <w:iCs/>
        </w:rPr>
      </w:pPr>
      <w:r w:rsidRPr="004F194E">
        <w:rPr>
          <w:iCs/>
        </w:rPr>
        <w:tab/>
      </w:r>
      <w:r w:rsidRPr="004F194E">
        <w:rPr>
          <w:iCs/>
        </w:rPr>
        <w:tab/>
        <w:t>2.</w:t>
      </w:r>
      <w:r w:rsidRPr="004F194E">
        <w:rPr>
          <w:iCs/>
        </w:rPr>
        <w:tab/>
      </w:r>
      <w:r w:rsidRPr="004F194E">
        <w:rPr>
          <w:i/>
        </w:rPr>
        <w:t xml:space="preserve">выражает согласие </w:t>
      </w:r>
      <w:r w:rsidRPr="004F194E">
        <w:rPr>
          <w:iCs/>
        </w:rPr>
        <w:t>с ориентировочным распределением ресурсов и вытекающей из него сметой расходов, приведенной в приложении, при условии ее ежегодного рассмотрения и, при целесообразности, пересмотра Рабочей группой Сторон на основе ежегодных докладов, представляемых секретариатом во исполнение решения IV/…</w:t>
      </w:r>
      <w:r w:rsidRPr="004F194E">
        <w:t xml:space="preserve"> о финансовых процедурах;</w:t>
      </w:r>
    </w:p>
    <w:p w14:paraId="2EFED0D0" w14:textId="77777777" w:rsidR="004F194E" w:rsidRPr="004F194E" w:rsidRDefault="004F194E" w:rsidP="004F194E">
      <w:pPr>
        <w:pStyle w:val="SingleTxtG"/>
      </w:pPr>
      <w:r w:rsidRPr="004F194E">
        <w:tab/>
      </w:r>
      <w:r w:rsidRPr="004F194E">
        <w:tab/>
        <w:t>3.</w:t>
      </w:r>
      <w:r w:rsidRPr="004F194E">
        <w:tab/>
      </w:r>
      <w:r w:rsidRPr="004F194E">
        <w:rPr>
          <w:i/>
        </w:rPr>
        <w:t xml:space="preserve">призывает </w:t>
      </w:r>
      <w:r w:rsidRPr="004F194E">
        <w:rPr>
          <w:iCs/>
        </w:rPr>
        <w:t>Стороны стремиться обеспечить, чтобы финансирование деятельности, предусмотренной программой работы, оставалось стабильным на всем протяжении периода</w:t>
      </w:r>
      <w:r w:rsidRPr="004F194E">
        <w:rPr>
          <w:i/>
        </w:rPr>
        <w:t xml:space="preserve"> </w:t>
      </w:r>
      <w:r w:rsidRPr="004F194E">
        <w:t>2022–2025 годов;</w:t>
      </w:r>
    </w:p>
    <w:p w14:paraId="009D8812" w14:textId="77777777" w:rsidR="004F194E" w:rsidRPr="004F194E" w:rsidRDefault="004F194E" w:rsidP="004F194E">
      <w:pPr>
        <w:pStyle w:val="SingleTxtG"/>
      </w:pPr>
      <w:r w:rsidRPr="004F194E">
        <w:tab/>
      </w:r>
      <w:r w:rsidRPr="004F194E">
        <w:tab/>
        <w:t>4.</w:t>
      </w:r>
      <w:r w:rsidRPr="004F194E">
        <w:tab/>
      </w:r>
      <w:r w:rsidRPr="004F194E">
        <w:rPr>
          <w:i/>
        </w:rPr>
        <w:t xml:space="preserve">призывает также </w:t>
      </w:r>
      <w:r w:rsidRPr="004F194E">
        <w:rPr>
          <w:iCs/>
        </w:rPr>
        <w:t>Стороны по мере возможности и с учетом внутренних бюджетных процедур Сторон вносить в целевой фонд Протокола взносы за конкретный календарный год до 1 октября предшествующего ему года, с тем чтобы обеспечить покрытие расходов на персонал в интересах бесперебойного функционирования секретариата в качестве одной из приоритетных задач, а также своевременное и эффективное осуществление видов деятельности в рамках основных потребностей по программе работы на</w:t>
      </w:r>
      <w:r w:rsidRPr="004F194E">
        <w:rPr>
          <w:i/>
        </w:rPr>
        <w:t xml:space="preserve"> </w:t>
      </w:r>
      <w:r w:rsidRPr="004F194E">
        <w:t>2022–2025 годы;</w:t>
      </w:r>
    </w:p>
    <w:p w14:paraId="3679B91C" w14:textId="77777777" w:rsidR="004F194E" w:rsidRPr="004F194E" w:rsidRDefault="004F194E" w:rsidP="004F194E">
      <w:pPr>
        <w:pStyle w:val="SingleTxtG"/>
      </w:pPr>
      <w:r w:rsidRPr="004F194E">
        <w:tab/>
      </w:r>
      <w:r w:rsidRPr="004F194E">
        <w:tab/>
        <w:t>5.</w:t>
      </w:r>
      <w:r w:rsidRPr="004F194E">
        <w:tab/>
      </w:r>
      <w:r w:rsidRPr="004F194E">
        <w:rPr>
          <w:i/>
        </w:rPr>
        <w:t xml:space="preserve">просит </w:t>
      </w:r>
      <w:r w:rsidRPr="004F194E">
        <w:rPr>
          <w:iCs/>
        </w:rPr>
        <w:t>Президиум и Рабочую группу держать под контролем деятельность по программе работы на период 2022−2025 годов, а также представить доклад и внести надлежащие рекомендации Совещанию Сторон на его пятой очередной сессии</w:t>
      </w:r>
      <w:r w:rsidRPr="004F194E">
        <w:t xml:space="preserve">; </w:t>
      </w:r>
    </w:p>
    <w:p w14:paraId="76BF4534" w14:textId="77777777" w:rsidR="004F194E" w:rsidRPr="004F194E" w:rsidRDefault="004F194E" w:rsidP="004F194E">
      <w:pPr>
        <w:pStyle w:val="SingleTxtG"/>
      </w:pPr>
      <w:r w:rsidRPr="004F194E">
        <w:tab/>
      </w:r>
      <w:r w:rsidRPr="004F194E">
        <w:tab/>
        <w:t>6.</w:t>
      </w:r>
      <w:r w:rsidRPr="004F194E">
        <w:tab/>
      </w:r>
      <w:r w:rsidRPr="004F194E">
        <w:rPr>
          <w:i/>
          <w:iCs/>
        </w:rPr>
        <w:t>призывает</w:t>
      </w:r>
      <w:r w:rsidRPr="004F194E">
        <w:t xml:space="preserve"> Стороны и предлагает </w:t>
      </w:r>
      <w:proofErr w:type="spellStart"/>
      <w:r w:rsidRPr="004F194E">
        <w:t>сигнатариям</w:t>
      </w:r>
      <w:proofErr w:type="spellEnd"/>
      <w:r w:rsidRPr="004F194E">
        <w:t>, другим государствам и соответствующим межправительственным, региональным и неправительственным организациям вносить активный вклад в деятельность, предусмотренную программой работы;</w:t>
      </w:r>
    </w:p>
    <w:p w14:paraId="22CEE5FC" w14:textId="77777777" w:rsidR="004F194E" w:rsidRPr="004F194E" w:rsidRDefault="004F194E" w:rsidP="004F194E">
      <w:pPr>
        <w:pStyle w:val="SingleTxtG"/>
      </w:pPr>
      <w:r w:rsidRPr="004F194E">
        <w:tab/>
      </w:r>
      <w:r w:rsidRPr="004F194E">
        <w:tab/>
        <w:t>7.</w:t>
      </w:r>
      <w:r w:rsidRPr="004F194E">
        <w:tab/>
      </w:r>
      <w:r w:rsidRPr="004F194E">
        <w:rPr>
          <w:i/>
          <w:iCs/>
        </w:rPr>
        <w:t>просит</w:t>
      </w:r>
      <w:r w:rsidRPr="004F194E">
        <w:t xml:space="preserve"> секретариат, с учетом результатов осуществления программы работы на 2022−2025 годы, подготовить проект программы работы на межсессионный период после пятой сессии Совещания Сторон, включая подробную разбивку сметных расходов, для рассмотрения и дальнейшей проработки Президиумом и Рабочей группой Сторон не позднее чем за три месяца до начала пятой сессии Совещания Сторон с целью его возможного утверждения на этом совещании.</w:t>
      </w:r>
    </w:p>
    <w:p w14:paraId="7659C564" w14:textId="77777777" w:rsidR="00A432E1" w:rsidRDefault="00A432E1" w:rsidP="004F194E">
      <w:pPr>
        <w:pStyle w:val="SingleTxtG"/>
        <w:sectPr w:rsidR="00A432E1" w:rsidSect="004F194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6CF68D27" w14:textId="77777777" w:rsidR="00A432E1" w:rsidRPr="00A432E1" w:rsidRDefault="00A432E1" w:rsidP="0032260E">
      <w:pPr>
        <w:pStyle w:val="HChG"/>
      </w:pPr>
      <w:r w:rsidRPr="00A432E1">
        <w:t>Приложение</w:t>
      </w:r>
    </w:p>
    <w:p w14:paraId="49920CE0" w14:textId="77777777" w:rsidR="00A432E1" w:rsidRDefault="00A432E1" w:rsidP="0032260E">
      <w:pPr>
        <w:pStyle w:val="HChG"/>
      </w:pPr>
      <w:r w:rsidRPr="00A432E1">
        <w:tab/>
      </w:r>
      <w:r w:rsidRPr="00A432E1">
        <w:tab/>
        <w:t>Проект программы работы на 2022–2025 годы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1867"/>
        <w:gridCol w:w="2345"/>
        <w:gridCol w:w="2577"/>
        <w:gridCol w:w="1171"/>
        <w:gridCol w:w="1984"/>
        <w:gridCol w:w="1137"/>
        <w:gridCol w:w="1274"/>
      </w:tblGrid>
      <w:tr w:rsidR="00A432E1" w:rsidRPr="00027BED" w14:paraId="34B45238" w14:textId="77777777" w:rsidTr="00027BED">
        <w:trPr>
          <w:trHeight w:val="263"/>
          <w:tblHeader/>
        </w:trPr>
        <w:tc>
          <w:tcPr>
            <w:tcW w:w="685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04C306" w14:textId="77777777" w:rsidR="00A432E1" w:rsidRPr="00027BED" w:rsidRDefault="00A432E1" w:rsidP="0032260E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027BED">
              <w:rPr>
                <w:i/>
                <w:iCs/>
                <w:color w:val="333333"/>
                <w:sz w:val="16"/>
                <w:szCs w:val="16"/>
              </w:rPr>
              <w:t>Вид деятельности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BA61E4" w14:textId="77777777" w:rsidR="00A432E1" w:rsidRPr="00027BED" w:rsidRDefault="00A432E1" w:rsidP="0032260E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027BED">
              <w:rPr>
                <w:i/>
                <w:sz w:val="16"/>
                <w:szCs w:val="16"/>
              </w:rPr>
              <w:t xml:space="preserve">Цель и ожидаемые </w:t>
            </w:r>
            <w:r w:rsidR="0032260E" w:rsidRPr="00027BED">
              <w:rPr>
                <w:i/>
                <w:sz w:val="16"/>
                <w:szCs w:val="16"/>
              </w:rPr>
              <w:br/>
            </w:r>
            <w:r w:rsidRPr="00027BED">
              <w:rPr>
                <w:i/>
                <w:sz w:val="16"/>
                <w:szCs w:val="16"/>
              </w:rPr>
              <w:t>результаты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A682F" w14:textId="77777777" w:rsidR="00A432E1" w:rsidRPr="00027BED" w:rsidRDefault="00A432E1" w:rsidP="0032260E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027BED">
              <w:rPr>
                <w:bCs/>
                <w:i/>
                <w:sz w:val="16"/>
                <w:szCs w:val="16"/>
              </w:rPr>
              <w:t>Страна, орган или организация, возглавляющие работу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8BA353" w14:textId="77777777" w:rsidR="00A432E1" w:rsidRPr="00027BED" w:rsidRDefault="00A432E1" w:rsidP="0032260E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027BED">
              <w:rPr>
                <w:bCs/>
                <w:i/>
                <w:sz w:val="16"/>
                <w:szCs w:val="16"/>
              </w:rPr>
              <w:t>Метод работы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056F3C" w14:textId="77777777" w:rsidR="00A432E1" w:rsidRPr="00027BED" w:rsidRDefault="00A432E1" w:rsidP="0032260E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027BED">
              <w:rPr>
                <w:bCs/>
                <w:i/>
                <w:sz w:val="16"/>
                <w:szCs w:val="16"/>
              </w:rPr>
              <w:t xml:space="preserve">Примерные </w:t>
            </w:r>
            <w:proofErr w:type="spellStart"/>
            <w:r w:rsidRPr="00027BED">
              <w:rPr>
                <w:bCs/>
                <w:i/>
                <w:sz w:val="16"/>
                <w:szCs w:val="16"/>
              </w:rPr>
              <w:t>временны́е</w:t>
            </w:r>
            <w:proofErr w:type="spellEnd"/>
            <w:r w:rsidRPr="00027BED">
              <w:rPr>
                <w:bCs/>
                <w:i/>
                <w:sz w:val="16"/>
                <w:szCs w:val="16"/>
              </w:rPr>
              <w:t xml:space="preserve"> рамки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92098" w14:textId="77777777" w:rsidR="00A432E1" w:rsidRPr="00027BED" w:rsidRDefault="00A432E1" w:rsidP="0032260E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027BED">
              <w:rPr>
                <w:bCs/>
                <w:i/>
                <w:sz w:val="16"/>
                <w:szCs w:val="16"/>
              </w:rPr>
              <w:t xml:space="preserve">Сметные расходы в долл. США в год (в </w:t>
            </w:r>
            <w:proofErr w:type="gramStart"/>
            <w:r w:rsidRPr="00027BED">
              <w:rPr>
                <w:bCs/>
                <w:i/>
                <w:sz w:val="16"/>
                <w:szCs w:val="16"/>
              </w:rPr>
              <w:t>среднем)</w:t>
            </w:r>
            <w:r w:rsidRPr="00027BED">
              <w:rPr>
                <w:bCs/>
                <w:i/>
                <w:sz w:val="16"/>
                <w:szCs w:val="16"/>
                <w:vertAlign w:val="superscript"/>
              </w:rPr>
              <w:t>a</w:t>
            </w:r>
            <w:proofErr w:type="gramEnd"/>
          </w:p>
        </w:tc>
      </w:tr>
      <w:tr w:rsidR="00A432E1" w:rsidRPr="00027BED" w14:paraId="7245E9DE" w14:textId="77777777" w:rsidTr="00027BED">
        <w:trPr>
          <w:tblHeader/>
        </w:trPr>
        <w:tc>
          <w:tcPr>
            <w:tcW w:w="685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04C2F082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45916D9D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6"/>
                <w:szCs w:val="16"/>
              </w:rPr>
            </w:pPr>
          </w:p>
        </w:tc>
        <w:tc>
          <w:tcPr>
            <w:tcW w:w="819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7726F75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6"/>
                <w:szCs w:val="16"/>
              </w:rPr>
            </w:pPr>
          </w:p>
        </w:tc>
        <w:tc>
          <w:tcPr>
            <w:tcW w:w="900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2CEB1C72" w14:textId="77777777" w:rsidR="00A432E1" w:rsidRPr="00027BED" w:rsidRDefault="00A432E1" w:rsidP="0032260E">
            <w:pPr>
              <w:suppressAutoHyphens w:val="0"/>
              <w:spacing w:before="80" w:after="80" w:line="20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52AF0D77" w14:textId="77777777" w:rsidR="00A432E1" w:rsidRPr="00027BED" w:rsidRDefault="00A432E1" w:rsidP="0032260E">
            <w:pPr>
              <w:suppressAutoHyphens w:val="0"/>
              <w:spacing w:before="80" w:after="80" w:line="20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A47615" w14:textId="77777777" w:rsidR="00A432E1" w:rsidRPr="00027BED" w:rsidRDefault="00A432E1" w:rsidP="0032260E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027BED">
              <w:rPr>
                <w:bCs/>
                <w:i/>
                <w:iCs/>
                <w:sz w:val="16"/>
                <w:szCs w:val="16"/>
              </w:rPr>
              <w:t>Статья расходов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52D406" w14:textId="77777777" w:rsidR="00A432E1" w:rsidRPr="00027BED" w:rsidRDefault="00A432E1" w:rsidP="0032260E">
            <w:pPr>
              <w:suppressAutoHyphens w:val="0"/>
              <w:spacing w:before="80" w:after="80" w:line="200" w:lineRule="exact"/>
              <w:ind w:right="113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027BED">
              <w:rPr>
                <w:bCs/>
                <w:i/>
                <w:iCs/>
                <w:sz w:val="16"/>
                <w:szCs w:val="16"/>
              </w:rPr>
              <w:t xml:space="preserve">Основные </w:t>
            </w:r>
            <w:r w:rsidR="0032260E" w:rsidRPr="00027BED">
              <w:rPr>
                <w:bCs/>
                <w:i/>
                <w:iCs/>
                <w:sz w:val="16"/>
                <w:szCs w:val="16"/>
              </w:rPr>
              <w:br/>
            </w:r>
            <w:r w:rsidRPr="00027BED">
              <w:rPr>
                <w:bCs/>
                <w:i/>
                <w:iCs/>
                <w:sz w:val="16"/>
                <w:szCs w:val="16"/>
              </w:rPr>
              <w:t>потребности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9CE68F" w14:textId="77777777" w:rsidR="00A432E1" w:rsidRPr="00027BED" w:rsidRDefault="00A432E1" w:rsidP="00027BED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027BED">
              <w:rPr>
                <w:bCs/>
                <w:i/>
                <w:iCs/>
                <w:sz w:val="16"/>
                <w:szCs w:val="16"/>
              </w:rPr>
              <w:t>Дополнительные потребности</w:t>
            </w:r>
          </w:p>
        </w:tc>
      </w:tr>
      <w:tr w:rsidR="00A432E1" w:rsidRPr="00027BED" w14:paraId="00861815" w14:textId="77777777" w:rsidTr="00027BED">
        <w:trPr>
          <w:trHeight w:hRule="exact" w:val="113"/>
          <w:tblHeader/>
        </w:trPr>
        <w:tc>
          <w:tcPr>
            <w:tcW w:w="685" w:type="pct"/>
            <w:tcBorders>
              <w:top w:val="single" w:sz="12" w:space="0" w:color="auto"/>
            </w:tcBorders>
            <w:shd w:val="clear" w:color="auto" w:fill="auto"/>
          </w:tcPr>
          <w:p w14:paraId="7F29D56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52" w:type="pct"/>
            <w:tcBorders>
              <w:top w:val="single" w:sz="12" w:space="0" w:color="auto"/>
            </w:tcBorders>
            <w:shd w:val="clear" w:color="auto" w:fill="auto"/>
          </w:tcPr>
          <w:p w14:paraId="02EC655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819" w:type="pct"/>
            <w:tcBorders>
              <w:top w:val="single" w:sz="12" w:space="0" w:color="auto"/>
            </w:tcBorders>
            <w:shd w:val="clear" w:color="auto" w:fill="auto"/>
          </w:tcPr>
          <w:p w14:paraId="41F7EEB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tcBorders>
              <w:top w:val="single" w:sz="12" w:space="0" w:color="auto"/>
            </w:tcBorders>
            <w:shd w:val="clear" w:color="auto" w:fill="auto"/>
          </w:tcPr>
          <w:p w14:paraId="5F8D4928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14:paraId="4A3C653D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tcBorders>
              <w:top w:val="single" w:sz="12" w:space="0" w:color="auto"/>
            </w:tcBorders>
            <w:shd w:val="clear" w:color="auto" w:fill="auto"/>
          </w:tcPr>
          <w:p w14:paraId="0A04A99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Cs/>
                <w:sz w:val="19"/>
                <w:szCs w:val="19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shd w:val="clear" w:color="auto" w:fill="auto"/>
          </w:tcPr>
          <w:p w14:paraId="6FEB6DF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bCs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auto"/>
          </w:tcPr>
          <w:p w14:paraId="35E72BBF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bCs/>
                <w:sz w:val="19"/>
                <w:szCs w:val="19"/>
              </w:rPr>
            </w:pPr>
          </w:p>
        </w:tc>
      </w:tr>
      <w:tr w:rsidR="00A432E1" w:rsidRPr="00027BED" w14:paraId="4CC4E7C3" w14:textId="77777777" w:rsidTr="00027BED">
        <w:tc>
          <w:tcPr>
            <w:tcW w:w="685" w:type="pct"/>
            <w:shd w:val="clear" w:color="auto" w:fill="auto"/>
          </w:tcPr>
          <w:p w14:paraId="33567B00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Cs/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A.</w:t>
            </w:r>
            <w:r w:rsidRPr="00027BED">
              <w:rPr>
                <w:sz w:val="19"/>
                <w:szCs w:val="19"/>
              </w:rPr>
              <w:br/>
            </w:r>
            <w:r w:rsidRPr="00027BED">
              <w:rPr>
                <w:bCs/>
                <w:sz w:val="19"/>
                <w:szCs w:val="19"/>
              </w:rPr>
              <w:t xml:space="preserve">Механизм </w:t>
            </w:r>
            <w:r w:rsidR="00027BED" w:rsidRPr="00027BED">
              <w:rPr>
                <w:bCs/>
                <w:sz w:val="19"/>
                <w:szCs w:val="19"/>
              </w:rPr>
              <w:br/>
            </w:r>
            <w:r w:rsidRPr="00027BED">
              <w:rPr>
                <w:bCs/>
                <w:sz w:val="19"/>
                <w:szCs w:val="19"/>
              </w:rPr>
              <w:t>соблюдения</w:t>
            </w:r>
          </w:p>
          <w:p w14:paraId="17B990A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>(в основном в поддержку ЦУР 3, 6, 7, 8, 9, 10, 11, 12, 13, 14, 15 и 16)</w:t>
            </w:r>
          </w:p>
        </w:tc>
        <w:tc>
          <w:tcPr>
            <w:tcW w:w="652" w:type="pct"/>
            <w:shd w:val="clear" w:color="auto" w:fill="auto"/>
          </w:tcPr>
          <w:p w14:paraId="44EE6FD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  <w:lang w:eastAsia="nl-NL"/>
              </w:rPr>
            </w:pPr>
            <w:r w:rsidRPr="00027BED">
              <w:rPr>
                <w:sz w:val="19"/>
                <w:szCs w:val="19"/>
                <w:lang w:eastAsia="nl-NL"/>
              </w:rPr>
              <w:t>Контроль за соблюдением и содействие соблюдению Протокола</w:t>
            </w:r>
          </w:p>
        </w:tc>
        <w:tc>
          <w:tcPr>
            <w:tcW w:w="819" w:type="pct"/>
            <w:shd w:val="clear" w:color="auto" w:fill="auto"/>
          </w:tcPr>
          <w:p w14:paraId="0A44F97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 xml:space="preserve">Комитет по вопросам </w:t>
            </w:r>
            <w:r w:rsidR="00C44283">
              <w:rPr>
                <w:sz w:val="19"/>
                <w:szCs w:val="19"/>
              </w:rPr>
              <w:br/>
            </w:r>
            <w:r w:rsidRPr="00027BED">
              <w:rPr>
                <w:sz w:val="19"/>
                <w:szCs w:val="19"/>
              </w:rPr>
              <w:t>соблюдения</w:t>
            </w:r>
          </w:p>
        </w:tc>
        <w:tc>
          <w:tcPr>
            <w:tcW w:w="900" w:type="pct"/>
            <w:shd w:val="clear" w:color="auto" w:fill="auto"/>
          </w:tcPr>
          <w:p w14:paraId="1322F325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Комитет по вопросам соблюдения проводит совещания с целью рассмотрения представленных материалов, сообщений и т. д., готовит решения, доклады и руководящие материалы, а также осуществляет миссии по установлению фактов; секретариат пропагандирует механизм, развивает базу данных о соответствующих случаях и обслуживает Комитет</w:t>
            </w:r>
          </w:p>
        </w:tc>
        <w:tc>
          <w:tcPr>
            <w:tcW w:w="409" w:type="pct"/>
            <w:shd w:val="clear" w:color="auto" w:fill="auto"/>
          </w:tcPr>
          <w:p w14:paraId="3ED68CA9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На постоянной основе</w:t>
            </w:r>
          </w:p>
        </w:tc>
        <w:tc>
          <w:tcPr>
            <w:tcW w:w="693" w:type="pct"/>
            <w:shd w:val="clear" w:color="auto" w:fill="auto"/>
          </w:tcPr>
          <w:p w14:paraId="47DF0E6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Совещания Комитета (путевые расходы + суточные)</w:t>
            </w:r>
          </w:p>
        </w:tc>
        <w:tc>
          <w:tcPr>
            <w:tcW w:w="397" w:type="pct"/>
            <w:shd w:val="clear" w:color="auto" w:fill="auto"/>
          </w:tcPr>
          <w:p w14:paraId="53386B8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30 000</w:t>
            </w:r>
          </w:p>
        </w:tc>
        <w:tc>
          <w:tcPr>
            <w:tcW w:w="445" w:type="pct"/>
            <w:shd w:val="clear" w:color="auto" w:fill="auto"/>
          </w:tcPr>
          <w:p w14:paraId="3682A37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</w:tr>
      <w:tr w:rsidR="00A432E1" w:rsidRPr="00027BED" w14:paraId="359375FF" w14:textId="77777777" w:rsidTr="00027BED">
        <w:tc>
          <w:tcPr>
            <w:tcW w:w="685" w:type="pct"/>
            <w:shd w:val="clear" w:color="auto" w:fill="auto"/>
          </w:tcPr>
          <w:p w14:paraId="38FC0925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52" w:type="pct"/>
            <w:shd w:val="clear" w:color="auto" w:fill="auto"/>
          </w:tcPr>
          <w:p w14:paraId="37F79A19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</w:tcPr>
          <w:p w14:paraId="30DF79C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084F0F0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5C002335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0C5393C8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color w:val="333333"/>
                <w:sz w:val="19"/>
                <w:szCs w:val="19"/>
                <w:shd w:val="clear" w:color="auto" w:fill="FFFFFF"/>
              </w:rPr>
              <w:t>Миссии экспертов</w:t>
            </w:r>
          </w:p>
        </w:tc>
        <w:tc>
          <w:tcPr>
            <w:tcW w:w="397" w:type="pct"/>
            <w:shd w:val="clear" w:color="auto" w:fill="auto"/>
          </w:tcPr>
          <w:p w14:paraId="7D5905DE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20 000</w:t>
            </w:r>
          </w:p>
        </w:tc>
        <w:tc>
          <w:tcPr>
            <w:tcW w:w="445" w:type="pct"/>
            <w:shd w:val="clear" w:color="auto" w:fill="auto"/>
          </w:tcPr>
          <w:p w14:paraId="5B4307E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</w:tr>
      <w:tr w:rsidR="00A432E1" w:rsidRPr="00027BED" w14:paraId="6BF710BC" w14:textId="77777777" w:rsidTr="00027BED">
        <w:tc>
          <w:tcPr>
            <w:tcW w:w="685" w:type="pct"/>
            <w:shd w:val="clear" w:color="auto" w:fill="auto"/>
          </w:tcPr>
          <w:p w14:paraId="7522973E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52" w:type="pct"/>
            <w:shd w:val="clear" w:color="auto" w:fill="auto"/>
          </w:tcPr>
          <w:p w14:paraId="4B111D09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</w:tcPr>
          <w:p w14:paraId="6A93B15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3F066278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72FC5A9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562CAAF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Договоры субподряда (т. е. на письменный перевод, управление электронными базами данных, ведение и усовершенствование веб-сайта)</w:t>
            </w:r>
          </w:p>
        </w:tc>
        <w:tc>
          <w:tcPr>
            <w:tcW w:w="397" w:type="pct"/>
            <w:shd w:val="clear" w:color="auto" w:fill="auto"/>
          </w:tcPr>
          <w:p w14:paraId="0AA7006D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10 000</w:t>
            </w:r>
          </w:p>
        </w:tc>
        <w:tc>
          <w:tcPr>
            <w:tcW w:w="445" w:type="pct"/>
            <w:shd w:val="clear" w:color="auto" w:fill="auto"/>
          </w:tcPr>
          <w:p w14:paraId="43C8086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</w:tr>
      <w:tr w:rsidR="00A432E1" w:rsidRPr="00027BED" w14:paraId="107B5DE6" w14:textId="77777777" w:rsidTr="00027BED">
        <w:tc>
          <w:tcPr>
            <w:tcW w:w="685" w:type="pct"/>
            <w:shd w:val="clear" w:color="auto" w:fill="auto"/>
          </w:tcPr>
          <w:p w14:paraId="0049FAC8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iCs/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B.</w:t>
            </w:r>
            <w:r w:rsidRPr="00027BED">
              <w:rPr>
                <w:sz w:val="19"/>
                <w:szCs w:val="19"/>
              </w:rPr>
              <w:br/>
            </w:r>
            <w:r w:rsidRPr="00027BED">
              <w:rPr>
                <w:iCs/>
                <w:sz w:val="19"/>
                <w:szCs w:val="19"/>
              </w:rPr>
              <w:t>Техническая помощь</w:t>
            </w:r>
          </w:p>
          <w:p w14:paraId="31266F2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>(в основном в поддержку ЦУР 3, 6, 7, 8, 9, 10, 11, 12, 13, 14, 15 и 16)</w:t>
            </w:r>
          </w:p>
        </w:tc>
        <w:tc>
          <w:tcPr>
            <w:tcW w:w="652" w:type="pct"/>
            <w:shd w:val="clear" w:color="auto" w:fill="auto"/>
          </w:tcPr>
          <w:p w14:paraId="2A82C9E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Оказание помощи странам в эффективном осуществлении Протокола</w:t>
            </w:r>
          </w:p>
        </w:tc>
        <w:tc>
          <w:tcPr>
            <w:tcW w:w="819" w:type="pct"/>
            <w:shd w:val="clear" w:color="auto" w:fill="auto"/>
          </w:tcPr>
          <w:p w14:paraId="768803D2" w14:textId="229753D5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 xml:space="preserve">Секретариат в тесном сотрудничестве с организациями-партнерами </w:t>
            </w:r>
            <w:r w:rsidR="00C44283">
              <w:rPr>
                <w:sz w:val="19"/>
                <w:szCs w:val="19"/>
              </w:rPr>
              <w:br/>
            </w:r>
            <w:r w:rsidRPr="00027BED">
              <w:rPr>
                <w:sz w:val="19"/>
                <w:szCs w:val="19"/>
              </w:rPr>
              <w:t>(т. е. ЮНЕП, ЮНИТАР, ОБСЕ и Европейски</w:t>
            </w:r>
            <w:r w:rsidR="002F6559">
              <w:rPr>
                <w:sz w:val="19"/>
                <w:szCs w:val="19"/>
              </w:rPr>
              <w:t>м</w:t>
            </w:r>
            <w:r w:rsidRPr="00027BED">
              <w:rPr>
                <w:sz w:val="19"/>
                <w:szCs w:val="19"/>
              </w:rPr>
              <w:t xml:space="preserve"> ЭКО-форумом) на основе Рамочной программы по наращиванию потенциала в области </w:t>
            </w:r>
            <w:proofErr w:type="spellStart"/>
            <w:r w:rsidRPr="00027BED">
              <w:rPr>
                <w:sz w:val="19"/>
                <w:szCs w:val="19"/>
              </w:rPr>
              <w:t>РВПЗ</w:t>
            </w:r>
            <w:r w:rsidRPr="00695AC6">
              <w:rPr>
                <w:i/>
                <w:iCs/>
                <w:sz w:val="19"/>
                <w:szCs w:val="19"/>
                <w:vertAlign w:val="superscript"/>
              </w:rPr>
              <w:t>b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14:paraId="5B0780E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Консультативная поддержка со стороны секретариата, конкретные проекты в странах, нуждающихся в помощи; учебные рабочие совещания, методические материалы и техническая помощь, финансируемые по большей части отдельно; вопросники, анализ результатов</w:t>
            </w:r>
          </w:p>
        </w:tc>
        <w:tc>
          <w:tcPr>
            <w:tcW w:w="409" w:type="pct"/>
            <w:shd w:val="clear" w:color="auto" w:fill="auto"/>
          </w:tcPr>
          <w:p w14:paraId="49E81FA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На постоянной основе</w:t>
            </w:r>
          </w:p>
        </w:tc>
        <w:tc>
          <w:tcPr>
            <w:tcW w:w="693" w:type="pct"/>
            <w:shd w:val="clear" w:color="auto" w:fill="auto"/>
          </w:tcPr>
          <w:p w14:paraId="6913941F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Совещания (путевые расходы + суточные для удовлетворяющих соответствующим критериям участников)</w:t>
            </w:r>
          </w:p>
        </w:tc>
        <w:tc>
          <w:tcPr>
            <w:tcW w:w="397" w:type="pct"/>
            <w:shd w:val="clear" w:color="auto" w:fill="auto"/>
          </w:tcPr>
          <w:p w14:paraId="2F26618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  <w:tc>
          <w:tcPr>
            <w:tcW w:w="445" w:type="pct"/>
            <w:shd w:val="clear" w:color="auto" w:fill="auto"/>
          </w:tcPr>
          <w:p w14:paraId="6E78199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30 000</w:t>
            </w:r>
          </w:p>
        </w:tc>
      </w:tr>
      <w:tr w:rsidR="00A432E1" w:rsidRPr="00027BED" w14:paraId="26A130B8" w14:textId="77777777" w:rsidTr="00027BED">
        <w:tc>
          <w:tcPr>
            <w:tcW w:w="685" w:type="pct"/>
            <w:shd w:val="clear" w:color="auto" w:fill="auto"/>
          </w:tcPr>
          <w:p w14:paraId="67CE0D8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52" w:type="pct"/>
            <w:shd w:val="clear" w:color="auto" w:fill="auto"/>
          </w:tcPr>
          <w:p w14:paraId="66E8FC9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</w:tcPr>
          <w:p w14:paraId="132FB1F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27CBC4B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4F45CAB0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437D9C9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Договоры субподряда (т. е. на подготовку методических материалов, проведение научных и аналитических исследований)</w:t>
            </w:r>
          </w:p>
        </w:tc>
        <w:tc>
          <w:tcPr>
            <w:tcW w:w="397" w:type="pct"/>
            <w:shd w:val="clear" w:color="auto" w:fill="auto"/>
          </w:tcPr>
          <w:p w14:paraId="44ED918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  <w:tc>
          <w:tcPr>
            <w:tcW w:w="445" w:type="pct"/>
            <w:shd w:val="clear" w:color="auto" w:fill="auto"/>
          </w:tcPr>
          <w:p w14:paraId="68F553E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10 000</w:t>
            </w:r>
          </w:p>
        </w:tc>
      </w:tr>
      <w:tr w:rsidR="00A432E1" w:rsidRPr="00027BED" w14:paraId="5B2CF780" w14:textId="77777777" w:rsidTr="00027BED">
        <w:tc>
          <w:tcPr>
            <w:tcW w:w="685" w:type="pct"/>
            <w:shd w:val="clear" w:color="auto" w:fill="auto"/>
          </w:tcPr>
          <w:p w14:paraId="10D6CE3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52" w:type="pct"/>
            <w:shd w:val="clear" w:color="auto" w:fill="auto"/>
          </w:tcPr>
          <w:p w14:paraId="1BB23035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</w:tcPr>
          <w:p w14:paraId="1DF0306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227CCBE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28A6845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1730561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Миссии экспертов</w:t>
            </w:r>
          </w:p>
        </w:tc>
        <w:tc>
          <w:tcPr>
            <w:tcW w:w="397" w:type="pct"/>
            <w:shd w:val="clear" w:color="auto" w:fill="auto"/>
          </w:tcPr>
          <w:p w14:paraId="3462E78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  <w:tc>
          <w:tcPr>
            <w:tcW w:w="445" w:type="pct"/>
            <w:shd w:val="clear" w:color="auto" w:fill="auto"/>
          </w:tcPr>
          <w:p w14:paraId="5158EA9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10 000</w:t>
            </w:r>
          </w:p>
        </w:tc>
      </w:tr>
      <w:tr w:rsidR="00A432E1" w:rsidRPr="00027BED" w14:paraId="3DB3FEA7" w14:textId="77777777" w:rsidTr="00027BED">
        <w:tc>
          <w:tcPr>
            <w:tcW w:w="685" w:type="pct"/>
            <w:shd w:val="clear" w:color="auto" w:fill="auto"/>
          </w:tcPr>
          <w:p w14:paraId="671FD65E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Cs/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C.</w:t>
            </w:r>
            <w:r w:rsidRPr="00027BED">
              <w:rPr>
                <w:sz w:val="19"/>
                <w:szCs w:val="19"/>
              </w:rPr>
              <w:br/>
            </w:r>
            <w:r w:rsidRPr="00027BED">
              <w:rPr>
                <w:bCs/>
                <w:sz w:val="19"/>
                <w:szCs w:val="19"/>
              </w:rPr>
              <w:t>Обмен информацией на техническом уровне</w:t>
            </w:r>
          </w:p>
          <w:p w14:paraId="4B6FD16E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>(в основном в поддержку ЦУР 3, 6, 7, 8, 9, 10, 11, 12, 13, 14, 15 и 16)</w:t>
            </w:r>
          </w:p>
        </w:tc>
        <w:tc>
          <w:tcPr>
            <w:tcW w:w="652" w:type="pct"/>
            <w:shd w:val="clear" w:color="auto" w:fill="auto"/>
          </w:tcPr>
          <w:p w14:paraId="1BC2376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  <w:lang w:eastAsia="nl-NL"/>
              </w:rPr>
            </w:pPr>
            <w:r w:rsidRPr="00027BED">
              <w:rPr>
                <w:sz w:val="19"/>
                <w:szCs w:val="19"/>
                <w:lang w:eastAsia="nl-NL"/>
              </w:rPr>
              <w:t>Контроль за соблюдением и содействие соблюдению</w:t>
            </w:r>
            <w:r w:rsidRPr="00027BED">
              <w:rPr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027BED">
              <w:rPr>
                <w:sz w:val="19"/>
                <w:szCs w:val="19"/>
                <w:lang w:eastAsia="nl-NL"/>
              </w:rPr>
              <w:t xml:space="preserve">Протокола </w:t>
            </w:r>
            <w:r w:rsidRPr="00027BED">
              <w:rPr>
                <w:color w:val="333333"/>
                <w:sz w:val="19"/>
                <w:szCs w:val="19"/>
                <w:shd w:val="clear" w:color="auto" w:fill="FFFFFF"/>
              </w:rPr>
              <w:t>с учетом любых соответствующих изменений</w:t>
            </w:r>
          </w:p>
        </w:tc>
        <w:tc>
          <w:tcPr>
            <w:tcW w:w="819" w:type="pct"/>
            <w:shd w:val="clear" w:color="auto" w:fill="auto"/>
          </w:tcPr>
          <w:p w14:paraId="04D497CE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 xml:space="preserve">Рабочая группа Сторон Протокола </w:t>
            </w:r>
          </w:p>
        </w:tc>
        <w:tc>
          <w:tcPr>
            <w:tcW w:w="900" w:type="pct"/>
            <w:shd w:val="clear" w:color="auto" w:fill="auto"/>
          </w:tcPr>
          <w:p w14:paraId="6AD07973" w14:textId="37C9B05C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color w:val="333333"/>
                <w:sz w:val="19"/>
                <w:szCs w:val="19"/>
                <w:shd w:val="clear" w:color="auto" w:fill="FFFFFF"/>
              </w:rPr>
              <w:t>Совещания Рабочей группы Сторон Протокола;</w:t>
            </w:r>
            <w:r w:rsidRPr="00027BED">
              <w:rPr>
                <w:sz w:val="19"/>
                <w:szCs w:val="19"/>
              </w:rPr>
              <w:t xml:space="preserve"> </w:t>
            </w:r>
            <w:r w:rsidRPr="00027BED">
              <w:rPr>
                <w:color w:val="333333"/>
                <w:sz w:val="19"/>
                <w:szCs w:val="19"/>
                <w:shd w:val="clear" w:color="auto" w:fill="FFFFFF"/>
              </w:rPr>
              <w:t>специальные совещания экспертов и миссии;</w:t>
            </w:r>
            <w:r w:rsidRPr="00027BED">
              <w:rPr>
                <w:sz w:val="19"/>
                <w:szCs w:val="19"/>
              </w:rPr>
              <w:t xml:space="preserve"> использование электронных инструментов, в том числе </w:t>
            </w:r>
            <w:proofErr w:type="spellStart"/>
            <w:r w:rsidRPr="00027BED">
              <w:rPr>
                <w:sz w:val="19"/>
                <w:szCs w:val="19"/>
              </w:rPr>
              <w:t>Орхусского</w:t>
            </w:r>
            <w:proofErr w:type="spellEnd"/>
            <w:r w:rsidRPr="00027BED">
              <w:rPr>
                <w:sz w:val="19"/>
                <w:szCs w:val="19"/>
              </w:rPr>
              <w:t xml:space="preserve"> информационно-координационного механизма по вопросам экологической демократии, базы данных по наращиванию потенциала в области РВПЗ, </w:t>
            </w:r>
            <w:hyperlink r:id="rId13" w:history="1">
              <w:r w:rsidRPr="0047498E">
                <w:rPr>
                  <w:rStyle w:val="af1"/>
                  <w:sz w:val="19"/>
                  <w:szCs w:val="19"/>
                </w:rPr>
                <w:t>PRTR.net</w:t>
              </w:r>
            </w:hyperlink>
            <w:r w:rsidRPr="00027BED">
              <w:rPr>
                <w:sz w:val="19"/>
                <w:szCs w:val="19"/>
              </w:rPr>
              <w:t xml:space="preserve"> и веб-сайта </w:t>
            </w:r>
            <w:hyperlink r:id="rId14" w:history="1">
              <w:proofErr w:type="spellStart"/>
              <w:r w:rsidRPr="0047498E">
                <w:rPr>
                  <w:rStyle w:val="af1"/>
                  <w:sz w:val="19"/>
                  <w:szCs w:val="19"/>
                </w:rPr>
                <w:t>PRTR:Learn</w:t>
              </w:r>
              <w:proofErr w:type="spellEnd"/>
            </w:hyperlink>
          </w:p>
        </w:tc>
        <w:tc>
          <w:tcPr>
            <w:tcW w:w="409" w:type="pct"/>
            <w:shd w:val="clear" w:color="auto" w:fill="auto"/>
          </w:tcPr>
          <w:p w14:paraId="5AD012C8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На постоянной основе</w:t>
            </w:r>
          </w:p>
        </w:tc>
        <w:tc>
          <w:tcPr>
            <w:tcW w:w="693" w:type="pct"/>
            <w:shd w:val="clear" w:color="auto" w:fill="auto"/>
          </w:tcPr>
          <w:p w14:paraId="7B6D72F8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Специальные совещания экспертов (путевые расходы + суточные для удовлетворяющих соответствующим критериям участников)</w:t>
            </w:r>
          </w:p>
        </w:tc>
        <w:tc>
          <w:tcPr>
            <w:tcW w:w="397" w:type="pct"/>
            <w:shd w:val="clear" w:color="auto" w:fill="auto"/>
          </w:tcPr>
          <w:p w14:paraId="30E09F0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  <w:tc>
          <w:tcPr>
            <w:tcW w:w="445" w:type="pct"/>
            <w:shd w:val="clear" w:color="auto" w:fill="auto"/>
          </w:tcPr>
          <w:p w14:paraId="344106F0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30 000</w:t>
            </w:r>
          </w:p>
        </w:tc>
      </w:tr>
      <w:tr w:rsidR="00A432E1" w:rsidRPr="00027BED" w14:paraId="0D1647A0" w14:textId="77777777" w:rsidTr="00027BED">
        <w:tc>
          <w:tcPr>
            <w:tcW w:w="685" w:type="pct"/>
            <w:shd w:val="clear" w:color="auto" w:fill="auto"/>
          </w:tcPr>
          <w:p w14:paraId="3D3D21DD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52" w:type="pct"/>
            <w:shd w:val="clear" w:color="auto" w:fill="auto"/>
          </w:tcPr>
          <w:p w14:paraId="6D48E2E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  <w:lang w:eastAsia="nl-NL"/>
              </w:rPr>
            </w:pPr>
          </w:p>
        </w:tc>
        <w:tc>
          <w:tcPr>
            <w:tcW w:w="819" w:type="pct"/>
            <w:shd w:val="clear" w:color="auto" w:fill="auto"/>
          </w:tcPr>
          <w:p w14:paraId="20361DB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571F1FA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600DC3D2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0B1E490D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Договоры субподряда (т. е. на ведение и усовершенствование баз данных, касающихся РВПЗ, и других электронных инструментов)</w:t>
            </w:r>
          </w:p>
        </w:tc>
        <w:tc>
          <w:tcPr>
            <w:tcW w:w="397" w:type="pct"/>
            <w:shd w:val="clear" w:color="auto" w:fill="auto"/>
          </w:tcPr>
          <w:p w14:paraId="23E53192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20 000</w:t>
            </w:r>
          </w:p>
        </w:tc>
        <w:tc>
          <w:tcPr>
            <w:tcW w:w="445" w:type="pct"/>
            <w:shd w:val="clear" w:color="auto" w:fill="auto"/>
          </w:tcPr>
          <w:p w14:paraId="2AAB6A35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</w:tr>
      <w:tr w:rsidR="00A432E1" w:rsidRPr="00027BED" w14:paraId="1022EAB1" w14:textId="77777777" w:rsidTr="00027BED">
        <w:tc>
          <w:tcPr>
            <w:tcW w:w="685" w:type="pct"/>
            <w:shd w:val="clear" w:color="auto" w:fill="auto"/>
          </w:tcPr>
          <w:p w14:paraId="2AC68CD5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52" w:type="pct"/>
            <w:shd w:val="clear" w:color="auto" w:fill="auto"/>
          </w:tcPr>
          <w:p w14:paraId="1E159AB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  <w:lang w:eastAsia="nl-NL"/>
              </w:rPr>
            </w:pPr>
          </w:p>
        </w:tc>
        <w:tc>
          <w:tcPr>
            <w:tcW w:w="819" w:type="pct"/>
            <w:shd w:val="clear" w:color="auto" w:fill="auto"/>
          </w:tcPr>
          <w:p w14:paraId="3DDC9E4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53B07D5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34C5E00E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2631445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Миссии экспертов</w:t>
            </w:r>
          </w:p>
        </w:tc>
        <w:tc>
          <w:tcPr>
            <w:tcW w:w="397" w:type="pct"/>
            <w:shd w:val="clear" w:color="auto" w:fill="auto"/>
          </w:tcPr>
          <w:p w14:paraId="4B1698FD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  <w:tc>
          <w:tcPr>
            <w:tcW w:w="445" w:type="pct"/>
            <w:shd w:val="clear" w:color="auto" w:fill="auto"/>
          </w:tcPr>
          <w:p w14:paraId="3CF7F94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10 000</w:t>
            </w:r>
          </w:p>
        </w:tc>
      </w:tr>
      <w:tr w:rsidR="00A432E1" w:rsidRPr="00027BED" w14:paraId="2BF9A399" w14:textId="77777777" w:rsidTr="00027BED">
        <w:tc>
          <w:tcPr>
            <w:tcW w:w="685" w:type="pct"/>
            <w:shd w:val="clear" w:color="auto" w:fill="auto"/>
          </w:tcPr>
          <w:p w14:paraId="2692503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Cs/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D.</w:t>
            </w:r>
            <w:r w:rsidRPr="00027BED">
              <w:rPr>
                <w:sz w:val="19"/>
                <w:szCs w:val="19"/>
              </w:rPr>
              <w:br/>
            </w:r>
            <w:r w:rsidRPr="00027BED">
              <w:rPr>
                <w:bCs/>
                <w:sz w:val="19"/>
                <w:szCs w:val="19"/>
              </w:rPr>
              <w:t>Механизм отчетности</w:t>
            </w:r>
          </w:p>
          <w:p w14:paraId="561CCFA8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>(</w:t>
            </w:r>
            <w:r w:rsidRPr="00027BED">
              <w:rPr>
                <w:color w:val="333333"/>
                <w:sz w:val="19"/>
                <w:szCs w:val="19"/>
                <w:shd w:val="clear" w:color="auto" w:fill="FFFFFF"/>
              </w:rPr>
              <w:t>в основном в поддержку</w:t>
            </w:r>
            <w:r w:rsidRPr="00027BED">
              <w:rPr>
                <w:bCs/>
                <w:sz w:val="19"/>
                <w:szCs w:val="19"/>
              </w:rPr>
              <w:t xml:space="preserve"> ЦУР 3, 6, 7, 8, 9, 10, 11, 12, 13, 14, 15 и 16)</w:t>
            </w:r>
          </w:p>
        </w:tc>
        <w:tc>
          <w:tcPr>
            <w:tcW w:w="652" w:type="pct"/>
            <w:shd w:val="clear" w:color="auto" w:fill="auto"/>
          </w:tcPr>
          <w:p w14:paraId="2A57534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  <w:lang w:eastAsia="nl-NL"/>
              </w:rPr>
              <w:t>Контроль за соблюдением и содействие соблюдению Протокола;</w:t>
            </w:r>
            <w:r w:rsidRPr="00027BED">
              <w:rPr>
                <w:sz w:val="19"/>
                <w:szCs w:val="19"/>
              </w:rPr>
              <w:t xml:space="preserve"> содействие представлению отчетности, обзор соблюдения и опыта</w:t>
            </w:r>
          </w:p>
        </w:tc>
        <w:tc>
          <w:tcPr>
            <w:tcW w:w="819" w:type="pct"/>
            <w:shd w:val="clear" w:color="auto" w:fill="auto"/>
          </w:tcPr>
          <w:p w14:paraId="732265D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Рабочая группа Сторон Протокола</w:t>
            </w:r>
          </w:p>
          <w:p w14:paraId="09A9D8E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Секретариат, при необходимости заручающийся экспертной и административной поддержкой</w:t>
            </w:r>
          </w:p>
          <w:p w14:paraId="53F2C9B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Комитет по вопросам соблюдения</w:t>
            </w:r>
          </w:p>
        </w:tc>
        <w:tc>
          <w:tcPr>
            <w:tcW w:w="900" w:type="pct"/>
            <w:shd w:val="clear" w:color="auto" w:fill="auto"/>
          </w:tcPr>
          <w:p w14:paraId="243078D9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Совещания Рабочей группы Сторон Протокола; использование электронного инструмента представления отчетности; подготовка и обработка национальных докладов об осуществлении; анализ докладов и подготовка сводного доклада</w:t>
            </w:r>
          </w:p>
        </w:tc>
        <w:tc>
          <w:tcPr>
            <w:tcW w:w="409" w:type="pct"/>
            <w:shd w:val="clear" w:color="auto" w:fill="auto"/>
          </w:tcPr>
          <w:p w14:paraId="7298E5B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На постоянной основе</w:t>
            </w:r>
          </w:p>
        </w:tc>
        <w:tc>
          <w:tcPr>
            <w:tcW w:w="693" w:type="pct"/>
            <w:shd w:val="clear" w:color="auto" w:fill="auto"/>
          </w:tcPr>
          <w:p w14:paraId="6EB25362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Договоры субподряда (т. е. на подготовку справочных материалов; обслуживание онлайновых прикладных программ для представления отчетности)</w:t>
            </w:r>
          </w:p>
        </w:tc>
        <w:tc>
          <w:tcPr>
            <w:tcW w:w="397" w:type="pct"/>
            <w:shd w:val="clear" w:color="auto" w:fill="auto"/>
          </w:tcPr>
          <w:p w14:paraId="4A35BAA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20 000</w:t>
            </w:r>
          </w:p>
        </w:tc>
        <w:tc>
          <w:tcPr>
            <w:tcW w:w="445" w:type="pct"/>
            <w:shd w:val="clear" w:color="auto" w:fill="auto"/>
          </w:tcPr>
          <w:p w14:paraId="0A459F3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</w:tr>
      <w:tr w:rsidR="00A432E1" w:rsidRPr="00027BED" w14:paraId="475111D1" w14:textId="77777777" w:rsidTr="00027BED">
        <w:tc>
          <w:tcPr>
            <w:tcW w:w="685" w:type="pct"/>
            <w:shd w:val="clear" w:color="auto" w:fill="auto"/>
          </w:tcPr>
          <w:p w14:paraId="2305FB4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Cs/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E.</w:t>
            </w:r>
            <w:r w:rsidRPr="00027BED">
              <w:rPr>
                <w:sz w:val="19"/>
                <w:szCs w:val="19"/>
              </w:rPr>
              <w:br/>
            </w:r>
            <w:r w:rsidRPr="00027BED">
              <w:rPr>
                <w:bCs/>
                <w:sz w:val="19"/>
                <w:szCs w:val="19"/>
              </w:rPr>
              <w:t>Повышение информированности о Протоколе, его продвижение и взаимосвязь с другими договорами и процессами</w:t>
            </w:r>
          </w:p>
          <w:p w14:paraId="37858C5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>(</w:t>
            </w:r>
            <w:r w:rsidRPr="00027BED">
              <w:rPr>
                <w:color w:val="333333"/>
                <w:sz w:val="19"/>
                <w:szCs w:val="19"/>
                <w:shd w:val="clear" w:color="auto" w:fill="FFFFFF"/>
              </w:rPr>
              <w:t>в основном в поддержку</w:t>
            </w:r>
            <w:r w:rsidRPr="00027BED">
              <w:rPr>
                <w:bCs/>
                <w:sz w:val="19"/>
                <w:szCs w:val="19"/>
              </w:rPr>
              <w:t xml:space="preserve"> ЦУР 3, 6, 7, 8, 9, 10, 11, 12, 13, 14, 15 и 16)</w:t>
            </w:r>
          </w:p>
        </w:tc>
        <w:tc>
          <w:tcPr>
            <w:tcW w:w="652" w:type="pct"/>
            <w:shd w:val="clear" w:color="auto" w:fill="auto"/>
          </w:tcPr>
          <w:p w14:paraId="1965AC4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color w:val="333333"/>
                <w:sz w:val="19"/>
                <w:szCs w:val="19"/>
                <w:shd w:val="clear" w:color="auto" w:fill="FFFFFF"/>
              </w:rPr>
              <w:t>Содействие расширению знаний о Протоколе в регионе ЕЭК и за его пределами, увеличение количества Сторон Протокола;</w:t>
            </w:r>
            <w:r w:rsidRPr="00027BED">
              <w:rPr>
                <w:sz w:val="19"/>
                <w:szCs w:val="19"/>
              </w:rPr>
              <w:t xml:space="preserve"> содействие применению Протокола в контексте других МПС и смежных процессов </w:t>
            </w:r>
            <w:r w:rsidR="00C44283">
              <w:rPr>
                <w:sz w:val="19"/>
                <w:szCs w:val="19"/>
              </w:rPr>
              <w:br/>
            </w:r>
            <w:r w:rsidRPr="00027BED">
              <w:rPr>
                <w:sz w:val="19"/>
                <w:szCs w:val="19"/>
              </w:rPr>
              <w:t>(т. е. ОЭСР, процесс после завершения СПМРХВ/МКРХВ, ГРПООН, МПБОХВ)</w:t>
            </w:r>
          </w:p>
        </w:tc>
        <w:tc>
          <w:tcPr>
            <w:tcW w:w="819" w:type="pct"/>
            <w:shd w:val="clear" w:color="auto" w:fill="auto"/>
          </w:tcPr>
          <w:p w14:paraId="6C8E6B3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Секретариат в сотрудничестве со всеми другими партнерами</w:t>
            </w:r>
          </w:p>
        </w:tc>
        <w:tc>
          <w:tcPr>
            <w:tcW w:w="900" w:type="pct"/>
            <w:shd w:val="clear" w:color="auto" w:fill="auto"/>
          </w:tcPr>
          <w:p w14:paraId="2EB32360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Участие в ключевых региональных и международных мероприятиях и процессах; оказание поддержки в проведении рабочих совещаний, организуемых другими сторонами; подготовка брошюр, публикаций, информационных бюллетеней и других материалов; обновление веб-сайта; подготовка и рецензирование статей по тематике Протокола</w:t>
            </w:r>
          </w:p>
        </w:tc>
        <w:tc>
          <w:tcPr>
            <w:tcW w:w="409" w:type="pct"/>
            <w:shd w:val="clear" w:color="auto" w:fill="auto"/>
          </w:tcPr>
          <w:p w14:paraId="2960D4FF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На постоянной основе</w:t>
            </w:r>
          </w:p>
        </w:tc>
        <w:tc>
          <w:tcPr>
            <w:tcW w:w="693" w:type="pct"/>
            <w:shd w:val="clear" w:color="auto" w:fill="auto"/>
          </w:tcPr>
          <w:p w14:paraId="02D7FA2E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Участие в соответствующих мероприятиях, организаторы которых не обеспечивают финансирования (путевые расходы + суточные)</w:t>
            </w:r>
          </w:p>
        </w:tc>
        <w:tc>
          <w:tcPr>
            <w:tcW w:w="397" w:type="pct"/>
            <w:shd w:val="clear" w:color="auto" w:fill="auto"/>
          </w:tcPr>
          <w:p w14:paraId="32A56B6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10 000</w:t>
            </w:r>
          </w:p>
        </w:tc>
        <w:tc>
          <w:tcPr>
            <w:tcW w:w="445" w:type="pct"/>
            <w:shd w:val="clear" w:color="auto" w:fill="auto"/>
          </w:tcPr>
          <w:p w14:paraId="0F15830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10 000</w:t>
            </w:r>
          </w:p>
        </w:tc>
      </w:tr>
      <w:tr w:rsidR="00A432E1" w:rsidRPr="00027BED" w14:paraId="05710752" w14:textId="77777777" w:rsidTr="00027BED">
        <w:tc>
          <w:tcPr>
            <w:tcW w:w="685" w:type="pct"/>
            <w:shd w:val="clear" w:color="auto" w:fill="auto"/>
          </w:tcPr>
          <w:p w14:paraId="0C254A15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52" w:type="pct"/>
            <w:shd w:val="clear" w:color="auto" w:fill="auto"/>
          </w:tcPr>
          <w:p w14:paraId="0D97C23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  <w:lang w:eastAsia="nl-NL"/>
              </w:rPr>
            </w:pPr>
          </w:p>
        </w:tc>
        <w:tc>
          <w:tcPr>
            <w:tcW w:w="819" w:type="pct"/>
            <w:shd w:val="clear" w:color="auto" w:fill="auto"/>
          </w:tcPr>
          <w:p w14:paraId="1202E03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135FAFB0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58E3BE6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340BD8C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Договоры субподряда (т. е. на организацию информационно-пропагандистских кампаний)</w:t>
            </w:r>
          </w:p>
        </w:tc>
        <w:tc>
          <w:tcPr>
            <w:tcW w:w="397" w:type="pct"/>
            <w:shd w:val="clear" w:color="auto" w:fill="auto"/>
          </w:tcPr>
          <w:p w14:paraId="4588D51D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  <w:tc>
          <w:tcPr>
            <w:tcW w:w="445" w:type="pct"/>
            <w:shd w:val="clear" w:color="auto" w:fill="auto"/>
          </w:tcPr>
          <w:p w14:paraId="2D648C8F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10 000</w:t>
            </w:r>
          </w:p>
        </w:tc>
      </w:tr>
      <w:tr w:rsidR="00A432E1" w:rsidRPr="00027BED" w14:paraId="72BB985A" w14:textId="77777777" w:rsidTr="00027BED">
        <w:tc>
          <w:tcPr>
            <w:tcW w:w="685" w:type="pct"/>
            <w:shd w:val="clear" w:color="auto" w:fill="auto"/>
          </w:tcPr>
          <w:p w14:paraId="5C327F32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Cs/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F.</w:t>
            </w:r>
            <w:r w:rsidRPr="00027BED">
              <w:rPr>
                <w:sz w:val="19"/>
                <w:szCs w:val="19"/>
              </w:rPr>
              <w:br/>
            </w:r>
            <w:r w:rsidRPr="00027BED">
              <w:rPr>
                <w:bCs/>
                <w:sz w:val="19"/>
                <w:szCs w:val="19"/>
              </w:rPr>
              <w:t>Координация и контроль межсессионной деятельности, организация пятой сессии Совещания Сторон</w:t>
            </w:r>
          </w:p>
          <w:p w14:paraId="18469A0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>(в основном в поддержку ЦУР 3, 6, 7, 8, 9, 10, 11, 12, 13, 14, 15 и 16)</w:t>
            </w:r>
          </w:p>
        </w:tc>
        <w:tc>
          <w:tcPr>
            <w:tcW w:w="652" w:type="pct"/>
            <w:shd w:val="clear" w:color="auto" w:fill="auto"/>
          </w:tcPr>
          <w:p w14:paraId="678FB17E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Координация и контроль деятельности в рамках Протокола, в частности путем осуществления настоящей программы работы</w:t>
            </w:r>
          </w:p>
        </w:tc>
        <w:tc>
          <w:tcPr>
            <w:tcW w:w="819" w:type="pct"/>
            <w:shd w:val="clear" w:color="auto" w:fill="auto"/>
          </w:tcPr>
          <w:p w14:paraId="0E991C6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Рабочая группа Сторон Протокола и Президиум Совещания Сторон</w:t>
            </w:r>
          </w:p>
        </w:tc>
        <w:tc>
          <w:tcPr>
            <w:tcW w:w="900" w:type="pct"/>
            <w:shd w:val="clear" w:color="auto" w:fill="auto"/>
          </w:tcPr>
          <w:p w14:paraId="22E31E9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Совещания Рабочей группы Сторон Протокола; совещания Президиума по мере необходимости; консультации между членами Президиума с использованием электронных средств; сессия Совещания Сторон Протокола</w:t>
            </w:r>
          </w:p>
        </w:tc>
        <w:tc>
          <w:tcPr>
            <w:tcW w:w="409" w:type="pct"/>
            <w:shd w:val="clear" w:color="auto" w:fill="auto"/>
          </w:tcPr>
          <w:p w14:paraId="7E186C4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На постоянной основе</w:t>
            </w:r>
          </w:p>
        </w:tc>
        <w:tc>
          <w:tcPr>
            <w:tcW w:w="693" w:type="pct"/>
            <w:shd w:val="clear" w:color="auto" w:fill="auto"/>
          </w:tcPr>
          <w:p w14:paraId="09FEC43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Путевые расходы и суточные экспертов и сотрудников секретариата, договоры субподряда (т. е. на письменный перевод, рекламные материалы, подготовительные справочные материалы, доклады и исследования, освещение мероприятий в средствах массовой информации)</w:t>
            </w:r>
          </w:p>
        </w:tc>
        <w:tc>
          <w:tcPr>
            <w:tcW w:w="397" w:type="pct"/>
            <w:shd w:val="clear" w:color="auto" w:fill="auto"/>
          </w:tcPr>
          <w:p w14:paraId="0DB99B4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100 000</w:t>
            </w:r>
          </w:p>
        </w:tc>
        <w:tc>
          <w:tcPr>
            <w:tcW w:w="445" w:type="pct"/>
            <w:shd w:val="clear" w:color="auto" w:fill="auto"/>
          </w:tcPr>
          <w:p w14:paraId="248739A8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</w:tr>
      <w:tr w:rsidR="00A432E1" w:rsidRPr="00027BED" w14:paraId="5E221612" w14:textId="77777777" w:rsidTr="00027BED">
        <w:tc>
          <w:tcPr>
            <w:tcW w:w="685" w:type="pct"/>
            <w:shd w:val="clear" w:color="auto" w:fill="auto"/>
          </w:tcPr>
          <w:p w14:paraId="21D0A8F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 xml:space="preserve">G. </w:t>
            </w:r>
            <w:r w:rsidRPr="00027BED">
              <w:rPr>
                <w:sz w:val="19"/>
                <w:szCs w:val="19"/>
              </w:rPr>
              <w:br/>
              <w:t>Техническая оценка положений Протокола</w:t>
            </w:r>
          </w:p>
          <w:p w14:paraId="5CEFA1C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>(в основном в поддержку ЦУР 3, 6, 7, 8, 9, 10, 11, 12, 13, 14, 15 и 16)</w:t>
            </w:r>
          </w:p>
        </w:tc>
        <w:tc>
          <w:tcPr>
            <w:tcW w:w="652" w:type="pct"/>
            <w:shd w:val="clear" w:color="auto" w:fill="auto"/>
          </w:tcPr>
          <w:p w14:paraId="701E9ED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Подготовка рекомендаций по техническим вопросам для Совещания Сторон на основе докладов об оценке и осуществлении</w:t>
            </w:r>
          </w:p>
        </w:tc>
        <w:tc>
          <w:tcPr>
            <w:tcW w:w="819" w:type="pct"/>
            <w:shd w:val="clear" w:color="auto" w:fill="auto"/>
          </w:tcPr>
          <w:p w14:paraId="61C0A3DA" w14:textId="457B575C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 xml:space="preserve">Секретариат; Комитет по вопросам соблюдения; </w:t>
            </w:r>
            <w:r w:rsidR="00C44283">
              <w:rPr>
                <w:sz w:val="19"/>
                <w:szCs w:val="19"/>
              </w:rPr>
              <w:br/>
            </w:r>
            <w:r w:rsidRPr="00027BED">
              <w:rPr>
                <w:sz w:val="19"/>
                <w:szCs w:val="19"/>
              </w:rPr>
              <w:t>Рабочая группа Сторон Протокола</w:t>
            </w:r>
          </w:p>
          <w:p w14:paraId="365AC4E0" w14:textId="70052B1E" w:rsidR="00A432E1" w:rsidRPr="00027BED" w:rsidRDefault="003337D9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A432E1" w:rsidRPr="00027BED">
              <w:rPr>
                <w:sz w:val="19"/>
                <w:szCs w:val="19"/>
              </w:rPr>
              <w:t>едущие страны или организации по конкретному(</w:t>
            </w:r>
            <w:proofErr w:type="spellStart"/>
            <w:r w:rsidR="00A432E1" w:rsidRPr="00027BED">
              <w:rPr>
                <w:sz w:val="19"/>
                <w:szCs w:val="19"/>
              </w:rPr>
              <w:t>ым</w:t>
            </w:r>
            <w:proofErr w:type="spellEnd"/>
            <w:r w:rsidR="00A432E1" w:rsidRPr="00027BED">
              <w:rPr>
                <w:sz w:val="19"/>
                <w:szCs w:val="19"/>
              </w:rPr>
              <w:t>) вопросу(</w:t>
            </w:r>
            <w:proofErr w:type="spellStart"/>
            <w:r w:rsidR="00A432E1" w:rsidRPr="00027BED">
              <w:rPr>
                <w:sz w:val="19"/>
                <w:szCs w:val="19"/>
              </w:rPr>
              <w:t>ам</w:t>
            </w:r>
            <w:proofErr w:type="spellEnd"/>
            <w:r w:rsidR="00A432E1" w:rsidRPr="00027BED">
              <w:rPr>
                <w:sz w:val="19"/>
                <w:szCs w:val="19"/>
              </w:rPr>
              <w:t>), связанному(</w:t>
            </w:r>
            <w:proofErr w:type="spellStart"/>
            <w:r w:rsidR="00A432E1" w:rsidRPr="00027BED">
              <w:rPr>
                <w:sz w:val="19"/>
                <w:szCs w:val="19"/>
              </w:rPr>
              <w:t>ым</w:t>
            </w:r>
            <w:proofErr w:type="spellEnd"/>
            <w:r w:rsidR="00A432E1" w:rsidRPr="00027BED">
              <w:rPr>
                <w:sz w:val="19"/>
                <w:szCs w:val="19"/>
              </w:rPr>
              <w:t xml:space="preserve">) с осуществлением и совершенствованием Протокола, </w:t>
            </w:r>
          </w:p>
          <w:p w14:paraId="533FA7AE" w14:textId="62EE3EF2" w:rsidR="00A432E1" w:rsidRPr="00027BED" w:rsidRDefault="003337D9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="00A432E1" w:rsidRPr="00027BED">
              <w:rPr>
                <w:sz w:val="19"/>
                <w:szCs w:val="19"/>
              </w:rPr>
              <w:t>екретариат, при необходимости заручающийся экспертной и административной поддержкой</w:t>
            </w:r>
          </w:p>
        </w:tc>
        <w:tc>
          <w:tcPr>
            <w:tcW w:w="900" w:type="pct"/>
            <w:shd w:val="clear" w:color="auto" w:fill="auto"/>
          </w:tcPr>
          <w:p w14:paraId="4C10A40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Совещания Рабочей группы Сторон Протокола и электронные консультации; подготовка, когда это целесообразно, доклада(</w:t>
            </w:r>
            <w:proofErr w:type="spellStart"/>
            <w:r w:rsidRPr="00027BED">
              <w:rPr>
                <w:sz w:val="19"/>
                <w:szCs w:val="19"/>
              </w:rPr>
              <w:t>ов</w:t>
            </w:r>
            <w:proofErr w:type="spellEnd"/>
            <w:r w:rsidRPr="00027BED">
              <w:rPr>
                <w:sz w:val="19"/>
                <w:szCs w:val="19"/>
              </w:rPr>
              <w:t>) об оценке опыта, накопленного в процессе совершенствования национальных РВПЗ в соответствии с пунктом 2 статьи 6 Протокола и докладов об осуществлении</w:t>
            </w:r>
          </w:p>
        </w:tc>
        <w:tc>
          <w:tcPr>
            <w:tcW w:w="409" w:type="pct"/>
            <w:shd w:val="clear" w:color="auto" w:fill="auto"/>
          </w:tcPr>
          <w:p w14:paraId="3571E7B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На постоянной основе</w:t>
            </w:r>
          </w:p>
        </w:tc>
        <w:tc>
          <w:tcPr>
            <w:tcW w:w="693" w:type="pct"/>
            <w:shd w:val="clear" w:color="auto" w:fill="auto"/>
          </w:tcPr>
          <w:p w14:paraId="6DD2B69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Договоры субподряда (проекты рекомендаций по техническим вопросам)</w:t>
            </w:r>
          </w:p>
        </w:tc>
        <w:tc>
          <w:tcPr>
            <w:tcW w:w="397" w:type="pct"/>
            <w:shd w:val="clear" w:color="auto" w:fill="auto"/>
          </w:tcPr>
          <w:p w14:paraId="47B37C4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10 000</w:t>
            </w:r>
          </w:p>
        </w:tc>
        <w:tc>
          <w:tcPr>
            <w:tcW w:w="445" w:type="pct"/>
            <w:shd w:val="clear" w:color="auto" w:fill="auto"/>
          </w:tcPr>
          <w:p w14:paraId="4BB4475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</w:tr>
      <w:tr w:rsidR="00A432E1" w:rsidRPr="00027BED" w14:paraId="59EC6AE6" w14:textId="77777777" w:rsidTr="00027BED">
        <w:tc>
          <w:tcPr>
            <w:tcW w:w="685" w:type="pct"/>
            <w:shd w:val="clear" w:color="auto" w:fill="auto"/>
          </w:tcPr>
          <w:p w14:paraId="5CB58A3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Cs/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 xml:space="preserve">H. </w:t>
            </w:r>
            <w:r w:rsidRPr="00027BED">
              <w:rPr>
                <w:bCs/>
                <w:sz w:val="19"/>
                <w:szCs w:val="19"/>
              </w:rPr>
              <w:br/>
              <w:t>Области горизонтальной поддержки</w:t>
            </w:r>
          </w:p>
          <w:p w14:paraId="3B84BD2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>(в основном в поддержку ЦУР 3, 6, 7, 8, 9, 10, 11, 12, 13, 14, 15 и 16)</w:t>
            </w:r>
          </w:p>
        </w:tc>
        <w:tc>
          <w:tcPr>
            <w:tcW w:w="652" w:type="pct"/>
            <w:shd w:val="clear" w:color="auto" w:fill="auto"/>
          </w:tcPr>
          <w:p w14:paraId="6E59FC40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Общая поддержка, охватывающая многочисленные основные области программы работы</w:t>
            </w:r>
          </w:p>
        </w:tc>
        <w:tc>
          <w:tcPr>
            <w:tcW w:w="819" w:type="pct"/>
            <w:shd w:val="clear" w:color="auto" w:fill="auto"/>
          </w:tcPr>
          <w:p w14:paraId="0D2F1718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Секретариат</w:t>
            </w:r>
          </w:p>
        </w:tc>
        <w:tc>
          <w:tcPr>
            <w:tcW w:w="900" w:type="pct"/>
            <w:shd w:val="clear" w:color="auto" w:fill="auto"/>
          </w:tcPr>
          <w:p w14:paraId="6295A04D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Обучение персонала, операционные расходы, оборудование</w:t>
            </w:r>
          </w:p>
        </w:tc>
        <w:tc>
          <w:tcPr>
            <w:tcW w:w="409" w:type="pct"/>
            <w:shd w:val="clear" w:color="auto" w:fill="auto"/>
          </w:tcPr>
          <w:p w14:paraId="213386B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На постоянной основе</w:t>
            </w:r>
          </w:p>
        </w:tc>
        <w:tc>
          <w:tcPr>
            <w:tcW w:w="693" w:type="pct"/>
            <w:shd w:val="clear" w:color="auto" w:fill="auto"/>
          </w:tcPr>
          <w:p w14:paraId="50C4AF3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Обучение персонала, техническая и оперативная поддержка</w:t>
            </w:r>
          </w:p>
        </w:tc>
        <w:tc>
          <w:tcPr>
            <w:tcW w:w="397" w:type="pct"/>
            <w:shd w:val="clear" w:color="auto" w:fill="auto"/>
          </w:tcPr>
          <w:p w14:paraId="2481BCED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4 000</w:t>
            </w:r>
          </w:p>
        </w:tc>
        <w:tc>
          <w:tcPr>
            <w:tcW w:w="445" w:type="pct"/>
            <w:shd w:val="clear" w:color="auto" w:fill="auto"/>
          </w:tcPr>
          <w:p w14:paraId="2039869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</w:tr>
      <w:tr w:rsidR="00A432E1" w:rsidRPr="00027BED" w14:paraId="3D63B5A4" w14:textId="77777777" w:rsidTr="00027BED">
        <w:tc>
          <w:tcPr>
            <w:tcW w:w="1337" w:type="pct"/>
            <w:gridSpan w:val="2"/>
            <w:shd w:val="clear" w:color="auto" w:fill="auto"/>
          </w:tcPr>
          <w:p w14:paraId="5DCDEDE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b/>
                <w:bCs/>
                <w:sz w:val="19"/>
                <w:szCs w:val="19"/>
              </w:rPr>
              <w:t xml:space="preserve">Промежуточный итог (виды </w:t>
            </w:r>
            <w:r w:rsidR="00C44283">
              <w:rPr>
                <w:b/>
                <w:bCs/>
                <w:sz w:val="19"/>
                <w:szCs w:val="19"/>
              </w:rPr>
              <w:br/>
            </w:r>
            <w:r w:rsidRPr="00027BED">
              <w:rPr>
                <w:b/>
                <w:bCs/>
                <w:sz w:val="19"/>
                <w:szCs w:val="19"/>
              </w:rPr>
              <w:t>деятельности)</w:t>
            </w:r>
          </w:p>
        </w:tc>
        <w:tc>
          <w:tcPr>
            <w:tcW w:w="819" w:type="pct"/>
            <w:shd w:val="clear" w:color="auto" w:fill="auto"/>
          </w:tcPr>
          <w:p w14:paraId="402D2D95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203A8579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001F2C5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46F557C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397" w:type="pct"/>
            <w:shd w:val="clear" w:color="auto" w:fill="auto"/>
          </w:tcPr>
          <w:p w14:paraId="4D355A6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b/>
                <w:sz w:val="19"/>
                <w:szCs w:val="19"/>
              </w:rPr>
            </w:pPr>
            <w:r w:rsidRPr="00027BED">
              <w:rPr>
                <w:b/>
                <w:sz w:val="19"/>
                <w:szCs w:val="19"/>
              </w:rPr>
              <w:t>224 000</w:t>
            </w:r>
          </w:p>
        </w:tc>
        <w:tc>
          <w:tcPr>
            <w:tcW w:w="445" w:type="pct"/>
            <w:shd w:val="clear" w:color="auto" w:fill="auto"/>
          </w:tcPr>
          <w:p w14:paraId="12D9822D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b/>
                <w:sz w:val="19"/>
                <w:szCs w:val="19"/>
              </w:rPr>
            </w:pPr>
            <w:r w:rsidRPr="00027BED">
              <w:rPr>
                <w:b/>
                <w:sz w:val="19"/>
                <w:szCs w:val="19"/>
              </w:rPr>
              <w:t>110 000</w:t>
            </w:r>
          </w:p>
        </w:tc>
      </w:tr>
      <w:tr w:rsidR="00A432E1" w:rsidRPr="00027BED" w14:paraId="639873A3" w14:textId="77777777" w:rsidTr="00027BED">
        <w:tc>
          <w:tcPr>
            <w:tcW w:w="1337" w:type="pct"/>
            <w:gridSpan w:val="2"/>
            <w:shd w:val="clear" w:color="auto" w:fill="auto"/>
          </w:tcPr>
          <w:p w14:paraId="353C1E62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>Потребности в персонале:</w:t>
            </w:r>
          </w:p>
        </w:tc>
        <w:tc>
          <w:tcPr>
            <w:tcW w:w="819" w:type="pct"/>
            <w:shd w:val="clear" w:color="auto" w:fill="auto"/>
          </w:tcPr>
          <w:p w14:paraId="5E666C38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/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1A527949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/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6903B04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/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4D8F381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/>
                <w:sz w:val="19"/>
                <w:szCs w:val="19"/>
              </w:rPr>
            </w:pPr>
          </w:p>
        </w:tc>
        <w:tc>
          <w:tcPr>
            <w:tcW w:w="397" w:type="pct"/>
            <w:shd w:val="clear" w:color="auto" w:fill="auto"/>
          </w:tcPr>
          <w:p w14:paraId="0A67941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445" w:type="pct"/>
            <w:shd w:val="clear" w:color="auto" w:fill="auto"/>
          </w:tcPr>
          <w:p w14:paraId="42A8DFA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</w:tr>
      <w:tr w:rsidR="00A432E1" w:rsidRPr="00027BED" w14:paraId="5011195D" w14:textId="77777777" w:rsidTr="00027BED">
        <w:tc>
          <w:tcPr>
            <w:tcW w:w="685" w:type="pct"/>
            <w:shd w:val="clear" w:color="auto" w:fill="auto"/>
          </w:tcPr>
          <w:p w14:paraId="6A9924FB" w14:textId="7944553E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Cs/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 xml:space="preserve">одна полная ставка </w:t>
            </w:r>
            <w:r w:rsidR="00C44283">
              <w:rPr>
                <w:bCs/>
                <w:sz w:val="19"/>
                <w:szCs w:val="19"/>
              </w:rPr>
              <w:br/>
            </w:r>
            <w:r w:rsidRPr="00027BED">
              <w:rPr>
                <w:bCs/>
                <w:sz w:val="19"/>
                <w:szCs w:val="19"/>
              </w:rPr>
              <w:t>сотрудника категории С-3</w:t>
            </w:r>
            <w:r w:rsidRPr="009641BF">
              <w:rPr>
                <w:i/>
                <w:iCs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652" w:type="pct"/>
            <w:shd w:val="clear" w:color="auto" w:fill="auto"/>
          </w:tcPr>
          <w:p w14:paraId="102C9930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</w:tcPr>
          <w:p w14:paraId="19FD7E69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2CE74FE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40F1D90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1920395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397" w:type="pct"/>
            <w:shd w:val="clear" w:color="auto" w:fill="auto"/>
          </w:tcPr>
          <w:p w14:paraId="044476E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180 000</w:t>
            </w:r>
          </w:p>
        </w:tc>
        <w:tc>
          <w:tcPr>
            <w:tcW w:w="445" w:type="pct"/>
            <w:shd w:val="clear" w:color="auto" w:fill="auto"/>
          </w:tcPr>
          <w:p w14:paraId="5191590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</w:tr>
      <w:tr w:rsidR="00A432E1" w:rsidRPr="00027BED" w14:paraId="40FA4D96" w14:textId="77777777" w:rsidTr="00027BED">
        <w:tc>
          <w:tcPr>
            <w:tcW w:w="685" w:type="pct"/>
            <w:shd w:val="clear" w:color="auto" w:fill="auto"/>
          </w:tcPr>
          <w:p w14:paraId="3B06EAFD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Cs/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>одна ставка сотрудника категории ОО-5</w:t>
            </w:r>
            <w:r w:rsidRPr="009641BF">
              <w:rPr>
                <w:i/>
                <w:iCs/>
                <w:sz w:val="19"/>
                <w:szCs w:val="19"/>
                <w:vertAlign w:val="superscript"/>
              </w:rPr>
              <w:t>d</w:t>
            </w:r>
          </w:p>
        </w:tc>
        <w:tc>
          <w:tcPr>
            <w:tcW w:w="652" w:type="pct"/>
            <w:shd w:val="clear" w:color="auto" w:fill="auto"/>
          </w:tcPr>
          <w:p w14:paraId="1371BC7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</w:tcPr>
          <w:p w14:paraId="0D57B87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794C462E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7E2D3F34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28DEAEB2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397" w:type="pct"/>
            <w:shd w:val="clear" w:color="auto" w:fill="auto"/>
          </w:tcPr>
          <w:p w14:paraId="01E09F6F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38 600</w:t>
            </w:r>
          </w:p>
        </w:tc>
        <w:tc>
          <w:tcPr>
            <w:tcW w:w="445" w:type="pct"/>
            <w:shd w:val="clear" w:color="auto" w:fill="auto"/>
          </w:tcPr>
          <w:p w14:paraId="215124B7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</w:tr>
      <w:tr w:rsidR="00A432E1" w:rsidRPr="00027BED" w14:paraId="38F43EFF" w14:textId="77777777" w:rsidTr="00027BED">
        <w:tc>
          <w:tcPr>
            <w:tcW w:w="1337" w:type="pct"/>
            <w:gridSpan w:val="2"/>
            <w:shd w:val="clear" w:color="auto" w:fill="auto"/>
          </w:tcPr>
          <w:p w14:paraId="5D7F3A73" w14:textId="4A07299C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b/>
                <w:bCs/>
                <w:sz w:val="19"/>
                <w:szCs w:val="19"/>
              </w:rPr>
              <w:t xml:space="preserve">Промежуточный итог (потребности, </w:t>
            </w:r>
            <w:r w:rsidR="00AB2047">
              <w:rPr>
                <w:b/>
                <w:bCs/>
                <w:sz w:val="19"/>
                <w:szCs w:val="19"/>
              </w:rPr>
              <w:br/>
            </w:r>
            <w:r w:rsidRPr="00027BED">
              <w:rPr>
                <w:b/>
                <w:bCs/>
                <w:sz w:val="19"/>
                <w:szCs w:val="19"/>
              </w:rPr>
              <w:t xml:space="preserve">связанные с персоналом) </w:t>
            </w:r>
            <w:bookmarkStart w:id="0" w:name="_GoBack"/>
            <w:bookmarkEnd w:id="0"/>
          </w:p>
        </w:tc>
        <w:tc>
          <w:tcPr>
            <w:tcW w:w="819" w:type="pct"/>
            <w:shd w:val="clear" w:color="auto" w:fill="auto"/>
          </w:tcPr>
          <w:p w14:paraId="74F2282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08FAC92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1804333E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742E82F9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397" w:type="pct"/>
            <w:shd w:val="clear" w:color="auto" w:fill="auto"/>
          </w:tcPr>
          <w:p w14:paraId="3763862A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b/>
                <w:sz w:val="19"/>
                <w:szCs w:val="19"/>
              </w:rPr>
            </w:pPr>
            <w:r w:rsidRPr="00027BED">
              <w:rPr>
                <w:b/>
                <w:sz w:val="19"/>
                <w:szCs w:val="19"/>
              </w:rPr>
              <w:t>218 600</w:t>
            </w:r>
          </w:p>
        </w:tc>
        <w:tc>
          <w:tcPr>
            <w:tcW w:w="445" w:type="pct"/>
            <w:shd w:val="clear" w:color="auto" w:fill="auto"/>
          </w:tcPr>
          <w:p w14:paraId="001ECEE8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</w:p>
        </w:tc>
      </w:tr>
      <w:tr w:rsidR="00A432E1" w:rsidRPr="00027BED" w14:paraId="7E694365" w14:textId="77777777" w:rsidTr="00027BED">
        <w:tc>
          <w:tcPr>
            <w:tcW w:w="1337" w:type="pct"/>
            <w:gridSpan w:val="2"/>
            <w:shd w:val="clear" w:color="auto" w:fill="auto"/>
          </w:tcPr>
          <w:p w14:paraId="0D2196A1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  <w:r w:rsidRPr="00027BED">
              <w:rPr>
                <w:bCs/>
                <w:sz w:val="19"/>
                <w:szCs w:val="19"/>
              </w:rPr>
              <w:t>Расходы на поддержку программ (13%)</w:t>
            </w:r>
          </w:p>
        </w:tc>
        <w:tc>
          <w:tcPr>
            <w:tcW w:w="819" w:type="pct"/>
            <w:shd w:val="clear" w:color="auto" w:fill="auto"/>
          </w:tcPr>
          <w:p w14:paraId="5C9C661E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shd w:val="clear" w:color="auto" w:fill="auto"/>
          </w:tcPr>
          <w:p w14:paraId="77067F9C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shd w:val="clear" w:color="auto" w:fill="auto"/>
          </w:tcPr>
          <w:p w14:paraId="4F5A8765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shd w:val="clear" w:color="auto" w:fill="auto"/>
          </w:tcPr>
          <w:p w14:paraId="5F09141E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397" w:type="pct"/>
            <w:shd w:val="clear" w:color="auto" w:fill="auto"/>
          </w:tcPr>
          <w:p w14:paraId="7A55A859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57 538</w:t>
            </w:r>
          </w:p>
        </w:tc>
        <w:tc>
          <w:tcPr>
            <w:tcW w:w="445" w:type="pct"/>
            <w:shd w:val="clear" w:color="auto" w:fill="auto"/>
          </w:tcPr>
          <w:p w14:paraId="43285C49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sz w:val="19"/>
                <w:szCs w:val="19"/>
              </w:rPr>
            </w:pPr>
            <w:r w:rsidRPr="00027BED">
              <w:rPr>
                <w:sz w:val="19"/>
                <w:szCs w:val="19"/>
              </w:rPr>
              <w:t>14 300</w:t>
            </w:r>
          </w:p>
        </w:tc>
      </w:tr>
      <w:tr w:rsidR="00A432E1" w:rsidRPr="00027BED" w14:paraId="561D7A51" w14:textId="77777777" w:rsidTr="00027BED">
        <w:tc>
          <w:tcPr>
            <w:tcW w:w="685" w:type="pct"/>
            <w:tcBorders>
              <w:bottom w:val="single" w:sz="12" w:space="0" w:color="auto"/>
            </w:tcBorders>
            <w:shd w:val="clear" w:color="auto" w:fill="auto"/>
          </w:tcPr>
          <w:p w14:paraId="274B6298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b/>
                <w:bCs/>
                <w:sz w:val="19"/>
                <w:szCs w:val="19"/>
              </w:rPr>
            </w:pPr>
            <w:r w:rsidRPr="00027BED">
              <w:rPr>
                <w:b/>
                <w:bCs/>
                <w:sz w:val="19"/>
                <w:szCs w:val="19"/>
              </w:rPr>
              <w:t>Общий итог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shd w:val="clear" w:color="auto" w:fill="auto"/>
          </w:tcPr>
          <w:p w14:paraId="1212201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819" w:type="pct"/>
            <w:tcBorders>
              <w:bottom w:val="single" w:sz="12" w:space="0" w:color="auto"/>
            </w:tcBorders>
            <w:shd w:val="clear" w:color="auto" w:fill="auto"/>
          </w:tcPr>
          <w:p w14:paraId="5C65AEAD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900" w:type="pct"/>
            <w:tcBorders>
              <w:bottom w:val="single" w:sz="12" w:space="0" w:color="auto"/>
            </w:tcBorders>
            <w:shd w:val="clear" w:color="auto" w:fill="auto"/>
          </w:tcPr>
          <w:p w14:paraId="43EB160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</w:tcPr>
          <w:p w14:paraId="2CB851E6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693" w:type="pct"/>
            <w:tcBorders>
              <w:bottom w:val="single" w:sz="12" w:space="0" w:color="auto"/>
            </w:tcBorders>
            <w:shd w:val="clear" w:color="auto" w:fill="auto"/>
          </w:tcPr>
          <w:p w14:paraId="362AB21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rPr>
                <w:sz w:val="19"/>
                <w:szCs w:val="19"/>
              </w:rPr>
            </w:pPr>
          </w:p>
        </w:tc>
        <w:tc>
          <w:tcPr>
            <w:tcW w:w="397" w:type="pct"/>
            <w:tcBorders>
              <w:bottom w:val="single" w:sz="12" w:space="0" w:color="auto"/>
            </w:tcBorders>
            <w:shd w:val="clear" w:color="auto" w:fill="auto"/>
          </w:tcPr>
          <w:p w14:paraId="1EFF8F93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b/>
                <w:sz w:val="19"/>
                <w:szCs w:val="19"/>
              </w:rPr>
            </w:pPr>
            <w:r w:rsidRPr="00027BED">
              <w:rPr>
                <w:b/>
                <w:sz w:val="19"/>
                <w:szCs w:val="19"/>
              </w:rPr>
              <w:t>500 138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shd w:val="clear" w:color="auto" w:fill="auto"/>
          </w:tcPr>
          <w:p w14:paraId="4D33C51B" w14:textId="77777777" w:rsidR="00A432E1" w:rsidRPr="00027BED" w:rsidRDefault="00A432E1" w:rsidP="0032260E">
            <w:pPr>
              <w:suppressAutoHyphens w:val="0"/>
              <w:spacing w:before="40" w:after="120"/>
              <w:ind w:right="113"/>
              <w:jc w:val="right"/>
              <w:rPr>
                <w:b/>
                <w:sz w:val="19"/>
                <w:szCs w:val="19"/>
              </w:rPr>
            </w:pPr>
            <w:r w:rsidRPr="00027BED">
              <w:rPr>
                <w:b/>
                <w:sz w:val="19"/>
                <w:szCs w:val="19"/>
              </w:rPr>
              <w:t>124 300</w:t>
            </w:r>
          </w:p>
        </w:tc>
      </w:tr>
    </w:tbl>
    <w:p w14:paraId="43EA69A4" w14:textId="77777777" w:rsidR="00A432E1" w:rsidRDefault="00A432E1">
      <w:pPr>
        <w:suppressAutoHyphens w:val="0"/>
        <w:spacing w:line="240" w:lineRule="auto"/>
      </w:pPr>
    </w:p>
    <w:p w14:paraId="12E387DB" w14:textId="77777777" w:rsidR="00A432E1" w:rsidRPr="00A432E1" w:rsidRDefault="00A432E1" w:rsidP="00C44283">
      <w:pPr>
        <w:spacing w:line="220" w:lineRule="exact"/>
        <w:ind w:firstLine="170"/>
        <w:rPr>
          <w:sz w:val="18"/>
          <w:szCs w:val="20"/>
        </w:rPr>
      </w:pPr>
      <w:r w:rsidRPr="00A432E1">
        <w:rPr>
          <w:i/>
          <w:sz w:val="18"/>
          <w:szCs w:val="20"/>
        </w:rPr>
        <w:t xml:space="preserve">Сокращения: </w:t>
      </w:r>
      <w:r w:rsidRPr="00A432E1">
        <w:rPr>
          <w:sz w:val="18"/>
          <w:szCs w:val="20"/>
        </w:rPr>
        <w:t xml:space="preserve">ЕЭК — Европейская экономическая комиссия Организации Объединенных Наций; МКРХВ — Международная конференция по регулированию химических веществ; МПБОХВ — </w:t>
      </w:r>
      <w:proofErr w:type="spellStart"/>
      <w:r w:rsidRPr="00A432E1">
        <w:rPr>
          <w:sz w:val="18"/>
          <w:szCs w:val="20"/>
        </w:rPr>
        <w:t>Межорганизационная</w:t>
      </w:r>
      <w:proofErr w:type="spellEnd"/>
      <w:r w:rsidRPr="00A432E1">
        <w:rPr>
          <w:sz w:val="18"/>
          <w:szCs w:val="20"/>
        </w:rPr>
        <w:t xml:space="preserve"> программа по безопасному обращению с химическими веществами; МПС — многостороннее природоохранное соглашение; ОЭСР — Организация экономического сотрудничества и развития; ОБСЕ — Организация по безопасности и сотрудничеству в Европе; РВПЗ — регистры выбросов и переноса загрязнителей; СПМРХВ — Стратегический подход к международному регулированию химических веществ; </w:t>
      </w:r>
      <w:bookmarkStart w:id="1" w:name="_Hlk45717557"/>
      <w:r w:rsidRPr="00A432E1">
        <w:rPr>
          <w:sz w:val="18"/>
          <w:szCs w:val="20"/>
        </w:rPr>
        <w:t xml:space="preserve">ЦУР — цели в области устойчивого развития; </w:t>
      </w:r>
      <w:bookmarkEnd w:id="1"/>
      <w:r w:rsidRPr="00A432E1">
        <w:rPr>
          <w:sz w:val="18"/>
          <w:szCs w:val="20"/>
        </w:rPr>
        <w:t>ГРПООН — Группа по рациональному природопользованию Организации Объединенных Наций; ЮНЕП — Программа Организации Объединенных Наций по окружающей среде; ЮНИТАР — Учебный и научно-исследовательский институт Организации Объединенных Наций.</w:t>
      </w:r>
    </w:p>
    <w:p w14:paraId="3DDF96C7" w14:textId="77777777" w:rsidR="00A432E1" w:rsidRPr="00A432E1" w:rsidRDefault="00A432E1" w:rsidP="00C44283">
      <w:pPr>
        <w:spacing w:line="220" w:lineRule="exact"/>
        <w:ind w:firstLine="170"/>
        <w:rPr>
          <w:sz w:val="18"/>
          <w:szCs w:val="20"/>
        </w:rPr>
      </w:pPr>
      <w:proofErr w:type="gramStart"/>
      <w:r w:rsidRPr="00A432E1">
        <w:rPr>
          <w:i/>
          <w:sz w:val="18"/>
          <w:szCs w:val="20"/>
          <w:vertAlign w:val="superscript"/>
        </w:rPr>
        <w:t xml:space="preserve">a  </w:t>
      </w:r>
      <w:r w:rsidRPr="00A432E1">
        <w:rPr>
          <w:sz w:val="18"/>
          <w:szCs w:val="20"/>
        </w:rPr>
        <w:t>Указанные</w:t>
      </w:r>
      <w:proofErr w:type="gramEnd"/>
      <w:r w:rsidRPr="00A432E1">
        <w:rPr>
          <w:sz w:val="18"/>
          <w:szCs w:val="20"/>
        </w:rPr>
        <w:t xml:space="preserve"> в данной графе сметные расходы ограничиваются теми расходами, которые предполагается покрывать за счет добровольных взносов, вносимых в соответствии со схемой финансовых процедур Протокола либо через его целевой фонд, либо в натуральной форме. В них не включены расходы, которые, как ожидается, будут покрыты за счет регулярного бюджета Организации Объединенных Наций или из других источников. Приведенные суммы округлены. В них могут быть внесены изменения в соответствии с административными правилами Организации Объединенных Наций.</w:t>
      </w:r>
    </w:p>
    <w:p w14:paraId="45A82F4D" w14:textId="77777777" w:rsidR="00A432E1" w:rsidRPr="00A432E1" w:rsidRDefault="00A432E1" w:rsidP="00C44283">
      <w:pPr>
        <w:spacing w:line="220" w:lineRule="exact"/>
        <w:ind w:firstLine="170"/>
        <w:rPr>
          <w:sz w:val="18"/>
          <w:szCs w:val="20"/>
        </w:rPr>
      </w:pPr>
      <w:r w:rsidRPr="00A432E1">
        <w:rPr>
          <w:i/>
          <w:sz w:val="18"/>
          <w:szCs w:val="20"/>
          <w:vertAlign w:val="superscript"/>
        </w:rPr>
        <w:t>b</w:t>
      </w:r>
      <w:r w:rsidRPr="00A432E1">
        <w:rPr>
          <w:sz w:val="18"/>
          <w:szCs w:val="20"/>
        </w:rPr>
        <w:t xml:space="preserve">  URL: </w:t>
      </w:r>
      <w:hyperlink r:id="rId15" w:history="1">
        <w:r w:rsidR="00C44283" w:rsidRPr="00C44283">
          <w:rPr>
            <w:rStyle w:val="af1"/>
            <w:sz w:val="18"/>
            <w:szCs w:val="20"/>
          </w:rPr>
          <w:t>http://www.unece.org/environmental-policy/conventions/public-participation/protocol-on-prtrs/areas-of-work/envppprtrcb/framework-programme-on-prtr-capacity-building.html</w:t>
        </w:r>
      </w:hyperlink>
      <w:r w:rsidRPr="00A432E1">
        <w:rPr>
          <w:sz w:val="18"/>
          <w:szCs w:val="20"/>
        </w:rPr>
        <w:t>.</w:t>
      </w:r>
    </w:p>
    <w:p w14:paraId="602B8319" w14:textId="77777777" w:rsidR="00A432E1" w:rsidRPr="00A432E1" w:rsidRDefault="00A432E1" w:rsidP="00C44283">
      <w:pPr>
        <w:spacing w:line="220" w:lineRule="exact"/>
        <w:ind w:firstLine="170"/>
        <w:rPr>
          <w:sz w:val="18"/>
          <w:szCs w:val="20"/>
        </w:rPr>
      </w:pPr>
      <w:proofErr w:type="gramStart"/>
      <w:r w:rsidRPr="00A432E1">
        <w:rPr>
          <w:i/>
          <w:sz w:val="18"/>
          <w:szCs w:val="20"/>
          <w:vertAlign w:val="superscript"/>
        </w:rPr>
        <w:t>c</w:t>
      </w:r>
      <w:r w:rsidRPr="00A432E1">
        <w:rPr>
          <w:sz w:val="18"/>
          <w:szCs w:val="20"/>
        </w:rPr>
        <w:t xml:space="preserve">  Один</w:t>
      </w:r>
      <w:proofErr w:type="gramEnd"/>
      <w:r w:rsidRPr="00A432E1">
        <w:rPr>
          <w:sz w:val="18"/>
          <w:szCs w:val="20"/>
        </w:rPr>
        <w:t xml:space="preserve"> сотрудник по экологическим вопросам категории С-3, обслуживающий все виды деятельности в рамках Протокола о РВПЗ. Если в регулярном бюджете Организации Объединенных Наций средства на эту должность заложены не будут, то для нее потребуется внебюджетное финансирование. </w:t>
      </w:r>
    </w:p>
    <w:p w14:paraId="00514607" w14:textId="77777777" w:rsidR="00A432E1" w:rsidRPr="00C44283" w:rsidRDefault="00A432E1" w:rsidP="00C44283">
      <w:pPr>
        <w:spacing w:line="220" w:lineRule="exact"/>
        <w:ind w:firstLine="170"/>
        <w:rPr>
          <w:sz w:val="18"/>
          <w:szCs w:val="20"/>
        </w:rPr>
      </w:pPr>
      <w:proofErr w:type="gramStart"/>
      <w:r w:rsidRPr="00C44283">
        <w:rPr>
          <w:i/>
          <w:sz w:val="18"/>
          <w:szCs w:val="20"/>
          <w:vertAlign w:val="superscript"/>
        </w:rPr>
        <w:t>d</w:t>
      </w:r>
      <w:r w:rsidRPr="00C44283">
        <w:rPr>
          <w:sz w:val="18"/>
          <w:szCs w:val="20"/>
        </w:rPr>
        <w:t xml:space="preserve">  Данный</w:t>
      </w:r>
      <w:proofErr w:type="gramEnd"/>
      <w:r w:rsidRPr="00C44283">
        <w:rPr>
          <w:sz w:val="18"/>
          <w:szCs w:val="20"/>
        </w:rPr>
        <w:t xml:space="preserve"> сотрудник требуется для оказания необходимой административной поддержки деятельности в рамках </w:t>
      </w:r>
      <w:proofErr w:type="spellStart"/>
      <w:r w:rsidRPr="00C44283">
        <w:rPr>
          <w:sz w:val="18"/>
          <w:szCs w:val="20"/>
        </w:rPr>
        <w:t>Орхусской</w:t>
      </w:r>
      <w:proofErr w:type="spellEnd"/>
      <w:r w:rsidRPr="00C44283">
        <w:rPr>
          <w:sz w:val="18"/>
          <w:szCs w:val="20"/>
        </w:rPr>
        <w:t xml:space="preserve"> конвенции и Протокола к ней, включая принятие необходимых административных мер в связи с совещаниями руководящих и вспомогательных органов этих двух договоров. Изменение категории должности с ОО-4 на ОО-5 отражает текущий уровень занимаемой должности. Эти расходы будут распределяться между взносами на </w:t>
      </w:r>
      <w:proofErr w:type="spellStart"/>
      <w:r w:rsidRPr="00C44283">
        <w:rPr>
          <w:sz w:val="18"/>
          <w:szCs w:val="20"/>
        </w:rPr>
        <w:t>Орхусскую</w:t>
      </w:r>
      <w:proofErr w:type="spellEnd"/>
      <w:r w:rsidRPr="00C44283">
        <w:rPr>
          <w:sz w:val="18"/>
          <w:szCs w:val="20"/>
        </w:rPr>
        <w:t xml:space="preserve"> конвенцию (70 %) и Протокол (30 %).</w:t>
      </w:r>
    </w:p>
    <w:p w14:paraId="48F83C41" w14:textId="77777777" w:rsidR="004F194E" w:rsidRPr="00A432E1" w:rsidRDefault="00A432E1" w:rsidP="00A432E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F194E" w:rsidRPr="00A432E1" w:rsidSect="00A432E1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E98B" w14:textId="77777777" w:rsidR="005B7D09" w:rsidRPr="00A312BC" w:rsidRDefault="005B7D09" w:rsidP="00A312BC"/>
  </w:endnote>
  <w:endnote w:type="continuationSeparator" w:id="0">
    <w:p w14:paraId="708CE539" w14:textId="77777777" w:rsidR="005B7D09" w:rsidRPr="00A312BC" w:rsidRDefault="005B7D0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482E" w14:textId="77777777" w:rsidR="004F194E" w:rsidRPr="004F194E" w:rsidRDefault="004F194E">
    <w:pPr>
      <w:pStyle w:val="a8"/>
    </w:pPr>
    <w:r w:rsidRPr="004F194E">
      <w:rPr>
        <w:b/>
        <w:sz w:val="18"/>
      </w:rPr>
      <w:fldChar w:fldCharType="begin"/>
    </w:r>
    <w:r w:rsidRPr="004F194E">
      <w:rPr>
        <w:b/>
        <w:sz w:val="18"/>
      </w:rPr>
      <w:instrText xml:space="preserve"> PAGE  \* MERGEFORMAT </w:instrText>
    </w:r>
    <w:r w:rsidRPr="004F194E">
      <w:rPr>
        <w:b/>
        <w:sz w:val="18"/>
      </w:rPr>
      <w:fldChar w:fldCharType="separate"/>
    </w:r>
    <w:r w:rsidRPr="004F194E">
      <w:rPr>
        <w:b/>
        <w:noProof/>
        <w:sz w:val="18"/>
      </w:rPr>
      <w:t>2</w:t>
    </w:r>
    <w:r w:rsidRPr="004F194E">
      <w:rPr>
        <w:b/>
        <w:sz w:val="18"/>
      </w:rPr>
      <w:fldChar w:fldCharType="end"/>
    </w:r>
    <w:r>
      <w:rPr>
        <w:b/>
        <w:sz w:val="18"/>
      </w:rPr>
      <w:tab/>
    </w:r>
    <w:r>
      <w:t>GE.20-13227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AD71" w14:textId="77777777" w:rsidR="004F194E" w:rsidRPr="004F194E" w:rsidRDefault="004F194E" w:rsidP="004F194E">
    <w:pPr>
      <w:pStyle w:val="a8"/>
      <w:tabs>
        <w:tab w:val="clear" w:pos="9639"/>
        <w:tab w:val="right" w:pos="9638"/>
      </w:tabs>
      <w:rPr>
        <w:b/>
        <w:sz w:val="18"/>
      </w:rPr>
    </w:pPr>
    <w:r>
      <w:t>GE.20-13227</w:t>
    </w:r>
    <w:r>
      <w:tab/>
    </w:r>
    <w:r w:rsidRPr="004F194E">
      <w:rPr>
        <w:b/>
        <w:sz w:val="18"/>
      </w:rPr>
      <w:fldChar w:fldCharType="begin"/>
    </w:r>
    <w:r w:rsidRPr="004F194E">
      <w:rPr>
        <w:b/>
        <w:sz w:val="18"/>
      </w:rPr>
      <w:instrText xml:space="preserve"> PAGE  \* MERGEFORMAT </w:instrText>
    </w:r>
    <w:r w:rsidRPr="004F194E">
      <w:rPr>
        <w:b/>
        <w:sz w:val="18"/>
      </w:rPr>
      <w:fldChar w:fldCharType="separate"/>
    </w:r>
    <w:r w:rsidRPr="004F194E">
      <w:rPr>
        <w:b/>
        <w:noProof/>
        <w:sz w:val="18"/>
      </w:rPr>
      <w:t>3</w:t>
    </w:r>
    <w:r w:rsidRPr="004F19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80B0" w14:textId="77777777" w:rsidR="00042B72" w:rsidRPr="004F194E" w:rsidRDefault="004F194E" w:rsidP="004F194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6FC02C" wp14:editId="7E2C48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8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13227  (</w:t>
    </w:r>
    <w:proofErr w:type="gramEnd"/>
    <w:r>
      <w:t>R)</w:t>
    </w:r>
    <w:r w:rsidR="0032260E">
      <w:rPr>
        <w:lang w:val="en-US"/>
      </w:rPr>
      <w:t xml:space="preserve">  191020  221020</w:t>
    </w:r>
    <w:r>
      <w:br/>
    </w:r>
    <w:r w:rsidRPr="004F194E">
      <w:rPr>
        <w:rFonts w:ascii="C39T30Lfz" w:hAnsi="C39T30Lfz"/>
        <w:kern w:val="14"/>
        <w:sz w:val="56"/>
      </w:rPr>
      <w:t>*2013227*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F2B5C6" wp14:editId="11342EC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2569" w14:textId="77777777" w:rsidR="00A432E1" w:rsidRPr="00A432E1" w:rsidRDefault="00A432E1" w:rsidP="00A432E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ACFD4" wp14:editId="61D3DA8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DA65230" w14:textId="77777777" w:rsidR="00A432E1" w:rsidRPr="004F194E" w:rsidRDefault="00A432E1" w:rsidP="00A432E1">
                          <w:pPr>
                            <w:pStyle w:val="a8"/>
                          </w:pPr>
                          <w:r w:rsidRPr="004F194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F194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F194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4F194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GE.20-13227</w:t>
                          </w:r>
                        </w:p>
                        <w:p w14:paraId="00ABDFEC" w14:textId="77777777" w:rsidR="00A432E1" w:rsidRDefault="00A432E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ACFD4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DA65230" w14:textId="77777777" w:rsidR="00A432E1" w:rsidRPr="004F194E" w:rsidRDefault="00A432E1" w:rsidP="00A432E1">
                    <w:pPr>
                      <w:pStyle w:val="a8"/>
                    </w:pPr>
                    <w:r w:rsidRPr="004F194E">
                      <w:rPr>
                        <w:b/>
                        <w:sz w:val="18"/>
                      </w:rPr>
                      <w:fldChar w:fldCharType="begin"/>
                    </w:r>
                    <w:r w:rsidRPr="004F194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F194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4F194E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GE.20-13227</w:t>
                    </w:r>
                  </w:p>
                  <w:p w14:paraId="00ABDFEC" w14:textId="77777777" w:rsidR="00A432E1" w:rsidRDefault="00A432E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9CD3" w14:textId="77777777" w:rsidR="00A432E1" w:rsidRPr="00A432E1" w:rsidRDefault="00A432E1" w:rsidP="00A432E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4013B" wp14:editId="585FFC2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4D9F7E8" w14:textId="77777777" w:rsidR="00A432E1" w:rsidRPr="004F194E" w:rsidRDefault="00A432E1" w:rsidP="00A432E1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GE.20-13227</w:t>
                          </w:r>
                          <w:r>
                            <w:tab/>
                          </w:r>
                          <w:r w:rsidRPr="004F194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F194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F194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4F194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9085321" w14:textId="77777777" w:rsidR="00A432E1" w:rsidRDefault="00A432E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4013B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mnX5V6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4D9F7E8" w14:textId="77777777" w:rsidR="00A432E1" w:rsidRPr="004F194E" w:rsidRDefault="00A432E1" w:rsidP="00A432E1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GE.20-13227</w:t>
                    </w:r>
                    <w:r>
                      <w:tab/>
                    </w:r>
                    <w:r w:rsidRPr="004F194E">
                      <w:rPr>
                        <w:b/>
                        <w:sz w:val="18"/>
                      </w:rPr>
                      <w:fldChar w:fldCharType="begin"/>
                    </w:r>
                    <w:r w:rsidRPr="004F194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F194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4F194E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9085321" w14:textId="77777777" w:rsidR="00A432E1" w:rsidRDefault="00A432E1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DC743" w14:textId="77777777" w:rsidR="005B7D09" w:rsidRPr="001075E9" w:rsidRDefault="005B7D0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545F93" w14:textId="77777777" w:rsidR="005B7D09" w:rsidRDefault="005B7D0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58C465" w14:textId="77777777" w:rsidR="004F194E" w:rsidRPr="005A2C72" w:rsidRDefault="004F194E" w:rsidP="004F194E">
      <w:pPr>
        <w:pStyle w:val="ad"/>
      </w:pPr>
      <w:r w:rsidRPr="0032260E">
        <w:rPr>
          <w:rStyle w:val="aa"/>
          <w:vertAlign w:val="baseline"/>
        </w:rPr>
        <w:tab/>
      </w:r>
      <w:r w:rsidRPr="0032260E">
        <w:rPr>
          <w:rStyle w:val="aa"/>
          <w:sz w:val="20"/>
          <w:vertAlign w:val="baseline"/>
        </w:rPr>
        <w:t>*</w:t>
      </w:r>
      <w:r w:rsidRPr="0032260E">
        <w:rPr>
          <w:rStyle w:val="aa"/>
          <w:sz w:val="20"/>
          <w:vertAlign w:val="baseline"/>
        </w:rPr>
        <w:tab/>
      </w:r>
      <w:r w:rsidRPr="005A2C72">
        <w:t>Настоящий документ было решено издать позднее установленной даты его опубликования в</w:t>
      </w:r>
      <w:r w:rsidR="0032260E">
        <w:rPr>
          <w:lang w:val="en-US"/>
        </w:rPr>
        <w:t> </w:t>
      </w:r>
      <w:r w:rsidRPr="005A2C72">
        <w:t>связи с обстоятельствами, не зависящими от стороны, представившей документ.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3D7F" w14:textId="79E8CEB1" w:rsidR="004F194E" w:rsidRPr="004F194E" w:rsidRDefault="004F194E">
    <w:pPr>
      <w:pStyle w:val="a5"/>
    </w:pPr>
    <w:fldSimple w:instr=" TITLE  \* MERGEFORMAT ">
      <w:r w:rsidR="000C34DA">
        <w:t>ECE/MP.PRTR/WG.1/2020/8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7CA7" w14:textId="200BD4F1" w:rsidR="004F194E" w:rsidRPr="004F194E" w:rsidRDefault="004F194E" w:rsidP="004F194E">
    <w:pPr>
      <w:pStyle w:val="a5"/>
      <w:jc w:val="right"/>
    </w:pPr>
    <w:fldSimple w:instr=" TITLE  \* MERGEFORMAT ">
      <w:r w:rsidR="000C34DA">
        <w:t>ECE/MP.PRTR/WG.1/2020/8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979E" w14:textId="77777777" w:rsidR="00A432E1" w:rsidRPr="00A432E1" w:rsidRDefault="00A432E1" w:rsidP="00A432E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459B8D" wp14:editId="596D274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4E51F6" w14:textId="3C40D327" w:rsidR="00A432E1" w:rsidRPr="004F194E" w:rsidRDefault="00A432E1" w:rsidP="00A432E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0C34DA">
                            <w:t>ECE/MP.PRTR/WG.1/2020/8</w:t>
                          </w:r>
                          <w:r>
                            <w:fldChar w:fldCharType="end"/>
                          </w:r>
                        </w:p>
                        <w:p w14:paraId="09AB20FD" w14:textId="77777777" w:rsidR="00A432E1" w:rsidRDefault="00A432E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59B8D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WWXJFGoCAACy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5A4E51F6" w14:textId="3C40D327" w:rsidR="00A432E1" w:rsidRPr="004F194E" w:rsidRDefault="00A432E1" w:rsidP="00A432E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0C34DA">
                      <w:t>ECE/MP.PRTR/WG.1/2020/8</w:t>
                    </w:r>
                    <w:r>
                      <w:fldChar w:fldCharType="end"/>
                    </w:r>
                  </w:p>
                  <w:p w14:paraId="09AB20FD" w14:textId="77777777" w:rsidR="00A432E1" w:rsidRDefault="00A432E1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146F" w14:textId="77777777" w:rsidR="00A432E1" w:rsidRPr="00A432E1" w:rsidRDefault="00A432E1" w:rsidP="00A432E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9557E" wp14:editId="6EA1962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8C261FA" w14:textId="4C38783B" w:rsidR="00A432E1" w:rsidRPr="004F194E" w:rsidRDefault="00A432E1" w:rsidP="00A432E1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0C34DA">
                            <w:t>ECE/MP.PRTR/WG.1/2020/8</w:t>
                          </w:r>
                          <w:r>
                            <w:fldChar w:fldCharType="end"/>
                          </w:r>
                        </w:p>
                        <w:p w14:paraId="2435686C" w14:textId="77777777" w:rsidR="00A432E1" w:rsidRDefault="00A432E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9557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8C261FA" w14:textId="4C38783B" w:rsidR="00A432E1" w:rsidRPr="004F194E" w:rsidRDefault="00A432E1" w:rsidP="00A432E1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0C34DA">
                      <w:t>ECE/MP.PRTR/WG.1/2020/8</w:t>
                    </w:r>
                    <w:r>
                      <w:fldChar w:fldCharType="end"/>
                    </w:r>
                  </w:p>
                  <w:p w14:paraId="2435686C" w14:textId="77777777" w:rsidR="00A432E1" w:rsidRDefault="00A432E1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09"/>
    <w:rsid w:val="00027BED"/>
    <w:rsid w:val="00033EE1"/>
    <w:rsid w:val="00042B72"/>
    <w:rsid w:val="000558BD"/>
    <w:rsid w:val="000B57E7"/>
    <w:rsid w:val="000B6373"/>
    <w:rsid w:val="000C34DA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559"/>
    <w:rsid w:val="002F7EEC"/>
    <w:rsid w:val="00301299"/>
    <w:rsid w:val="00305C08"/>
    <w:rsid w:val="00307FB6"/>
    <w:rsid w:val="00317339"/>
    <w:rsid w:val="00322004"/>
    <w:rsid w:val="0032260E"/>
    <w:rsid w:val="003337D9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498E"/>
    <w:rsid w:val="004E05B7"/>
    <w:rsid w:val="004F194E"/>
    <w:rsid w:val="0050108D"/>
    <w:rsid w:val="005068BC"/>
    <w:rsid w:val="00513081"/>
    <w:rsid w:val="00517901"/>
    <w:rsid w:val="00526683"/>
    <w:rsid w:val="005639C1"/>
    <w:rsid w:val="005709E0"/>
    <w:rsid w:val="00572E19"/>
    <w:rsid w:val="005961C8"/>
    <w:rsid w:val="005966F1"/>
    <w:rsid w:val="005B7D09"/>
    <w:rsid w:val="005D7914"/>
    <w:rsid w:val="005E2B41"/>
    <w:rsid w:val="005F0B42"/>
    <w:rsid w:val="00617A43"/>
    <w:rsid w:val="006345DB"/>
    <w:rsid w:val="00640F49"/>
    <w:rsid w:val="00680D03"/>
    <w:rsid w:val="00681A10"/>
    <w:rsid w:val="00695AC6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41BF"/>
    <w:rsid w:val="009A24AC"/>
    <w:rsid w:val="009C59D7"/>
    <w:rsid w:val="009C6FE6"/>
    <w:rsid w:val="009D7E7D"/>
    <w:rsid w:val="00A14DA8"/>
    <w:rsid w:val="00A312BC"/>
    <w:rsid w:val="00A37515"/>
    <w:rsid w:val="00A432E1"/>
    <w:rsid w:val="00A56081"/>
    <w:rsid w:val="00A84021"/>
    <w:rsid w:val="00A84D35"/>
    <w:rsid w:val="00A917B3"/>
    <w:rsid w:val="00AB2047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4283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22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2B8255"/>
  <w15:docId w15:val="{69CD4876-028A-49CA-A640-BE72A899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F194E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4F1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tr.unece.org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unece.org/environmental-policy/conventions/public-participation/protocol-on-prtrs/areas-of-work/envppprtrcb/framework-programme-on-prtr-capacity-building.html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prtr.unece.org/PRTR-learn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2079</Words>
  <Characters>14455</Characters>
  <Application>Microsoft Office Word</Application>
  <DocSecurity>0</DocSecurity>
  <Lines>1314</Lines>
  <Paragraphs>551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ECE/MP.PRTR/WG.1/2020/8</vt:lpstr>
      <vt:lpstr>A/</vt:lpstr>
      <vt:lpstr>A/</vt:lpstr>
    </vt:vector>
  </TitlesOfParts>
  <Company>DCM</Company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ECE/MP.PRTR/WG.1/2020/8</dc:title>
  <dc:subject/>
  <dc:creator>Anna PETELINA</dc:creator>
  <cp:keywords/>
  <cp:lastModifiedBy>Anna Petelina</cp:lastModifiedBy>
  <cp:revision>3</cp:revision>
  <cp:lastPrinted>2020-10-22T09:07:00Z</cp:lastPrinted>
  <dcterms:created xsi:type="dcterms:W3CDTF">2020-10-22T09:07:00Z</dcterms:created>
  <dcterms:modified xsi:type="dcterms:W3CDTF">2020-10-22T09:07:00Z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