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5C37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C37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5C37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5C37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5D1E6A">
                <w:t>MP.PRTR/WG.1/2016/6</w:t>
              </w:r>
            </w:fldSimple>
            <w:r w:rsidR="004B23F7">
              <w:t xml:space="preserve">    </w:t>
            </w:r>
            <w:r w:rsidR="007E243B">
              <w:t xml:space="preserve"> </w:t>
            </w:r>
          </w:p>
        </w:tc>
      </w:tr>
      <w:tr w:rsidR="00A658DB" w:rsidRPr="00245892" w:rsidTr="005C37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C37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5C37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5C37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C1C11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5C37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5D1E6A">
              <w:t xml:space="preserve">26 </w:t>
            </w:r>
            <w:proofErr w:type="spellStart"/>
            <w:r w:rsidR="005D1E6A">
              <w:t>August</w:t>
            </w:r>
            <w:proofErr w:type="spellEnd"/>
            <w:r w:rsidR="005D1E6A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5C379D">
            <w:proofErr w:type="spellStart"/>
            <w:r w:rsidRPr="00245892">
              <w:t>Russian</w:t>
            </w:r>
            <w:proofErr w:type="spellEnd"/>
          </w:p>
          <w:p w:rsidR="00A658DB" w:rsidRPr="00245892" w:rsidRDefault="00A658DB" w:rsidP="005C37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C1C1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5C379D"/>
        </w:tc>
      </w:tr>
    </w:tbl>
    <w:p w:rsidR="007E243B" w:rsidRPr="007E243B" w:rsidRDefault="00A658DB" w:rsidP="007E243B">
      <w:pPr>
        <w:spacing w:before="120" w:after="120"/>
        <w:rPr>
          <w:b/>
          <w:sz w:val="28"/>
          <w:szCs w:val="28"/>
        </w:rPr>
      </w:pPr>
      <w:r w:rsidRPr="007E243B">
        <w:rPr>
          <w:b/>
          <w:sz w:val="28"/>
          <w:szCs w:val="28"/>
        </w:rPr>
        <w:t>Европейская экономическая комиссия</w:t>
      </w:r>
    </w:p>
    <w:p w:rsidR="007E243B" w:rsidRPr="007E243B" w:rsidRDefault="007E243B" w:rsidP="007E243B">
      <w:pPr>
        <w:spacing w:before="120" w:after="120"/>
        <w:rPr>
          <w:bCs/>
          <w:sz w:val="28"/>
          <w:szCs w:val="28"/>
        </w:rPr>
      </w:pPr>
      <w:r w:rsidRPr="007E243B">
        <w:rPr>
          <w:bCs/>
          <w:sz w:val="28"/>
          <w:szCs w:val="28"/>
        </w:rPr>
        <w:t xml:space="preserve">Совещание Сторон Протокола о регистрах выбросов </w:t>
      </w:r>
      <w:r w:rsidRPr="007E243B">
        <w:rPr>
          <w:bCs/>
          <w:sz w:val="28"/>
          <w:szCs w:val="28"/>
        </w:rPr>
        <w:br/>
        <w:t xml:space="preserve">и переноса загрязнителей к Конвенции о доступе </w:t>
      </w:r>
      <w:r w:rsidRPr="007E243B">
        <w:rPr>
          <w:bCs/>
          <w:sz w:val="28"/>
          <w:szCs w:val="28"/>
        </w:rPr>
        <w:br/>
        <w:t>к информации, участии общественности в процессе</w:t>
      </w:r>
      <w:r w:rsidRPr="007E243B">
        <w:rPr>
          <w:bCs/>
          <w:sz w:val="28"/>
          <w:szCs w:val="28"/>
        </w:rPr>
        <w:br/>
        <w:t xml:space="preserve">принятия решений и доступе к правосудию </w:t>
      </w:r>
      <w:r w:rsidRPr="007E243B">
        <w:rPr>
          <w:bCs/>
          <w:sz w:val="28"/>
          <w:szCs w:val="28"/>
        </w:rPr>
        <w:br/>
        <w:t>по вопросам, касающимся окружающей среды</w:t>
      </w:r>
    </w:p>
    <w:p w:rsidR="007E243B" w:rsidRPr="004E5234" w:rsidRDefault="007E243B" w:rsidP="007E243B">
      <w:pPr>
        <w:spacing w:before="120" w:after="120"/>
        <w:rPr>
          <w:b/>
          <w:sz w:val="24"/>
          <w:szCs w:val="24"/>
        </w:rPr>
      </w:pPr>
      <w:r w:rsidRPr="004E5234">
        <w:rPr>
          <w:b/>
          <w:sz w:val="24"/>
          <w:szCs w:val="24"/>
        </w:rPr>
        <w:t>Рабочая группа Сторон</w:t>
      </w:r>
    </w:p>
    <w:p w:rsidR="007E243B" w:rsidRPr="007E243B" w:rsidRDefault="004E5234" w:rsidP="007E243B">
      <w:pPr>
        <w:rPr>
          <w:b/>
          <w:bCs/>
        </w:rPr>
      </w:pPr>
      <w:r>
        <w:rPr>
          <w:b/>
          <w:bCs/>
        </w:rPr>
        <w:t>Пятое</w:t>
      </w:r>
      <w:r w:rsidR="007E243B" w:rsidRPr="007E243B">
        <w:rPr>
          <w:b/>
          <w:bCs/>
        </w:rPr>
        <w:t xml:space="preserve"> совещание</w:t>
      </w:r>
    </w:p>
    <w:p w:rsidR="007E243B" w:rsidRPr="0017028D" w:rsidRDefault="004E5234" w:rsidP="007E243B">
      <w:r>
        <w:t>Женева, 23–24 ноября 2016 года</w:t>
      </w:r>
      <w:bookmarkStart w:id="2" w:name="_GoBack"/>
      <w:bookmarkEnd w:id="2"/>
    </w:p>
    <w:p w:rsidR="007E243B" w:rsidRPr="0017028D" w:rsidRDefault="007E243B" w:rsidP="007E243B">
      <w:r w:rsidRPr="0017028D">
        <w:t>Пункт 5 предварительной повестки дня</w:t>
      </w:r>
    </w:p>
    <w:p w:rsidR="007E243B" w:rsidRPr="007E243B" w:rsidRDefault="007E243B" w:rsidP="007E243B">
      <w:pPr>
        <w:rPr>
          <w:b/>
          <w:bCs/>
        </w:rPr>
      </w:pPr>
      <w:r w:rsidRPr="007E243B">
        <w:rPr>
          <w:b/>
          <w:bCs/>
        </w:rPr>
        <w:t>Механизмы соблюдения отчетности</w:t>
      </w:r>
    </w:p>
    <w:p w:rsidR="007E243B" w:rsidRDefault="007E243B" w:rsidP="007E243B">
      <w:pPr>
        <w:pStyle w:val="HChGR"/>
      </w:pPr>
      <w:r w:rsidRPr="009936E1">
        <w:tab/>
      </w:r>
      <w:r w:rsidRPr="009936E1">
        <w:tab/>
      </w:r>
      <w:r w:rsidRPr="0017028D">
        <w:t xml:space="preserve">Проект руководства по представлению отчетности </w:t>
      </w:r>
      <w:r w:rsidR="004E5234">
        <w:br/>
      </w:r>
      <w:r w:rsidRPr="0017028D">
        <w:t>об</w:t>
      </w:r>
      <w:r w:rsidRPr="007E243B">
        <w:t xml:space="preserve"> </w:t>
      </w:r>
      <w:r w:rsidRPr="0017028D">
        <w:t xml:space="preserve">осуществлении Протокола о регистрах выбросов </w:t>
      </w:r>
      <w:r w:rsidR="004E5234">
        <w:br/>
      </w:r>
      <w:r w:rsidRPr="0017028D">
        <w:t>и</w:t>
      </w:r>
      <w:r w:rsidRPr="007E243B">
        <w:t xml:space="preserve"> </w:t>
      </w:r>
      <w:r w:rsidRPr="0017028D">
        <w:t>переноса загрязнителей</w:t>
      </w:r>
    </w:p>
    <w:p w:rsidR="00B13249" w:rsidRDefault="007E243B" w:rsidP="00B13249">
      <w:pPr>
        <w:pStyle w:val="H1GR"/>
      </w:pPr>
      <w:r w:rsidRPr="0017028D">
        <w:tab/>
      </w:r>
      <w:r w:rsidRPr="0017028D">
        <w:tab/>
        <w:t>Подготовлено Комитетом по вопросам соблюдения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B13249" w:rsidTr="00CE21C6">
        <w:tc>
          <w:tcPr>
            <w:tcW w:w="9854" w:type="dxa"/>
            <w:tcBorders>
              <w:bottom w:val="nil"/>
            </w:tcBorders>
          </w:tcPr>
          <w:p w:rsidR="00B13249" w:rsidRPr="00B13249" w:rsidRDefault="00B13249" w:rsidP="00730569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B13249">
              <w:rPr>
                <w:i/>
                <w:sz w:val="24"/>
              </w:rPr>
              <w:t>Резюме</w:t>
            </w:r>
          </w:p>
        </w:tc>
      </w:tr>
      <w:tr w:rsidR="00B13249" w:rsidTr="00CE21C6">
        <w:tc>
          <w:tcPr>
            <w:tcW w:w="9854" w:type="dxa"/>
            <w:tcBorders>
              <w:top w:val="nil"/>
              <w:bottom w:val="nil"/>
            </w:tcBorders>
          </w:tcPr>
          <w:p w:rsidR="00B13249" w:rsidRPr="00B13249" w:rsidRDefault="00B13249" w:rsidP="00730569">
            <w:pPr>
              <w:pStyle w:val="SingleTxtGR"/>
            </w:pPr>
            <w:r w:rsidRPr="004B23F7">
              <w:tab/>
            </w:r>
            <w:r w:rsidRPr="0017028D">
              <w:t>В настоящем документе содержится проект руководства по представл</w:t>
            </w:r>
            <w:r w:rsidRPr="0017028D">
              <w:t>е</w:t>
            </w:r>
            <w:r w:rsidRPr="0017028D">
              <w:t xml:space="preserve">нию отчетности о </w:t>
            </w:r>
            <w:r>
              <w:t>положении дел с</w:t>
            </w:r>
            <w:r w:rsidRPr="0017028D">
              <w:t xml:space="preserve"> осуществлени</w:t>
            </w:r>
            <w:r>
              <w:t>ем</w:t>
            </w:r>
            <w:r w:rsidRPr="0017028D">
              <w:t xml:space="preserve"> Протокола о регистрах в</w:t>
            </w:r>
            <w:r w:rsidRPr="0017028D">
              <w:t>ы</w:t>
            </w:r>
            <w:r w:rsidRPr="0017028D">
              <w:t>бросов и переноса загрязнителей к Конвенции о доступе к информации, уч</w:t>
            </w:r>
            <w:r w:rsidRPr="0017028D">
              <w:t>а</w:t>
            </w:r>
            <w:r w:rsidRPr="0017028D">
              <w:t xml:space="preserve">стии общественности в процессе принятия решений и доступе к правосудию по вопросам, касающимся окружающей среды. </w:t>
            </w:r>
            <w:proofErr w:type="gramStart"/>
            <w:r w:rsidRPr="0017028D">
              <w:t>Руководство подготовлено де</w:t>
            </w:r>
            <w:r w:rsidRPr="0017028D">
              <w:t>й</w:t>
            </w:r>
            <w:r w:rsidRPr="0017028D">
              <w:t>ствующим в рамках Протокола Комитетом по вопросам соблюдения при соде</w:t>
            </w:r>
            <w:r w:rsidRPr="0017028D">
              <w:t>й</w:t>
            </w:r>
            <w:r w:rsidRPr="0017028D">
              <w:t>ствии секретариата в тесном сотрудничестве с Президиумом и при участии других Сторон и заинтересованных кругов в соответствии с просьбой Совещ</w:t>
            </w:r>
            <w:r w:rsidRPr="0017028D">
              <w:t>а</w:t>
            </w:r>
            <w:r w:rsidRPr="0017028D">
              <w:t>ния Сторон Протокола, высказанной на его второй сессии (</w:t>
            </w:r>
            <w:proofErr w:type="spellStart"/>
            <w:r w:rsidRPr="0017028D">
              <w:t>Маастрихт</w:t>
            </w:r>
            <w:proofErr w:type="spellEnd"/>
            <w:r w:rsidRPr="0017028D">
              <w:t xml:space="preserve">, </w:t>
            </w:r>
            <w:r w:rsidR="001A1844">
              <w:br/>
            </w:r>
            <w:r w:rsidRPr="0017028D">
              <w:t xml:space="preserve">Нидерланды, 3–4 июля 2014 года) (см. </w:t>
            </w:r>
            <w:r w:rsidRPr="0017028D">
              <w:rPr>
                <w:lang w:val="en-GB"/>
              </w:rPr>
              <w:t>ECE</w:t>
            </w:r>
            <w:r w:rsidRPr="0017028D">
              <w:t>/</w:t>
            </w:r>
            <w:r w:rsidRPr="0017028D">
              <w:rPr>
                <w:lang w:val="en-GB"/>
              </w:rPr>
              <w:t>MP</w:t>
            </w:r>
            <w:r w:rsidRPr="0017028D">
              <w:t>.</w:t>
            </w:r>
            <w:r w:rsidRPr="0017028D">
              <w:rPr>
                <w:lang w:val="en-GB"/>
              </w:rPr>
              <w:t>PRTR</w:t>
            </w:r>
            <w:r w:rsidRPr="0017028D">
              <w:t xml:space="preserve">/2014/4, пункт 36, и </w:t>
            </w:r>
            <w:r w:rsidRPr="0017028D">
              <w:rPr>
                <w:lang w:val="en-GB"/>
              </w:rPr>
              <w:t>ECE</w:t>
            </w:r>
            <w:r w:rsidRPr="0017028D">
              <w:t>/</w:t>
            </w:r>
            <w:r w:rsidRPr="0017028D">
              <w:rPr>
                <w:lang w:val="en-GB"/>
              </w:rPr>
              <w:t>MP</w:t>
            </w:r>
            <w:r w:rsidRPr="0017028D">
              <w:t>.</w:t>
            </w:r>
            <w:r w:rsidRPr="0017028D">
              <w:rPr>
                <w:lang w:val="en-GB"/>
              </w:rPr>
              <w:t>PRTR</w:t>
            </w:r>
            <w:r w:rsidRPr="0017028D">
              <w:t>/2014/4/</w:t>
            </w:r>
            <w:r w:rsidRPr="0017028D">
              <w:rPr>
                <w:lang w:val="en-GB"/>
              </w:rPr>
              <w:t>Add</w:t>
            </w:r>
            <w:r w:rsidRPr="0017028D">
              <w:t>.1</w:t>
            </w:r>
            <w:proofErr w:type="gramEnd"/>
            <w:r w:rsidRPr="0017028D">
              <w:t xml:space="preserve">, решение </w:t>
            </w:r>
            <w:r w:rsidRPr="0017028D">
              <w:rPr>
                <w:lang w:val="en-GB"/>
              </w:rPr>
              <w:t>II</w:t>
            </w:r>
            <w:r w:rsidRPr="0017028D">
              <w:t xml:space="preserve">/3, раздел </w:t>
            </w:r>
            <w:r w:rsidRPr="0017028D">
              <w:rPr>
                <w:lang w:val="en-GB"/>
              </w:rPr>
              <w:t>G</w:t>
            </w:r>
            <w:r w:rsidRPr="0017028D">
              <w:t xml:space="preserve"> приложения).</w:t>
            </w:r>
          </w:p>
        </w:tc>
      </w:tr>
      <w:tr w:rsidR="00B13249" w:rsidTr="00CE21C6">
        <w:tc>
          <w:tcPr>
            <w:tcW w:w="9854" w:type="dxa"/>
            <w:tcBorders>
              <w:top w:val="nil"/>
            </w:tcBorders>
          </w:tcPr>
          <w:p w:rsidR="00B13249" w:rsidRDefault="004E5234" w:rsidP="00730569">
            <w:pPr>
              <w:pStyle w:val="SingleTxtGR"/>
              <w:pageBreakBefore/>
            </w:pPr>
            <w:r>
              <w:lastRenderedPageBreak/>
              <w:tab/>
            </w:r>
            <w:r w:rsidR="00884887">
              <w:t>Президиум Протокола рассмотрел и утвердил этот документ с соглас</w:t>
            </w:r>
            <w:r w:rsidR="00884887">
              <w:t>о</w:t>
            </w:r>
            <w:r w:rsidR="00884887">
              <w:t>ванными поправками на его десятом совещании (Женева, 7 июля 2016 года) и просил секретариат доработать его при необходимости в консультации с Пре</w:t>
            </w:r>
            <w:r w:rsidR="00884887">
              <w:t>д</w:t>
            </w:r>
            <w:r w:rsidR="00884887">
              <w:t>седателем Комитета по вопросам соблюдения, а также представить Рабочей группе Сторон на ее пятом совещании</w:t>
            </w:r>
            <w:r w:rsidR="00CE21C6">
              <w:t>. Рабочей группе будет предложено ра</w:t>
            </w:r>
            <w:r w:rsidR="00CE21C6">
              <w:t>с</w:t>
            </w:r>
            <w:r w:rsidR="00CE21C6">
              <w:t>смотреть и утвердить настоящий документ</w:t>
            </w:r>
            <w:r w:rsidR="00884887">
              <w:t xml:space="preserve"> </w:t>
            </w:r>
            <w:r w:rsidR="00CE21C6">
              <w:t xml:space="preserve">и </w:t>
            </w:r>
            <w:proofErr w:type="gramStart"/>
            <w:r w:rsidR="00CE21C6">
              <w:t>поручить Президиуму доработать</w:t>
            </w:r>
            <w:proofErr w:type="gramEnd"/>
            <w:r w:rsidR="00CE21C6">
              <w:t xml:space="preserve"> его для представления Совещанию Сторон на его третьей сессии для рассмо</w:t>
            </w:r>
            <w:r w:rsidR="00CE21C6">
              <w:t>т</w:t>
            </w:r>
            <w:r w:rsidR="00CE21C6">
              <w:t>рения.</w:t>
            </w:r>
          </w:p>
        </w:tc>
      </w:tr>
      <w:tr w:rsidR="00B13249" w:rsidTr="00CE21C6">
        <w:tc>
          <w:tcPr>
            <w:tcW w:w="9854" w:type="dxa"/>
          </w:tcPr>
          <w:p w:rsidR="00B13249" w:rsidRDefault="00B13249" w:rsidP="00730569"/>
        </w:tc>
      </w:tr>
    </w:tbl>
    <w:p w:rsidR="004B23F7" w:rsidRDefault="004B23F7" w:rsidP="00B13249"/>
    <w:p w:rsidR="005D1E6A" w:rsidRPr="00B13249" w:rsidRDefault="005D1E6A" w:rsidP="00B13249">
      <w:r w:rsidRPr="00B13249">
        <w:br w:type="page"/>
      </w:r>
    </w:p>
    <w:p w:rsidR="001A5297" w:rsidRPr="004B23F7" w:rsidRDefault="001A5297" w:rsidP="001A5297">
      <w:pPr>
        <w:suppressAutoHyphens/>
        <w:spacing w:after="120"/>
        <w:rPr>
          <w:sz w:val="28"/>
        </w:rPr>
      </w:pPr>
      <w:r w:rsidRPr="004B23F7">
        <w:rPr>
          <w:sz w:val="28"/>
        </w:rPr>
        <w:lastRenderedPageBreak/>
        <w:t>Содержание</w:t>
      </w:r>
    </w:p>
    <w:p w:rsidR="001A5297" w:rsidRPr="004B23F7" w:rsidRDefault="001A5297" w:rsidP="001A5297">
      <w:pPr>
        <w:tabs>
          <w:tab w:val="right" w:pos="9638"/>
        </w:tabs>
        <w:suppressAutoHyphens/>
        <w:spacing w:after="120"/>
        <w:ind w:left="283"/>
        <w:rPr>
          <w:sz w:val="18"/>
        </w:rPr>
      </w:pPr>
      <w:r w:rsidRPr="004B23F7">
        <w:rPr>
          <w:i/>
          <w:sz w:val="18"/>
        </w:rPr>
        <w:tab/>
        <w:t>Стр.</w:t>
      </w:r>
    </w:p>
    <w:p w:rsidR="001A5297" w:rsidRPr="001A5297" w:rsidRDefault="001A5297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B23F7">
        <w:tab/>
      </w:r>
      <w:r>
        <w:rPr>
          <w:lang w:val="en-US"/>
        </w:rPr>
        <w:t>I</w:t>
      </w:r>
      <w:r w:rsidRPr="004B23F7">
        <w:t>.</w:t>
      </w:r>
      <w:r w:rsidRPr="001A5297">
        <w:tab/>
        <w:t>Введение</w:t>
      </w:r>
      <w:r w:rsidRPr="001A5297">
        <w:tab/>
      </w:r>
      <w:r w:rsidRPr="001A5297">
        <w:tab/>
      </w:r>
      <w:r w:rsidR="00D25045">
        <w:t>4</w:t>
      </w:r>
    </w:p>
    <w:p w:rsidR="001A5297" w:rsidRPr="001A5297" w:rsidRDefault="001A5297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1A5297">
        <w:tab/>
      </w:r>
      <w:r>
        <w:rPr>
          <w:lang w:val="en-US"/>
        </w:rPr>
        <w:t>II</w:t>
      </w:r>
      <w:r w:rsidRPr="001A5297">
        <w:t>.</w:t>
      </w:r>
      <w:r w:rsidRPr="001A5297">
        <w:tab/>
        <w:t>Основные элементы режима отчетности</w:t>
      </w:r>
      <w:r w:rsidRPr="001A5297">
        <w:tab/>
      </w:r>
      <w:r w:rsidRPr="001A5297">
        <w:tab/>
      </w:r>
      <w:r w:rsidR="00D25045">
        <w:t>4</w:t>
      </w:r>
    </w:p>
    <w:p w:rsidR="001A5297" w:rsidRPr="001A5297" w:rsidRDefault="001A5297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1A5297">
        <w:tab/>
      </w:r>
      <w:r w:rsidR="005C379D">
        <w:rPr>
          <w:lang w:val="en-US"/>
        </w:rPr>
        <w:t>III</w:t>
      </w:r>
      <w:r w:rsidR="005C379D" w:rsidRPr="005C379D">
        <w:t>.</w:t>
      </w:r>
      <w:r w:rsidRPr="005C379D">
        <w:tab/>
      </w:r>
      <w:r w:rsidRPr="001A5297">
        <w:t>Общие вопросы</w:t>
      </w:r>
      <w:r w:rsidRPr="001A5297">
        <w:tab/>
      </w:r>
      <w:r w:rsidRPr="001A5297">
        <w:tab/>
      </w:r>
      <w:r w:rsidR="00D25045">
        <w:t>5</w:t>
      </w:r>
    </w:p>
    <w:p w:rsidR="001A5297" w:rsidRPr="001A5297" w:rsidRDefault="001A5297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1A5297">
        <w:tab/>
      </w:r>
      <w:r w:rsidR="005C379D">
        <w:rPr>
          <w:lang w:val="en-US"/>
        </w:rPr>
        <w:t>IV</w:t>
      </w:r>
      <w:r w:rsidR="005C379D" w:rsidRPr="005C379D">
        <w:t>.</w:t>
      </w:r>
      <w:r w:rsidR="005C379D" w:rsidRPr="005C379D">
        <w:tab/>
      </w:r>
      <w:r w:rsidRPr="001A5297">
        <w:t>Отдельные вопросы, относящиеся к конкретным статьям</w:t>
      </w:r>
      <w:r w:rsidRPr="001A5297">
        <w:tab/>
      </w:r>
      <w:r w:rsidRPr="001A5297">
        <w:tab/>
      </w:r>
      <w:r w:rsidR="00D25045">
        <w:t>7</w:t>
      </w:r>
    </w:p>
    <w:p w:rsidR="001A5297" w:rsidRPr="005C379D" w:rsidRDefault="005C379D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B23F7">
        <w:tab/>
      </w:r>
      <w:r w:rsidRPr="004B23F7">
        <w:tab/>
      </w:r>
      <w:r>
        <w:rPr>
          <w:lang w:val="en-US"/>
        </w:rPr>
        <w:t>A</w:t>
      </w:r>
      <w:r w:rsidRPr="005C379D">
        <w:t>.</w:t>
      </w:r>
      <w:r w:rsidRPr="005C379D">
        <w:tab/>
      </w:r>
      <w:r w:rsidR="001A5297" w:rsidRPr="001A5297">
        <w:t xml:space="preserve">Общие положения, основные элементы, а также построение и структура </w:t>
      </w:r>
      <w:r w:rsidRPr="005C379D">
        <w:br/>
      </w:r>
      <w:r w:rsidRPr="005C379D">
        <w:tab/>
      </w:r>
      <w:r w:rsidRPr="005C379D">
        <w:tab/>
      </w:r>
      <w:r w:rsidRPr="005C379D">
        <w:tab/>
      </w:r>
      <w:r w:rsidR="001A5297" w:rsidRPr="001A5297">
        <w:t>с</w:t>
      </w:r>
      <w:r w:rsidR="001A5297" w:rsidRPr="005C379D">
        <w:t>истемы регистров выбросов и переноса загрязнителей – статьи 3, 4 и 5</w:t>
      </w:r>
      <w:r w:rsidR="001A5297" w:rsidRPr="005C379D">
        <w:tab/>
      </w:r>
      <w:r w:rsidR="001A5297" w:rsidRPr="005C379D">
        <w:tab/>
      </w:r>
      <w:r w:rsidR="00D25045">
        <w:t>7</w:t>
      </w:r>
    </w:p>
    <w:p w:rsidR="001A5297" w:rsidRPr="005C379D" w:rsidRDefault="005C379D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5C379D">
        <w:tab/>
      </w:r>
      <w:r w:rsidRPr="005C379D">
        <w:tab/>
      </w:r>
      <w:r>
        <w:rPr>
          <w:lang w:val="en-US"/>
        </w:rPr>
        <w:t>B</w:t>
      </w:r>
      <w:r w:rsidRPr="005C379D">
        <w:t>.</w:t>
      </w:r>
      <w:r w:rsidRPr="005C379D">
        <w:tab/>
      </w:r>
      <w:r w:rsidR="001A5297" w:rsidRPr="005C379D">
        <w:t>Требования в отношении представления отчетности – статья 7</w:t>
      </w:r>
      <w:r w:rsidR="001A5297" w:rsidRPr="005C379D">
        <w:tab/>
      </w:r>
      <w:r w:rsidR="001A5297" w:rsidRPr="005C379D">
        <w:tab/>
      </w:r>
      <w:r w:rsidR="00D25045">
        <w:t>9</w:t>
      </w:r>
    </w:p>
    <w:p w:rsidR="001A5297" w:rsidRPr="005C379D" w:rsidRDefault="005C379D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B23F7">
        <w:tab/>
      </w:r>
      <w:r w:rsidRPr="004B23F7">
        <w:tab/>
      </w:r>
      <w:r>
        <w:rPr>
          <w:lang w:val="en-US"/>
        </w:rPr>
        <w:t>C</w:t>
      </w:r>
      <w:r w:rsidRPr="005C379D">
        <w:t>.</w:t>
      </w:r>
      <w:r w:rsidRPr="005C379D">
        <w:tab/>
      </w:r>
      <w:r w:rsidR="001A5297" w:rsidRPr="005C379D">
        <w:t>Цикл представления отчетности – статья 8</w:t>
      </w:r>
      <w:r w:rsidR="001A5297" w:rsidRPr="005C379D">
        <w:tab/>
      </w:r>
      <w:r w:rsidR="001A5297" w:rsidRPr="005C379D">
        <w:tab/>
      </w:r>
      <w:r w:rsidR="00D25045">
        <w:t>16</w:t>
      </w:r>
    </w:p>
    <w:p w:rsidR="001A5297" w:rsidRPr="005C379D" w:rsidRDefault="005C379D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B23F7">
        <w:tab/>
      </w:r>
      <w:r w:rsidRPr="004B23F7">
        <w:tab/>
      </w:r>
      <w:r>
        <w:rPr>
          <w:lang w:val="en-US"/>
        </w:rPr>
        <w:t>D</w:t>
      </w:r>
      <w:r w:rsidRPr="005C379D">
        <w:t>.</w:t>
      </w:r>
      <w:r w:rsidRPr="005C379D">
        <w:tab/>
      </w:r>
      <w:r w:rsidR="001A5297" w:rsidRPr="005C379D">
        <w:t>Сбор данных и хранение документации – статья 9</w:t>
      </w:r>
      <w:r w:rsidR="001A5297" w:rsidRPr="005C379D">
        <w:tab/>
      </w:r>
      <w:r w:rsidR="001A5297" w:rsidRPr="005C379D">
        <w:tab/>
        <w:t>1</w:t>
      </w:r>
      <w:r w:rsidR="00D25045">
        <w:t>8</w:t>
      </w:r>
    </w:p>
    <w:p w:rsidR="001A5297" w:rsidRPr="005C379D" w:rsidRDefault="005C379D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B23F7">
        <w:tab/>
      </w:r>
      <w:r w:rsidRPr="004B23F7">
        <w:tab/>
      </w:r>
      <w:r>
        <w:rPr>
          <w:lang w:val="en-US"/>
        </w:rPr>
        <w:t>E</w:t>
      </w:r>
      <w:r w:rsidRPr="005C379D">
        <w:t>.</w:t>
      </w:r>
      <w:r w:rsidRPr="005C379D">
        <w:tab/>
      </w:r>
      <w:r w:rsidR="001A5297" w:rsidRPr="005C379D">
        <w:t>Оценка качества – статья 10</w:t>
      </w:r>
      <w:r w:rsidR="001A5297" w:rsidRPr="005C379D">
        <w:tab/>
      </w:r>
      <w:r w:rsidR="001A5297" w:rsidRPr="005C379D">
        <w:tab/>
        <w:t>1</w:t>
      </w:r>
      <w:r w:rsidR="00D25045">
        <w:t>8</w:t>
      </w:r>
    </w:p>
    <w:p w:rsidR="001A5297" w:rsidRPr="005C379D" w:rsidRDefault="005C379D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B23F7">
        <w:tab/>
      </w:r>
      <w:r w:rsidRPr="004B23F7">
        <w:tab/>
      </w:r>
      <w:r>
        <w:rPr>
          <w:lang w:val="en-US"/>
        </w:rPr>
        <w:t>F</w:t>
      </w:r>
      <w:r w:rsidRPr="005C379D">
        <w:t>.</w:t>
      </w:r>
      <w:r w:rsidRPr="005C379D">
        <w:tab/>
      </w:r>
      <w:r w:rsidR="001A5297" w:rsidRPr="005C379D">
        <w:t>Доступ общественности к информации – статья 11</w:t>
      </w:r>
      <w:r w:rsidR="001A5297" w:rsidRPr="005C379D">
        <w:tab/>
      </w:r>
      <w:r w:rsidR="001A5297" w:rsidRPr="005C379D">
        <w:tab/>
        <w:t>1</w:t>
      </w:r>
      <w:r w:rsidR="00D25045">
        <w:t>9</w:t>
      </w:r>
    </w:p>
    <w:p w:rsidR="001A5297" w:rsidRPr="005C379D" w:rsidRDefault="005C379D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B23F7">
        <w:tab/>
      </w:r>
      <w:r w:rsidRPr="004B23F7">
        <w:tab/>
      </w:r>
      <w:r>
        <w:rPr>
          <w:lang w:val="en-US"/>
        </w:rPr>
        <w:t>G</w:t>
      </w:r>
      <w:r w:rsidRPr="005C379D">
        <w:t>.</w:t>
      </w:r>
      <w:r w:rsidRPr="005C379D">
        <w:tab/>
      </w:r>
      <w:r w:rsidR="001A5297" w:rsidRPr="005C379D">
        <w:t>Конфиденциальность – статья 12</w:t>
      </w:r>
      <w:r w:rsidR="001A5297" w:rsidRPr="005C379D">
        <w:tab/>
      </w:r>
      <w:r w:rsidR="001A5297" w:rsidRPr="005C379D">
        <w:tab/>
      </w:r>
      <w:r w:rsidR="00D25045">
        <w:t>20</w:t>
      </w:r>
    </w:p>
    <w:p w:rsidR="001A5297" w:rsidRPr="005C379D" w:rsidRDefault="005C379D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B23F7">
        <w:tab/>
      </w:r>
      <w:r w:rsidRPr="004B23F7">
        <w:tab/>
      </w:r>
      <w:r>
        <w:rPr>
          <w:lang w:val="en-US"/>
        </w:rPr>
        <w:t>H</w:t>
      </w:r>
      <w:r w:rsidRPr="005C379D">
        <w:t>.</w:t>
      </w:r>
      <w:r w:rsidRPr="005C379D">
        <w:tab/>
      </w:r>
      <w:r w:rsidR="001A5297" w:rsidRPr="005C379D">
        <w:t xml:space="preserve">Участие общественности в создании и совершенствовании национальных </w:t>
      </w:r>
      <w:r w:rsidRPr="005C379D">
        <w:br/>
      </w:r>
      <w:r w:rsidRPr="005C379D">
        <w:tab/>
      </w:r>
      <w:r w:rsidRPr="005C379D">
        <w:tab/>
      </w:r>
      <w:r w:rsidRPr="005C379D">
        <w:tab/>
      </w:r>
      <w:r w:rsidR="001A5297" w:rsidRPr="005C379D">
        <w:t>регистров выбросов и переноса загрязнителей</w:t>
      </w:r>
      <w:r w:rsidR="007B360F">
        <w:t xml:space="preserve"> – статья 13</w:t>
      </w:r>
      <w:r w:rsidR="001A5297" w:rsidRPr="005C379D">
        <w:tab/>
      </w:r>
      <w:r w:rsidR="001A5297" w:rsidRPr="005C379D">
        <w:tab/>
      </w:r>
      <w:r w:rsidR="00D25045">
        <w:t>2</w:t>
      </w:r>
      <w:r w:rsidR="001A5297" w:rsidRPr="005C379D">
        <w:t>1</w:t>
      </w:r>
    </w:p>
    <w:p w:rsidR="001A5297" w:rsidRPr="005C379D" w:rsidRDefault="005C379D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5C379D">
        <w:tab/>
      </w:r>
      <w:r w:rsidRPr="005C379D">
        <w:tab/>
      </w:r>
      <w:r>
        <w:rPr>
          <w:lang w:val="en-US"/>
        </w:rPr>
        <w:t>I</w:t>
      </w:r>
      <w:r w:rsidRPr="005C379D">
        <w:t>.</w:t>
      </w:r>
      <w:r w:rsidRPr="005C379D">
        <w:tab/>
      </w:r>
      <w:r w:rsidR="001A5297" w:rsidRPr="005C379D">
        <w:t>Доступ к правосудию – статья 14</w:t>
      </w:r>
      <w:r w:rsidR="001A5297" w:rsidRPr="005C379D">
        <w:tab/>
      </w:r>
      <w:r w:rsidR="001A5297" w:rsidRPr="005C379D">
        <w:tab/>
        <w:t>2</w:t>
      </w:r>
      <w:r w:rsidR="00D25045">
        <w:t>3</w:t>
      </w:r>
    </w:p>
    <w:p w:rsidR="001A5297" w:rsidRPr="005C379D" w:rsidRDefault="005C379D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B23F7">
        <w:tab/>
      </w:r>
      <w:r w:rsidRPr="004B23F7">
        <w:tab/>
      </w:r>
      <w:r>
        <w:rPr>
          <w:lang w:val="en-US"/>
        </w:rPr>
        <w:t>J</w:t>
      </w:r>
      <w:r w:rsidRPr="005C379D">
        <w:t>.</w:t>
      </w:r>
      <w:r w:rsidRPr="005C379D">
        <w:tab/>
      </w:r>
      <w:r w:rsidR="001A5297" w:rsidRPr="005C379D">
        <w:t xml:space="preserve">Наращивание потенциала </w:t>
      </w:r>
      <w:r w:rsidR="001A1844">
        <w:t>–</w:t>
      </w:r>
      <w:r w:rsidR="001A5297" w:rsidRPr="005C379D">
        <w:t xml:space="preserve"> статья 15</w:t>
      </w:r>
      <w:r w:rsidR="001A5297" w:rsidRPr="005C379D">
        <w:tab/>
      </w:r>
      <w:r w:rsidR="001A5297" w:rsidRPr="005C379D">
        <w:tab/>
        <w:t>2</w:t>
      </w:r>
      <w:r w:rsidR="00D25045">
        <w:t>4</w:t>
      </w:r>
    </w:p>
    <w:p w:rsidR="001A5297" w:rsidRPr="005C379D" w:rsidRDefault="005C379D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4B23F7">
        <w:tab/>
      </w:r>
      <w:r w:rsidRPr="004B23F7">
        <w:tab/>
      </w:r>
      <w:r>
        <w:rPr>
          <w:lang w:val="en-US"/>
        </w:rPr>
        <w:t>K</w:t>
      </w:r>
      <w:r w:rsidRPr="004B23F7">
        <w:t>.</w:t>
      </w:r>
      <w:r w:rsidRPr="004B23F7">
        <w:tab/>
      </w:r>
      <w:r w:rsidR="001A5297" w:rsidRPr="005C379D">
        <w:t>Международное сотрудничество – статья 16</w:t>
      </w:r>
      <w:r w:rsidR="001A5297" w:rsidRPr="005C379D">
        <w:tab/>
      </w:r>
      <w:r w:rsidR="001A5297" w:rsidRPr="005C379D">
        <w:tab/>
        <w:t>2</w:t>
      </w:r>
      <w:r w:rsidR="00D25045">
        <w:t>5</w:t>
      </w:r>
    </w:p>
    <w:p w:rsidR="007E243B" w:rsidRPr="005C379D" w:rsidRDefault="005D1E6A" w:rsidP="001A529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5C379D">
        <w:br w:type="page"/>
      </w:r>
    </w:p>
    <w:p w:rsidR="004B23F7" w:rsidRDefault="005C379D" w:rsidP="004B23F7">
      <w:pPr>
        <w:pStyle w:val="HChGR"/>
      </w:pPr>
      <w:r>
        <w:lastRenderedPageBreak/>
        <w:tab/>
      </w:r>
      <w:r w:rsidRPr="0017028D">
        <w:rPr>
          <w:lang w:val="en-US"/>
        </w:rPr>
        <w:t>I</w:t>
      </w:r>
      <w:r w:rsidRPr="00DB5FF9">
        <w:t>.</w:t>
      </w:r>
      <w:r w:rsidRPr="00DB5FF9">
        <w:tab/>
      </w:r>
      <w:r w:rsidRPr="0017028D">
        <w:t>Введение</w:t>
      </w:r>
    </w:p>
    <w:p w:rsidR="005C379D" w:rsidRPr="0017028D" w:rsidRDefault="005C379D" w:rsidP="004B23F7">
      <w:pPr>
        <w:pStyle w:val="SingleTxtGR"/>
      </w:pPr>
      <w:r w:rsidRPr="0017028D">
        <w:t>1.</w:t>
      </w:r>
      <w:r w:rsidRPr="0017028D">
        <w:tab/>
        <w:t xml:space="preserve">Настоящий руководящий документ направлен </w:t>
      </w:r>
      <w:proofErr w:type="gramStart"/>
      <w:r w:rsidRPr="0017028D">
        <w:t>на оказание Сторонам п</w:t>
      </w:r>
      <w:r w:rsidRPr="0017028D">
        <w:t>о</w:t>
      </w:r>
      <w:r w:rsidRPr="0017028D">
        <w:t>мощи в выполнении их обязательств по представлению отчетности об ос</w:t>
      </w:r>
      <w:r w:rsidRPr="0017028D">
        <w:t>у</w:t>
      </w:r>
      <w:r w:rsidRPr="0017028D">
        <w:t>ществлении Протокола о регистрах</w:t>
      </w:r>
      <w:proofErr w:type="gramEnd"/>
      <w:r w:rsidRPr="0017028D">
        <w:t xml:space="preserve"> выбросов и переноса загрязнителей (Прот</w:t>
      </w:r>
      <w:r w:rsidRPr="0017028D">
        <w:t>о</w:t>
      </w:r>
      <w:r w:rsidRPr="0017028D">
        <w:t>кол о РВПЗ) к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17028D">
        <w:t>Орхусская</w:t>
      </w:r>
      <w:proofErr w:type="spellEnd"/>
      <w:r w:rsidRPr="0017028D">
        <w:t xml:space="preserve"> конвенция).</w:t>
      </w:r>
    </w:p>
    <w:p w:rsidR="005C379D" w:rsidRPr="0017028D" w:rsidRDefault="005C379D" w:rsidP="004B23F7">
      <w:pPr>
        <w:pStyle w:val="SingleTxtGR"/>
      </w:pPr>
      <w:r w:rsidRPr="0017028D">
        <w:t>2.</w:t>
      </w:r>
      <w:r w:rsidRPr="0017028D">
        <w:tab/>
        <w:t>В пункте 2 статьи 17 Протокола о РВПЗ предусмотрено, что Совещание Сторон постоянно следит за ходом осуществления и совершенствования Прот</w:t>
      </w:r>
      <w:r w:rsidRPr="0017028D">
        <w:t>о</w:t>
      </w:r>
      <w:r w:rsidRPr="0017028D">
        <w:t xml:space="preserve">кола на основе отчетности, регулярно представляемой Сторонами. </w:t>
      </w:r>
      <w:proofErr w:type="gramStart"/>
      <w:r w:rsidRPr="0017028D">
        <w:t>На своих первой (Женева, 20–22 апреля 2010 года) и второй (</w:t>
      </w:r>
      <w:proofErr w:type="spellStart"/>
      <w:r w:rsidRPr="0017028D">
        <w:t>Маастрихт</w:t>
      </w:r>
      <w:proofErr w:type="spellEnd"/>
      <w:r w:rsidRPr="0017028D">
        <w:t>, 3–4 июля 2014</w:t>
      </w:r>
      <w:r w:rsidR="00D61BC7">
        <w:t> </w:t>
      </w:r>
      <w:r w:rsidRPr="0017028D">
        <w:t xml:space="preserve"> года) сессиях Совещание Сторон определило порядок выполнения этого положения и согласовало процедуры, а также формат представля</w:t>
      </w:r>
      <w:r>
        <w:t>емой отчетн</w:t>
      </w:r>
      <w:r>
        <w:t>о</w:t>
      </w:r>
      <w:r>
        <w:t xml:space="preserve">сти </w:t>
      </w:r>
      <w:r w:rsidRPr="0017028D">
        <w:t>(см.</w:t>
      </w:r>
      <w:r w:rsidR="004B23F7">
        <w:t xml:space="preserve"> </w:t>
      </w:r>
      <w:r w:rsidRPr="0017028D">
        <w:rPr>
          <w:lang w:val="en-GB"/>
        </w:rPr>
        <w:t>ECE</w:t>
      </w:r>
      <w:r w:rsidRPr="0017028D">
        <w:t>/</w:t>
      </w:r>
      <w:r w:rsidRPr="0017028D">
        <w:rPr>
          <w:lang w:val="en-GB"/>
        </w:rPr>
        <w:t>MP</w:t>
      </w:r>
      <w:r w:rsidRPr="0017028D">
        <w:t>.</w:t>
      </w:r>
      <w:r w:rsidRPr="0017028D">
        <w:rPr>
          <w:lang w:val="en-GB"/>
        </w:rPr>
        <w:t>PRTR</w:t>
      </w:r>
      <w:r w:rsidRPr="0017028D">
        <w:t>/2010/2/</w:t>
      </w:r>
      <w:r w:rsidRPr="0017028D">
        <w:rPr>
          <w:lang w:val="en-GB"/>
        </w:rPr>
        <w:t>Add</w:t>
      </w:r>
      <w:r w:rsidRPr="0017028D">
        <w:t xml:space="preserve">.1, решение </w:t>
      </w:r>
      <w:r w:rsidRPr="0017028D">
        <w:rPr>
          <w:lang w:val="en-GB"/>
        </w:rPr>
        <w:t>I</w:t>
      </w:r>
      <w:r w:rsidRPr="0017028D">
        <w:t xml:space="preserve">/5, и </w:t>
      </w:r>
      <w:r w:rsidRPr="0017028D">
        <w:rPr>
          <w:lang w:val="en-GB"/>
        </w:rPr>
        <w:t>ECE</w:t>
      </w:r>
      <w:r w:rsidRPr="0017028D">
        <w:t>/</w:t>
      </w:r>
      <w:r w:rsidRPr="0017028D">
        <w:rPr>
          <w:lang w:val="en-GB"/>
        </w:rPr>
        <w:t>MP</w:t>
      </w:r>
      <w:r w:rsidRPr="0017028D">
        <w:t>.</w:t>
      </w:r>
      <w:r w:rsidRPr="0017028D">
        <w:rPr>
          <w:lang w:val="en-GB"/>
        </w:rPr>
        <w:t>PRTR</w:t>
      </w:r>
      <w:r w:rsidRPr="0017028D">
        <w:t>/2014/4/</w:t>
      </w:r>
      <w:r w:rsidR="00D61BC7">
        <w:t xml:space="preserve"> </w:t>
      </w:r>
      <w:r w:rsidRPr="0017028D">
        <w:rPr>
          <w:lang w:val="en-GB"/>
        </w:rPr>
        <w:t>Add</w:t>
      </w:r>
      <w:r>
        <w:t xml:space="preserve">.1, </w:t>
      </w:r>
      <w:r w:rsidRPr="0017028D">
        <w:t xml:space="preserve">решение </w:t>
      </w:r>
      <w:r w:rsidRPr="0017028D">
        <w:rPr>
          <w:lang w:val="en-GB"/>
        </w:rPr>
        <w:t>II</w:t>
      </w:r>
      <w:r w:rsidRPr="0017028D">
        <w:t>/1)</w:t>
      </w:r>
      <w:r w:rsidRPr="00DB5FF9">
        <w:rPr>
          <w:vertAlign w:val="superscript"/>
        </w:rPr>
        <w:footnoteReference w:id="1"/>
      </w:r>
      <w:r w:rsidRPr="0017028D">
        <w:t xml:space="preserve">. </w:t>
      </w:r>
      <w:proofErr w:type="gramEnd"/>
    </w:p>
    <w:p w:rsidR="005C379D" w:rsidRPr="0017028D" w:rsidRDefault="005C379D" w:rsidP="004B23F7">
      <w:pPr>
        <w:pStyle w:val="SingleTxtGR"/>
      </w:pPr>
      <w:r w:rsidRPr="0017028D">
        <w:t>3.</w:t>
      </w:r>
      <w:r w:rsidRPr="0017028D">
        <w:tab/>
        <w:t xml:space="preserve">В основу настоящего документа положены </w:t>
      </w:r>
      <w:r>
        <w:t>материалы, представленные</w:t>
      </w:r>
      <w:r w:rsidRPr="0017028D">
        <w:t xml:space="preserve"> член</w:t>
      </w:r>
      <w:r>
        <w:t>ами</w:t>
      </w:r>
      <w:r w:rsidRPr="0017028D">
        <w:t xml:space="preserve"> действующего в рамках Протокола Комитета по вопросам соблюдения, и замечания Сторон, внесенные с учетом опыта подготовки национальных д</w:t>
      </w:r>
      <w:r w:rsidRPr="0017028D">
        <w:t>о</w:t>
      </w:r>
      <w:r w:rsidRPr="0017028D">
        <w:t>кладов об осуществлении (НДО)</w:t>
      </w:r>
      <w:r w:rsidRPr="00DB5FF9">
        <w:rPr>
          <w:vertAlign w:val="superscript"/>
        </w:rPr>
        <w:footnoteReference w:id="2"/>
      </w:r>
      <w:r w:rsidRPr="0017028D">
        <w:t xml:space="preserve"> в ходе состоявшегося в 2014 году цикла пре</w:t>
      </w:r>
      <w:r w:rsidRPr="0017028D">
        <w:t>д</w:t>
      </w:r>
      <w:r w:rsidRPr="0017028D">
        <w:t xml:space="preserve">ставления отчетности </w:t>
      </w:r>
      <w:r>
        <w:t>по</w:t>
      </w:r>
      <w:r w:rsidRPr="0017028D">
        <w:t xml:space="preserve"> Протоколу. Он также опирается на практический опыт, накопленный в ходе многочисленных циклов представления отчетности в ра</w:t>
      </w:r>
      <w:r w:rsidRPr="0017028D">
        <w:t>м</w:t>
      </w:r>
      <w:r w:rsidRPr="0017028D">
        <w:t xml:space="preserve">ках </w:t>
      </w:r>
      <w:proofErr w:type="spellStart"/>
      <w:r w:rsidRPr="0017028D">
        <w:t>Орхусской</w:t>
      </w:r>
      <w:proofErr w:type="spellEnd"/>
      <w:r w:rsidRPr="0017028D">
        <w:t xml:space="preserve"> конвенции.</w:t>
      </w:r>
    </w:p>
    <w:p w:rsidR="005C379D" w:rsidRPr="0017028D" w:rsidRDefault="005C379D" w:rsidP="004B23F7">
      <w:pPr>
        <w:pStyle w:val="SingleTxtGR"/>
      </w:pPr>
      <w:r w:rsidRPr="0017028D">
        <w:t>4.</w:t>
      </w:r>
      <w:r w:rsidRPr="0017028D">
        <w:tab/>
        <w:t xml:space="preserve">В главе </w:t>
      </w:r>
      <w:r w:rsidRPr="0017028D">
        <w:rPr>
          <w:lang w:val="en-US"/>
        </w:rPr>
        <w:t>II</w:t>
      </w:r>
      <w:r w:rsidRPr="0017028D">
        <w:t xml:space="preserve"> описана практическая информация об основных элементах о</w:t>
      </w:r>
      <w:r w:rsidRPr="0017028D">
        <w:t>т</w:t>
      </w:r>
      <w:r w:rsidRPr="0017028D">
        <w:t xml:space="preserve">четности </w:t>
      </w:r>
      <w:r>
        <w:t>по</w:t>
      </w:r>
      <w:r w:rsidRPr="0017028D">
        <w:t xml:space="preserve"> Протоколу о РВПЗ, в том числе </w:t>
      </w:r>
      <w:r>
        <w:t>для</w:t>
      </w:r>
      <w:r w:rsidRPr="0017028D">
        <w:t xml:space="preserve"> будущих циклов представления отчетности. Главы </w:t>
      </w:r>
      <w:r w:rsidRPr="0017028D">
        <w:rPr>
          <w:lang w:val="en-US"/>
        </w:rPr>
        <w:t>III</w:t>
      </w:r>
      <w:r w:rsidRPr="0017028D">
        <w:t xml:space="preserve"> и </w:t>
      </w:r>
      <w:r w:rsidRPr="0017028D">
        <w:rPr>
          <w:lang w:val="en-US"/>
        </w:rPr>
        <w:t>IV</w:t>
      </w:r>
      <w:r w:rsidRPr="0017028D">
        <w:t xml:space="preserve"> посвящены выявленным Комитетом по вопросам с</w:t>
      </w:r>
      <w:r w:rsidRPr="0017028D">
        <w:t>о</w:t>
      </w:r>
      <w:r w:rsidRPr="0017028D">
        <w:t>блюдения общим и конкретным проблемам подготовки докладов Сторонами и заинтересованными кругами после проведения первого цикла представления отчетности. В них приводятся рекомендации в отношении того, как добиться полноты отчетности, а также примеры отобранной надлежащей практики пре</w:t>
      </w:r>
      <w:r w:rsidRPr="0017028D">
        <w:t>д</w:t>
      </w:r>
      <w:r w:rsidRPr="0017028D">
        <w:t>ставления отчетности. Комитет счел целесообразным привести неисчерпыва</w:t>
      </w:r>
      <w:r w:rsidRPr="0017028D">
        <w:t>ю</w:t>
      </w:r>
      <w:r w:rsidRPr="0017028D">
        <w:t>щее количество примеров, демонстрирующих надлежащую практику</w:t>
      </w:r>
      <w:r>
        <w:t>,</w:t>
      </w:r>
      <w:r w:rsidRPr="0017028D">
        <w:t xml:space="preserve"> или, при необходимости, более подробн</w:t>
      </w:r>
      <w:r>
        <w:t>о</w:t>
      </w:r>
      <w:r w:rsidRPr="0017028D">
        <w:t xml:space="preserve"> поясн</w:t>
      </w:r>
      <w:r>
        <w:t>ить, что</w:t>
      </w:r>
      <w:r w:rsidRPr="0017028D">
        <w:t xml:space="preserve"> можно рассматривать в качестве надлежащей практики представления отчетности.</w:t>
      </w:r>
    </w:p>
    <w:p w:rsidR="004B23F7" w:rsidRDefault="005C379D" w:rsidP="004B23F7">
      <w:pPr>
        <w:pStyle w:val="HChGR"/>
      </w:pPr>
      <w:r>
        <w:tab/>
      </w:r>
      <w:r w:rsidRPr="0017028D">
        <w:rPr>
          <w:lang w:val="en-US"/>
        </w:rPr>
        <w:t>II</w:t>
      </w:r>
      <w:r w:rsidRPr="0017028D">
        <w:t>.</w:t>
      </w:r>
      <w:r w:rsidRPr="0017028D">
        <w:tab/>
        <w:t>Основные элементы режима отчетности</w:t>
      </w:r>
    </w:p>
    <w:p w:rsidR="005C379D" w:rsidRPr="0017028D" w:rsidRDefault="003C1C11" w:rsidP="004B23F7">
      <w:pPr>
        <w:pStyle w:val="SingleTxtGR"/>
      </w:pPr>
      <w:r w:rsidRPr="003C1C11">
        <w:t>5</w:t>
      </w:r>
      <w:r w:rsidR="005C379D" w:rsidRPr="0017028D">
        <w:t>.</w:t>
      </w:r>
      <w:r w:rsidR="005C379D" w:rsidRPr="0017028D">
        <w:tab/>
        <w:t>Ключевые элементы режима отчетности и требования к подготовке д</w:t>
      </w:r>
      <w:r w:rsidR="005C379D" w:rsidRPr="0017028D">
        <w:t>о</w:t>
      </w:r>
      <w:r w:rsidR="005C379D" w:rsidRPr="0017028D">
        <w:t xml:space="preserve">кладов изложены в решении </w:t>
      </w:r>
      <w:r w:rsidR="005C379D" w:rsidRPr="0017028D">
        <w:rPr>
          <w:lang w:val="en-US"/>
        </w:rPr>
        <w:t>I</w:t>
      </w:r>
      <w:r w:rsidR="005C379D" w:rsidRPr="0017028D">
        <w:t>/5, в котором учтен опыт представления отчетн</w:t>
      </w:r>
      <w:r w:rsidR="005C379D" w:rsidRPr="0017028D">
        <w:t>о</w:t>
      </w:r>
      <w:r w:rsidR="005C379D" w:rsidRPr="0017028D">
        <w:t xml:space="preserve">сти </w:t>
      </w:r>
      <w:r w:rsidR="005C379D">
        <w:t>по</w:t>
      </w:r>
      <w:r w:rsidR="005C379D" w:rsidRPr="0017028D">
        <w:t xml:space="preserve"> </w:t>
      </w:r>
      <w:proofErr w:type="spellStart"/>
      <w:r w:rsidR="005C379D" w:rsidRPr="0017028D">
        <w:t>Орхусской</w:t>
      </w:r>
      <w:proofErr w:type="spellEnd"/>
      <w:r w:rsidR="005C379D" w:rsidRPr="0017028D">
        <w:t xml:space="preserve"> конвенции.</w:t>
      </w:r>
    </w:p>
    <w:p w:rsidR="005C379D" w:rsidRPr="0017028D" w:rsidRDefault="003C1C11" w:rsidP="004B23F7">
      <w:pPr>
        <w:pStyle w:val="SingleTxtGR"/>
      </w:pPr>
      <w:r w:rsidRPr="003C1C11">
        <w:t>6</w:t>
      </w:r>
      <w:r w:rsidR="005C379D" w:rsidRPr="0017028D">
        <w:t>.</w:t>
      </w:r>
      <w:r w:rsidR="005C379D" w:rsidRPr="0017028D">
        <w:tab/>
        <w:t xml:space="preserve">В соответствии с решением </w:t>
      </w:r>
      <w:r w:rsidR="005C379D" w:rsidRPr="0017028D">
        <w:rPr>
          <w:lang w:val="en-US"/>
        </w:rPr>
        <w:t>I</w:t>
      </w:r>
      <w:r w:rsidR="005C379D" w:rsidRPr="0017028D">
        <w:t>/5 в доклады Сторон следует включать:</w:t>
      </w:r>
    </w:p>
    <w:p w:rsidR="005C379D" w:rsidRPr="0017028D" w:rsidRDefault="005C379D" w:rsidP="004B23F7">
      <w:pPr>
        <w:pStyle w:val="SingleTxtGR"/>
      </w:pPr>
      <w:r w:rsidRPr="0017028D">
        <w:tab/>
        <w:t>а)</w:t>
      </w:r>
      <w:r w:rsidRPr="0017028D">
        <w:tab/>
        <w:t>необходимые законодательные, нормативные или иные меры, пр</w:t>
      </w:r>
      <w:r w:rsidRPr="0017028D">
        <w:t>и</w:t>
      </w:r>
      <w:r w:rsidRPr="0017028D">
        <w:t>нятые ими с целью осуществления положений Протокола;</w:t>
      </w:r>
    </w:p>
    <w:p w:rsidR="005C379D" w:rsidRPr="0017028D" w:rsidRDefault="005C379D" w:rsidP="004B23F7">
      <w:pPr>
        <w:pStyle w:val="SingleTxtGR"/>
      </w:pPr>
      <w:r w:rsidRPr="0017028D">
        <w:tab/>
      </w:r>
      <w:r w:rsidRPr="0017028D">
        <w:rPr>
          <w:lang w:val="en-US"/>
        </w:rPr>
        <w:t>b</w:t>
      </w:r>
      <w:r w:rsidRPr="0017028D">
        <w:t>)</w:t>
      </w:r>
      <w:r w:rsidRPr="0017028D">
        <w:tab/>
      </w:r>
      <w:proofErr w:type="gramStart"/>
      <w:r w:rsidRPr="0017028D">
        <w:t>описание</w:t>
      </w:r>
      <w:proofErr w:type="gramEnd"/>
      <w:r w:rsidRPr="0017028D">
        <w:t xml:space="preserve"> практического осуществления на национальном или, в случае региональных организаций экономической интеграции, региональном </w:t>
      </w:r>
      <w:r w:rsidRPr="0017028D">
        <w:lastRenderedPageBreak/>
        <w:t>уровнях, с использованием формата, при</w:t>
      </w:r>
      <w:r>
        <w:t>в</w:t>
      </w:r>
      <w:r w:rsidRPr="0017028D">
        <w:t>еденного в приложении к реш</w:t>
      </w:r>
      <w:r w:rsidRPr="0017028D">
        <w:t>е</w:t>
      </w:r>
      <w:r w:rsidRPr="0017028D">
        <w:t>нию</w:t>
      </w:r>
      <w:r w:rsidR="00D61BC7">
        <w:t> </w:t>
      </w:r>
      <w:r w:rsidRPr="0017028D">
        <w:rPr>
          <w:lang w:val="en-US"/>
        </w:rPr>
        <w:t>I</w:t>
      </w:r>
      <w:r w:rsidRPr="0017028D">
        <w:t xml:space="preserve">/5. </w:t>
      </w:r>
    </w:p>
    <w:p w:rsidR="005C379D" w:rsidRPr="0017028D" w:rsidRDefault="003C1C11" w:rsidP="004B23F7">
      <w:pPr>
        <w:pStyle w:val="SingleTxtGR"/>
      </w:pPr>
      <w:r w:rsidRPr="003C1C11">
        <w:t>7</w:t>
      </w:r>
      <w:r w:rsidR="005C379D" w:rsidRPr="0017028D">
        <w:t>.</w:t>
      </w:r>
      <w:r w:rsidR="005C379D" w:rsidRPr="0017028D">
        <w:tab/>
        <w:t xml:space="preserve">С учетом надлежащей практики, </w:t>
      </w:r>
      <w:r w:rsidR="005C379D">
        <w:t>применяемой</w:t>
      </w:r>
      <w:r w:rsidR="005C379D" w:rsidRPr="0017028D">
        <w:t xml:space="preserve"> в рамках </w:t>
      </w:r>
      <w:proofErr w:type="spellStart"/>
      <w:r w:rsidR="005C379D" w:rsidRPr="0017028D">
        <w:t>Орхусской</w:t>
      </w:r>
      <w:proofErr w:type="spellEnd"/>
      <w:r w:rsidR="005C379D" w:rsidRPr="0017028D">
        <w:t xml:space="preserve"> ко</w:t>
      </w:r>
      <w:r w:rsidR="005C379D" w:rsidRPr="0017028D">
        <w:t>н</w:t>
      </w:r>
      <w:r w:rsidR="005C379D" w:rsidRPr="0017028D">
        <w:t>венции, Комитет по вопросам соблюдения рекомендует принять за основу по</w:t>
      </w:r>
      <w:r w:rsidR="005C379D" w:rsidRPr="0017028D">
        <w:t>д</w:t>
      </w:r>
      <w:r w:rsidR="005C379D" w:rsidRPr="0017028D">
        <w:t>готовки новых докладов доклады, представленные в ходе предыдущего цикла отчетности. Используемые в качестве основы для представления новых докл</w:t>
      </w:r>
      <w:r w:rsidR="005C379D" w:rsidRPr="0017028D">
        <w:t>а</w:t>
      </w:r>
      <w:r w:rsidR="005C379D" w:rsidRPr="0017028D">
        <w:t xml:space="preserve">дов предыдущие доклады следует пересмотреть и обновить с использованием функции </w:t>
      </w:r>
      <w:r w:rsidR="005C379D">
        <w:t>обозначения</w:t>
      </w:r>
      <w:r w:rsidR="005C379D" w:rsidRPr="0017028D">
        <w:t xml:space="preserve"> исправлений текстового редактора «</w:t>
      </w:r>
      <w:r w:rsidR="005C379D" w:rsidRPr="0017028D">
        <w:rPr>
          <w:lang w:val="en-GB"/>
        </w:rPr>
        <w:t>Word</w:t>
      </w:r>
      <w:r w:rsidR="005C379D" w:rsidRPr="0017028D">
        <w:t>» или любых эквивалентных способов эффективного указания на внесенные в текст измен</w:t>
      </w:r>
      <w:r w:rsidR="005C379D" w:rsidRPr="0017028D">
        <w:t>е</w:t>
      </w:r>
      <w:r w:rsidR="005C379D" w:rsidRPr="0017028D">
        <w:t>ния.</w:t>
      </w:r>
    </w:p>
    <w:p w:rsidR="005C379D" w:rsidRPr="0017028D" w:rsidRDefault="003C1C11" w:rsidP="004B23F7">
      <w:pPr>
        <w:pStyle w:val="SingleTxtGR"/>
      </w:pPr>
      <w:r w:rsidRPr="003C1C11">
        <w:t>8</w:t>
      </w:r>
      <w:r w:rsidR="005C379D" w:rsidRPr="0017028D">
        <w:t>.</w:t>
      </w:r>
      <w:r w:rsidR="005C379D" w:rsidRPr="0017028D">
        <w:tab/>
        <w:t>В секретариат будут представлены два окончательных варианта доклада:</w:t>
      </w:r>
    </w:p>
    <w:p w:rsidR="005C379D" w:rsidRPr="0017028D" w:rsidRDefault="005C379D" w:rsidP="004B23F7">
      <w:pPr>
        <w:pStyle w:val="SingleTxtGR"/>
      </w:pPr>
      <w:r w:rsidRPr="0017028D">
        <w:tab/>
        <w:t>а)</w:t>
      </w:r>
      <w:r w:rsidRPr="0017028D">
        <w:tab/>
        <w:t>с указанием изменений, внесенных в текст;</w:t>
      </w:r>
    </w:p>
    <w:p w:rsidR="005C379D" w:rsidRPr="0017028D" w:rsidRDefault="005C379D" w:rsidP="004B23F7">
      <w:pPr>
        <w:pStyle w:val="SingleTxtGR"/>
      </w:pPr>
      <w:r w:rsidRPr="0017028D">
        <w:tab/>
      </w:r>
      <w:r w:rsidRPr="0017028D">
        <w:rPr>
          <w:lang w:val="en-US"/>
        </w:rPr>
        <w:t>b</w:t>
      </w:r>
      <w:r w:rsidRPr="0017028D">
        <w:t>)</w:t>
      </w:r>
      <w:r w:rsidRPr="0017028D">
        <w:tab/>
      </w:r>
      <w:proofErr w:type="gramStart"/>
      <w:r w:rsidRPr="0017028D">
        <w:t>сводный</w:t>
      </w:r>
      <w:proofErr w:type="gramEnd"/>
      <w:r w:rsidRPr="0017028D">
        <w:t xml:space="preserve"> чистый текст.</w:t>
      </w:r>
    </w:p>
    <w:p w:rsidR="005C379D" w:rsidRPr="0017028D" w:rsidRDefault="005C379D" w:rsidP="004B23F7">
      <w:pPr>
        <w:pStyle w:val="SingleTxtGR"/>
      </w:pPr>
      <w:r w:rsidRPr="0017028D">
        <w:t>Вариант, содержащий сводный чистый текст, содержит тот же текст, который представляется с использованием онлайнового инструмента представления о</w:t>
      </w:r>
      <w:r w:rsidRPr="0017028D">
        <w:t>т</w:t>
      </w:r>
      <w:r w:rsidRPr="0017028D">
        <w:t>четности</w:t>
      </w:r>
      <w:r w:rsidRPr="00DB5FF9">
        <w:rPr>
          <w:vertAlign w:val="superscript"/>
        </w:rPr>
        <w:footnoteReference w:id="3"/>
      </w:r>
      <w:r w:rsidRPr="0017028D">
        <w:t xml:space="preserve"> по Протоколу; его следует принять за основу в ходе последующего цикла представления отчетности.</w:t>
      </w:r>
    </w:p>
    <w:p w:rsidR="005C379D" w:rsidRPr="0017028D" w:rsidRDefault="003C1C11" w:rsidP="004B23F7">
      <w:pPr>
        <w:pStyle w:val="SingleTxtGR"/>
      </w:pPr>
      <w:r w:rsidRPr="003C1C11">
        <w:t>9</w:t>
      </w:r>
      <w:r w:rsidR="005C379D" w:rsidRPr="0017028D">
        <w:t>.</w:t>
      </w:r>
      <w:r w:rsidR="005C379D" w:rsidRPr="0017028D">
        <w:tab/>
        <w:t xml:space="preserve">Представляемые Сторонами доклады следует готовить на основе </w:t>
      </w:r>
      <w:proofErr w:type="spellStart"/>
      <w:r w:rsidR="005C379D" w:rsidRPr="0017028D">
        <w:t>тран</w:t>
      </w:r>
      <w:r w:rsidR="005C379D" w:rsidRPr="0017028D">
        <w:t>с</w:t>
      </w:r>
      <w:r w:rsidR="005C379D" w:rsidRPr="0017028D">
        <w:t>парентного</w:t>
      </w:r>
      <w:proofErr w:type="spellEnd"/>
      <w:r w:rsidR="005C379D" w:rsidRPr="0017028D">
        <w:t xml:space="preserve"> консультативного процесса</w:t>
      </w:r>
      <w:r w:rsidR="005C379D">
        <w:t>, при этом необходимо обеспечить сво</w:t>
      </w:r>
      <w:r w:rsidR="005C379D">
        <w:t>е</w:t>
      </w:r>
      <w:r w:rsidR="005C379D">
        <w:t xml:space="preserve">временное </w:t>
      </w:r>
      <w:r w:rsidR="005C379D" w:rsidRPr="0017028D">
        <w:t>привлечени</w:t>
      </w:r>
      <w:r w:rsidR="005C379D">
        <w:t>е</w:t>
      </w:r>
      <w:r w:rsidR="005C379D" w:rsidRPr="0017028D">
        <w:t xml:space="preserve"> к этой работе широкой обще</w:t>
      </w:r>
      <w:r w:rsidR="005C379D">
        <w:t>ственности и учитывать в ней</w:t>
      </w:r>
      <w:r w:rsidR="005C379D" w:rsidRPr="0017028D">
        <w:t xml:space="preserve"> любы</w:t>
      </w:r>
      <w:r w:rsidR="005C379D">
        <w:t>е</w:t>
      </w:r>
      <w:r w:rsidR="005C379D" w:rsidRPr="0017028D">
        <w:t xml:space="preserve"> конкретны</w:t>
      </w:r>
      <w:r w:rsidR="005C379D">
        <w:t>е</w:t>
      </w:r>
      <w:r w:rsidR="005C379D" w:rsidRPr="0017028D">
        <w:t xml:space="preserve"> обстоятельств</w:t>
      </w:r>
      <w:r w:rsidR="005C379D">
        <w:t>а</w:t>
      </w:r>
      <w:r w:rsidR="005C379D" w:rsidRPr="0017028D">
        <w:t>, касающи</w:t>
      </w:r>
      <w:r w:rsidR="005C379D">
        <w:t>е</w:t>
      </w:r>
      <w:r w:rsidR="005C379D" w:rsidRPr="0017028D">
        <w:t>ся региональных организаций экономической интеграции.</w:t>
      </w:r>
    </w:p>
    <w:p w:rsidR="005C379D" w:rsidRPr="0017028D" w:rsidRDefault="005C379D" w:rsidP="004B23F7">
      <w:pPr>
        <w:pStyle w:val="SingleTxtGR"/>
      </w:pPr>
      <w:r w:rsidRPr="0017028D">
        <w:t>1</w:t>
      </w:r>
      <w:r w:rsidR="003C1C11" w:rsidRPr="003C1C11">
        <w:t>0</w:t>
      </w:r>
      <w:r w:rsidRPr="0017028D">
        <w:t>.</w:t>
      </w:r>
      <w:r w:rsidRPr="0017028D">
        <w:tab/>
      </w:r>
      <w:proofErr w:type="gramStart"/>
      <w:r w:rsidRPr="0017028D">
        <w:t>Важное значение имеет оперативное представление информации, позв</w:t>
      </w:r>
      <w:r w:rsidRPr="0017028D">
        <w:t>о</w:t>
      </w:r>
      <w:r w:rsidRPr="0017028D">
        <w:t xml:space="preserve">ляющее </w:t>
      </w:r>
      <w:r>
        <w:t>выделить достаточное</w:t>
      </w:r>
      <w:r w:rsidRPr="0017028D">
        <w:t xml:space="preserve"> время для заблаговременной подготовки сводн</w:t>
      </w:r>
      <w:r w:rsidRPr="0017028D">
        <w:t>о</w:t>
      </w:r>
      <w:r w:rsidRPr="0017028D">
        <w:t>го доклада для следующей сессии Совещания Сторон, в который будут включ</w:t>
      </w:r>
      <w:r w:rsidRPr="0017028D">
        <w:t>е</w:t>
      </w:r>
      <w:r w:rsidRPr="0017028D">
        <w:t>ны краткое описание достигнутого прогресса и информация об имеющих сущ</w:t>
      </w:r>
      <w:r w:rsidRPr="0017028D">
        <w:t>е</w:t>
      </w:r>
      <w:r w:rsidRPr="0017028D">
        <w:t>ственное значение трендах, проблемах</w:t>
      </w:r>
      <w:r>
        <w:t>, а также</w:t>
      </w:r>
      <w:r w:rsidRPr="0017028D">
        <w:t xml:space="preserve"> предложения по их решению.</w:t>
      </w:r>
      <w:proofErr w:type="gramEnd"/>
    </w:p>
    <w:p w:rsidR="005C379D" w:rsidRPr="0017028D" w:rsidRDefault="005C379D" w:rsidP="004B23F7">
      <w:pPr>
        <w:pStyle w:val="SingleTxtGR"/>
      </w:pPr>
      <w:r w:rsidRPr="0017028D">
        <w:t>1</w:t>
      </w:r>
      <w:r w:rsidR="003C1C11" w:rsidRPr="003C1C11">
        <w:t>1</w:t>
      </w:r>
      <w:r w:rsidRPr="0017028D">
        <w:t>.</w:t>
      </w:r>
      <w:r w:rsidRPr="0017028D">
        <w:tab/>
      </w:r>
      <w:proofErr w:type="spellStart"/>
      <w:r w:rsidRPr="0017028D">
        <w:t>Сигнатарии</w:t>
      </w:r>
      <w:proofErr w:type="spellEnd"/>
      <w:r w:rsidRPr="0017028D">
        <w:t xml:space="preserve"> и другие государства, не являющиеся Сторонами Протокола, </w:t>
      </w:r>
      <w:r>
        <w:t>в ожидании</w:t>
      </w:r>
      <w:r w:rsidRPr="0017028D">
        <w:t xml:space="preserve"> ратификации или присоединения могут также представлять докл</w:t>
      </w:r>
      <w:r w:rsidRPr="0017028D">
        <w:t>а</w:t>
      </w:r>
      <w:r w:rsidRPr="0017028D">
        <w:t>ды о принятых ими мерах по применению Протокола.</w:t>
      </w:r>
    </w:p>
    <w:p w:rsidR="004B23F7" w:rsidRDefault="005C379D" w:rsidP="004B23F7">
      <w:pPr>
        <w:pStyle w:val="SingleTxtGR"/>
      </w:pPr>
      <w:r w:rsidRPr="0017028D">
        <w:t>1</w:t>
      </w:r>
      <w:r w:rsidR="003C1C11" w:rsidRPr="003C1C11">
        <w:t>2</w:t>
      </w:r>
      <w:r w:rsidRPr="0017028D">
        <w:t>.</w:t>
      </w:r>
      <w:r w:rsidRPr="0017028D">
        <w:tab/>
        <w:t>Международные, региональные и неправительственные организации, участвующие в программах или деятельности по оказанию поддержки Стор</w:t>
      </w:r>
      <w:r w:rsidRPr="0017028D">
        <w:t>о</w:t>
      </w:r>
      <w:r w:rsidRPr="0017028D">
        <w:t>нам и/или другим государствами при осуществлении Протокола, могут пре</w:t>
      </w:r>
      <w:r w:rsidRPr="0017028D">
        <w:t>д</w:t>
      </w:r>
      <w:r w:rsidRPr="0017028D">
        <w:t>ставлять доклады о своих программах или деятельности и извлеченных уроках, а также об осуществлении самого Протокола.</w:t>
      </w:r>
    </w:p>
    <w:p w:rsidR="004B23F7" w:rsidRDefault="005C379D" w:rsidP="004B23F7">
      <w:pPr>
        <w:pStyle w:val="HChGR"/>
      </w:pPr>
      <w:r>
        <w:tab/>
      </w:r>
      <w:r w:rsidRPr="0017028D">
        <w:rPr>
          <w:lang w:val="en-US"/>
        </w:rPr>
        <w:t>III</w:t>
      </w:r>
      <w:r w:rsidRPr="0017028D">
        <w:t>.</w:t>
      </w:r>
      <w:r w:rsidRPr="0017028D">
        <w:tab/>
        <w:t>Общие вопросы</w:t>
      </w:r>
    </w:p>
    <w:p w:rsidR="005C379D" w:rsidRPr="0017028D" w:rsidRDefault="005C379D" w:rsidP="004B23F7">
      <w:pPr>
        <w:pStyle w:val="SingleTxtGR"/>
      </w:pPr>
      <w:r w:rsidRPr="0017028D">
        <w:t>1</w:t>
      </w:r>
      <w:r w:rsidR="003C1C11" w:rsidRPr="003C1C11">
        <w:t>3</w:t>
      </w:r>
      <w:r w:rsidRPr="0017028D">
        <w:t>.</w:t>
      </w:r>
      <w:r w:rsidRPr="0017028D">
        <w:tab/>
        <w:t xml:space="preserve">В сводном докладе </w:t>
      </w:r>
      <w:r>
        <w:t>о</w:t>
      </w:r>
      <w:r w:rsidRPr="0017028D">
        <w:t xml:space="preserve"> цикл</w:t>
      </w:r>
      <w:r>
        <w:t>е</w:t>
      </w:r>
      <w:r w:rsidRPr="0017028D">
        <w:t xml:space="preserve"> представления отчетности 2014 года (</w:t>
      </w:r>
      <w:r w:rsidRPr="0017028D">
        <w:rPr>
          <w:lang w:val="en-GB"/>
        </w:rPr>
        <w:t>ECE</w:t>
      </w:r>
      <w:r w:rsidRPr="0017028D">
        <w:t>/</w:t>
      </w:r>
      <w:r w:rsidRPr="0017028D">
        <w:rPr>
          <w:lang w:val="en-GB"/>
        </w:rPr>
        <w:t>MP</w:t>
      </w:r>
      <w:r w:rsidRPr="0017028D">
        <w:t>.</w:t>
      </w:r>
      <w:r w:rsidRPr="0017028D">
        <w:rPr>
          <w:lang w:val="en-GB"/>
        </w:rPr>
        <w:t>PRTR</w:t>
      </w:r>
      <w:r w:rsidRPr="0017028D">
        <w:t>/2014/5)</w:t>
      </w:r>
      <w:r w:rsidRPr="00DB5FF9">
        <w:rPr>
          <w:vertAlign w:val="superscript"/>
        </w:rPr>
        <w:footnoteReference w:id="4"/>
      </w:r>
      <w:r w:rsidRPr="0017028D">
        <w:t xml:space="preserve"> показано, что между ответами разных Сторон нередко имеются </w:t>
      </w:r>
      <w:proofErr w:type="gramStart"/>
      <w:r w:rsidRPr="0017028D">
        <w:t>различия</w:t>
      </w:r>
      <w:proofErr w:type="gramEnd"/>
      <w:r w:rsidRPr="0017028D">
        <w:t xml:space="preserve"> как по форме, так и по содержанию. Эти различия не ра</w:t>
      </w:r>
      <w:r w:rsidRPr="0017028D">
        <w:t>с</w:t>
      </w:r>
      <w:r w:rsidRPr="0017028D">
        <w:t>сматриваются в качестве негативного аспекта отчетности об осуществлении Протокола. Напротив, такие различия мог</w:t>
      </w:r>
      <w:r>
        <w:t>ут</w:t>
      </w:r>
      <w:r w:rsidRPr="0017028D">
        <w:t xml:space="preserve"> помочь в выявлении вопросов, тр</w:t>
      </w:r>
      <w:r w:rsidRPr="0017028D">
        <w:t>е</w:t>
      </w:r>
      <w:r w:rsidRPr="0017028D">
        <w:t>бующих разъяснения в целях обеспечения более всеохватывающего характера отчетности, а также проведения обмена информацией о надлежащей практике.</w:t>
      </w:r>
    </w:p>
    <w:p w:rsidR="005C379D" w:rsidRPr="0017028D" w:rsidRDefault="005C379D" w:rsidP="004B23F7">
      <w:pPr>
        <w:pStyle w:val="SingleTxtGR"/>
      </w:pPr>
      <w:r w:rsidRPr="0017028D">
        <w:lastRenderedPageBreak/>
        <w:t>1</w:t>
      </w:r>
      <w:r w:rsidR="003C1C11" w:rsidRPr="003C1C11">
        <w:t>4</w:t>
      </w:r>
      <w:r w:rsidRPr="0017028D">
        <w:t>.</w:t>
      </w:r>
      <w:r w:rsidRPr="0017028D">
        <w:tab/>
        <w:t>Вместе с тем в приводимых в ряде докладов об осуществлении ответах отсутствуют конкретные элементы, относящиеся к частям этих ответов, в силу чего они являются неполными. По вопросу о полноте содержания следует напомнить, что доклады об осуществлении являются документами, которые с</w:t>
      </w:r>
      <w:r w:rsidRPr="0017028D">
        <w:t>о</w:t>
      </w:r>
      <w:r w:rsidRPr="0017028D">
        <w:t>ставляются не в свободной форме, а в соответствии с определенным в решении</w:t>
      </w:r>
      <w:r w:rsidR="00B37172">
        <w:t> </w:t>
      </w:r>
      <w:r w:rsidRPr="0017028D">
        <w:rPr>
          <w:lang w:val="en-GB"/>
        </w:rPr>
        <w:t>I</w:t>
      </w:r>
      <w:r w:rsidRPr="0017028D">
        <w:t>/5 форматом</w:t>
      </w:r>
      <w:r>
        <w:t xml:space="preserve"> доклада</w:t>
      </w:r>
      <w:r w:rsidRPr="0017028D">
        <w:t>. Как таковой каждый доклад является совоку</w:t>
      </w:r>
      <w:r w:rsidRPr="0017028D">
        <w:t>п</w:t>
      </w:r>
      <w:r w:rsidRPr="0017028D">
        <w:t>ностью ответов на вопросы, содержащиеся в предусмотренном форматом д</w:t>
      </w:r>
      <w:r w:rsidRPr="0017028D">
        <w:t>о</w:t>
      </w:r>
      <w:r w:rsidRPr="0017028D">
        <w:t>клад</w:t>
      </w:r>
      <w:r>
        <w:t>а</w:t>
      </w:r>
      <w:r w:rsidRPr="0017028D">
        <w:t xml:space="preserve"> вопроснике. В каждом ответе должна содержаться вся требуемая каждым вопросом информация.</w:t>
      </w:r>
    </w:p>
    <w:p w:rsidR="005C379D" w:rsidRPr="0017028D" w:rsidRDefault="005C379D" w:rsidP="004B23F7">
      <w:pPr>
        <w:pStyle w:val="SingleTxtGR"/>
      </w:pPr>
      <w:r w:rsidRPr="0017028D">
        <w:t>1</w:t>
      </w:r>
      <w:r w:rsidR="003C1C11" w:rsidRPr="003C1C11">
        <w:t>5</w:t>
      </w:r>
      <w:r w:rsidRPr="0017028D">
        <w:t>.</w:t>
      </w:r>
      <w:r w:rsidRPr="0017028D">
        <w:tab/>
        <w:t>Поскольку форматом доклада предписывается представление соотве</w:t>
      </w:r>
      <w:r w:rsidRPr="0017028D">
        <w:t>т</w:t>
      </w:r>
      <w:r w:rsidRPr="0017028D">
        <w:t xml:space="preserve">ствующей информации по конкретным положениям Протокола с учетом разных контекстов, в ответах может </w:t>
      </w:r>
      <w:r>
        <w:t>наблюдаться</w:t>
      </w:r>
      <w:r w:rsidRPr="0017028D">
        <w:t xml:space="preserve"> определенное дублирование. Степень дублирования будет зависеть, главным образом, от конкретной структуры соо</w:t>
      </w:r>
      <w:r w:rsidRPr="0017028D">
        <w:t>т</w:t>
      </w:r>
      <w:r w:rsidRPr="0017028D">
        <w:t>ветствующих законодательных и нормативных систем.</w:t>
      </w:r>
    </w:p>
    <w:p w:rsidR="005C379D" w:rsidRPr="0017028D" w:rsidRDefault="005C379D" w:rsidP="004B23F7">
      <w:pPr>
        <w:pStyle w:val="SingleTxtGR"/>
      </w:pPr>
      <w:r w:rsidRPr="0017028D">
        <w:t>1</w:t>
      </w:r>
      <w:r w:rsidR="003C1C11" w:rsidRPr="003C1C11">
        <w:t>6</w:t>
      </w:r>
      <w:r w:rsidRPr="0017028D">
        <w:t>.</w:t>
      </w:r>
      <w:r w:rsidRPr="0017028D">
        <w:tab/>
        <w:t>Кроме того, по итогам цикла представления отчетности 2014 года был сделан вывод о необходимости внести ясность в используемые в нынешнем формате доклада следующие термины:</w:t>
      </w:r>
    </w:p>
    <w:p w:rsidR="005C379D" w:rsidRPr="0017028D" w:rsidRDefault="005C379D" w:rsidP="004B23F7">
      <w:pPr>
        <w:pStyle w:val="SingleTxtGR"/>
      </w:pPr>
      <w:r w:rsidRPr="0017028D">
        <w:tab/>
        <w:t>а)</w:t>
      </w:r>
      <w:r w:rsidRPr="0017028D">
        <w:tab/>
        <w:t>«государственные органы». Выражение «государственные органы» может быть неверно понято. Предлагается использовать термины «компетен</w:t>
      </w:r>
      <w:r w:rsidRPr="0017028D">
        <w:t>т</w:t>
      </w:r>
      <w:r w:rsidRPr="0017028D">
        <w:t>ный орган» и «общественность». В пункте 5 статьи 2 указано: «"Компетентный орган" означает национальны</w:t>
      </w:r>
      <w:r>
        <w:t>й</w:t>
      </w:r>
      <w:r w:rsidRPr="0017028D">
        <w:t xml:space="preserve"> орган или органы или любое другое компетен</w:t>
      </w:r>
      <w:r w:rsidRPr="0017028D">
        <w:t>т</w:t>
      </w:r>
      <w:r w:rsidRPr="0017028D">
        <w:t>ное учреждение или учреждения, назначенные Стороной для ведения наци</w:t>
      </w:r>
      <w:r w:rsidRPr="0017028D">
        <w:t>о</w:t>
      </w:r>
      <w:r w:rsidRPr="0017028D">
        <w:t>нальной системой регистров выбросов и переноса загрязнителей»;</w:t>
      </w:r>
    </w:p>
    <w:p w:rsidR="005C379D" w:rsidRPr="0017028D" w:rsidRDefault="005C379D" w:rsidP="004B23F7">
      <w:pPr>
        <w:pStyle w:val="SingleTxtGR"/>
      </w:pPr>
      <w:r w:rsidRPr="0017028D">
        <w:tab/>
      </w:r>
      <w:r w:rsidRPr="0017028D">
        <w:rPr>
          <w:lang w:val="en-US"/>
        </w:rPr>
        <w:t>b</w:t>
      </w:r>
      <w:r w:rsidRPr="0017028D">
        <w:t>)</w:t>
      </w:r>
      <w:r w:rsidRPr="0017028D">
        <w:tab/>
        <w:t>«</w:t>
      </w:r>
      <w:proofErr w:type="gramStart"/>
      <w:r w:rsidRPr="0017028D">
        <w:t>отчетный</w:t>
      </w:r>
      <w:proofErr w:type="gramEnd"/>
      <w:r w:rsidRPr="0017028D">
        <w:t xml:space="preserve"> год». В пункте 1 статьи 8 Протокола содержится след</w:t>
      </w:r>
      <w:r w:rsidRPr="0017028D">
        <w:t>у</w:t>
      </w:r>
      <w:r w:rsidRPr="0017028D">
        <w:t>ющая формулировка: «Отчетным годом является календарный год, к которому относится такая информация [информация, которую необходимо включить в р</w:t>
      </w:r>
      <w:r w:rsidRPr="0017028D">
        <w:t>е</w:t>
      </w:r>
      <w:r w:rsidRPr="0017028D">
        <w:t>гистр Стороны]». Согласно Протоколу этот термин относится ко времени сбора, а не представления данных. Например, указание на «представление отчетности за 2015 год» относится к данным о выбросах загрязнителей в окружающую среду в 2015 году. Может оказаться так, что эти данные будут представлены в регистр в другом году, например в 2016 году;</w:t>
      </w:r>
    </w:p>
    <w:p w:rsidR="004B23F7" w:rsidRDefault="005C379D" w:rsidP="004B23F7">
      <w:pPr>
        <w:pStyle w:val="SingleTxtGR"/>
      </w:pPr>
      <w:r w:rsidRPr="0017028D">
        <w:tab/>
        <w:t>с)</w:t>
      </w:r>
      <w:r w:rsidRPr="0017028D">
        <w:tab/>
        <w:t>«владелец/оператор». Между Сторонами не достигнуто общего с</w:t>
      </w:r>
      <w:r w:rsidRPr="0017028D">
        <w:t>о</w:t>
      </w:r>
      <w:r w:rsidRPr="0017028D">
        <w:t xml:space="preserve">гласия по вопросу о том, как следует проводить различие между терминами владелец и оператор. Для ясности определения этих терминов, если они будут сформулированы, следует привести в начале доклада. </w:t>
      </w:r>
    </w:p>
    <w:p w:rsidR="004B23F7" w:rsidRDefault="005C379D" w:rsidP="004B23F7">
      <w:pPr>
        <w:pStyle w:val="H4GR"/>
      </w:pPr>
      <w:r>
        <w:tab/>
      </w:r>
      <w:r>
        <w:tab/>
      </w:r>
      <w:r w:rsidRPr="0017028D">
        <w:t>Рекомендации</w:t>
      </w:r>
    </w:p>
    <w:p w:rsidR="005C379D" w:rsidRPr="0017028D" w:rsidRDefault="005C379D" w:rsidP="004B23F7">
      <w:pPr>
        <w:pStyle w:val="SingleTxtGR"/>
      </w:pPr>
      <w:r w:rsidRPr="0017028D">
        <w:t>1</w:t>
      </w:r>
      <w:r w:rsidR="003C1C11" w:rsidRPr="003C1C11">
        <w:t>7</w:t>
      </w:r>
      <w:r w:rsidRPr="0017028D">
        <w:t>.</w:t>
      </w:r>
      <w:r w:rsidRPr="0017028D">
        <w:tab/>
        <w:t>Ответы должны быть лаконичными, полными и соответствовать вопросу; следует соблюдать ограничения на объем ответов. В соответствии с содержан</w:t>
      </w:r>
      <w:r w:rsidRPr="0017028D">
        <w:t>и</w:t>
      </w:r>
      <w:r w:rsidRPr="0017028D">
        <w:t>ем каждого вопроса, включенного в вопросник формата доклада, в них следует:</w:t>
      </w:r>
    </w:p>
    <w:p w:rsidR="005C379D" w:rsidRPr="0017028D" w:rsidRDefault="005C379D" w:rsidP="004B23F7">
      <w:pPr>
        <w:pStyle w:val="SingleTxtGR"/>
      </w:pPr>
      <w:r w:rsidRPr="0017028D">
        <w:tab/>
        <w:t>а)</w:t>
      </w:r>
      <w:r w:rsidRPr="0017028D">
        <w:tab/>
        <w:t>указать законодательные, нормативные и другие мер</w:t>
      </w:r>
      <w:r>
        <w:t>ы</w:t>
      </w:r>
      <w:r w:rsidRPr="0017028D">
        <w:t>;</w:t>
      </w:r>
    </w:p>
    <w:p w:rsidR="005C379D" w:rsidRPr="0017028D" w:rsidRDefault="005C379D" w:rsidP="004B23F7">
      <w:pPr>
        <w:pStyle w:val="SingleTxtGR"/>
      </w:pPr>
      <w:r w:rsidRPr="0017028D">
        <w:tab/>
      </w:r>
      <w:r w:rsidRPr="0017028D">
        <w:rPr>
          <w:lang w:val="en-US"/>
        </w:rPr>
        <w:t>b</w:t>
      </w:r>
      <w:r w:rsidRPr="0017028D">
        <w:t>)</w:t>
      </w:r>
      <w:r w:rsidRPr="0017028D">
        <w:tab/>
      </w:r>
      <w:proofErr w:type="gramStart"/>
      <w:r w:rsidRPr="0017028D">
        <w:t>описать</w:t>
      </w:r>
      <w:proofErr w:type="gramEnd"/>
      <w:r w:rsidRPr="0017028D">
        <w:t xml:space="preserve"> </w:t>
      </w:r>
      <w:r>
        <w:t xml:space="preserve">процесс </w:t>
      </w:r>
      <w:r w:rsidRPr="0017028D">
        <w:t>вовлечени</w:t>
      </w:r>
      <w:r>
        <w:t>я</w:t>
      </w:r>
      <w:r w:rsidRPr="0017028D">
        <w:t xml:space="preserve"> общественности и других заинтерес</w:t>
      </w:r>
      <w:r w:rsidRPr="0017028D">
        <w:t>о</w:t>
      </w:r>
      <w:r w:rsidRPr="0017028D">
        <w:t>ванных кругов;</w:t>
      </w:r>
    </w:p>
    <w:p w:rsidR="005C379D" w:rsidRPr="0017028D" w:rsidRDefault="005C379D" w:rsidP="004B23F7">
      <w:pPr>
        <w:pStyle w:val="SingleTxtGR"/>
      </w:pPr>
      <w:r w:rsidRPr="0017028D">
        <w:tab/>
        <w:t>с)</w:t>
      </w:r>
      <w:r w:rsidRPr="0017028D">
        <w:tab/>
        <w:t>перечислить положения Протокола, которые еще не осуществлены;</w:t>
      </w:r>
    </w:p>
    <w:p w:rsidR="005C379D" w:rsidRPr="0017028D" w:rsidRDefault="005C379D" w:rsidP="004B23F7">
      <w:pPr>
        <w:pStyle w:val="SingleTxtGR"/>
      </w:pPr>
      <w:r w:rsidRPr="0017028D">
        <w:tab/>
      </w:r>
      <w:r w:rsidRPr="0017028D">
        <w:rPr>
          <w:lang w:val="en-US"/>
        </w:rPr>
        <w:t>d</w:t>
      </w:r>
      <w:r w:rsidRPr="0017028D">
        <w:t>)</w:t>
      </w:r>
      <w:r w:rsidRPr="0017028D">
        <w:tab/>
      </w:r>
      <w:proofErr w:type="gramStart"/>
      <w:r w:rsidRPr="0017028D">
        <w:t>кратко</w:t>
      </w:r>
      <w:proofErr w:type="gramEnd"/>
      <w:r w:rsidRPr="0017028D">
        <w:t xml:space="preserve"> изложить любые проблемы и конкретные решения либо примеры надлежащей практики.</w:t>
      </w:r>
    </w:p>
    <w:p w:rsidR="004B23F7" w:rsidRDefault="005C379D" w:rsidP="004B23F7">
      <w:pPr>
        <w:pStyle w:val="SingleTxtGR"/>
      </w:pPr>
      <w:r w:rsidRPr="0017028D">
        <w:t>1</w:t>
      </w:r>
      <w:r w:rsidR="003C1C11" w:rsidRPr="003C1C11">
        <w:t>8</w:t>
      </w:r>
      <w:r w:rsidRPr="0017028D">
        <w:t>.</w:t>
      </w:r>
      <w:r w:rsidRPr="0017028D">
        <w:tab/>
        <w:t>В ответ</w:t>
      </w:r>
      <w:r>
        <w:t>ах</w:t>
      </w:r>
      <w:r w:rsidRPr="0017028D">
        <w:t xml:space="preserve"> на содержащиеся в форме вопрос</w:t>
      </w:r>
      <w:r>
        <w:t xml:space="preserve">ы нет необходимости </w:t>
      </w:r>
      <w:r w:rsidRPr="0017028D">
        <w:t>дубл</w:t>
      </w:r>
      <w:r w:rsidRPr="0017028D">
        <w:t>и</w:t>
      </w:r>
      <w:r w:rsidRPr="0017028D">
        <w:t>ро</w:t>
      </w:r>
      <w:r>
        <w:t>вать</w:t>
      </w:r>
      <w:r w:rsidRPr="0017028D">
        <w:t xml:space="preserve"> информаци</w:t>
      </w:r>
      <w:r>
        <w:t>ю</w:t>
      </w:r>
      <w:r w:rsidRPr="0017028D">
        <w:t xml:space="preserve">, но, если Стороны считают необходимым повторить </w:t>
      </w:r>
      <w:r>
        <w:t>ее</w:t>
      </w:r>
      <w:r w:rsidRPr="0017028D">
        <w:t xml:space="preserve">, им </w:t>
      </w:r>
      <w:r w:rsidRPr="0017028D">
        <w:lastRenderedPageBreak/>
        <w:t>следует лишь привести перекрестную ссылку на ту часть</w:t>
      </w:r>
      <w:r>
        <w:t xml:space="preserve"> ответа</w:t>
      </w:r>
      <w:r w:rsidRPr="0017028D">
        <w:t>, в которой эта информация уже была упомянута. Хотя в ответе следует привести четкую и</w:t>
      </w:r>
      <w:r w:rsidRPr="0017028D">
        <w:t>н</w:t>
      </w:r>
      <w:r w:rsidRPr="0017028D">
        <w:t>формацию по каждому элементу вопроса, более обширная подробная информ</w:t>
      </w:r>
      <w:r w:rsidRPr="0017028D">
        <w:t>а</w:t>
      </w:r>
      <w:r w:rsidRPr="0017028D">
        <w:t>ция может быть включена в приложение к самому ответу (а не к докладу в ц</w:t>
      </w:r>
      <w:r w:rsidRPr="0017028D">
        <w:t>е</w:t>
      </w:r>
      <w:r w:rsidRPr="0017028D">
        <w:t xml:space="preserve">лом). Следует позаботиться о том, чтобы указывались только </w:t>
      </w:r>
      <w:proofErr w:type="gramStart"/>
      <w:r w:rsidRPr="0017028D">
        <w:t>действующие</w:t>
      </w:r>
      <w:proofErr w:type="gramEnd"/>
      <w:r w:rsidRPr="0017028D">
        <w:t xml:space="preserve"> веб-ссылки. Следует включить ссылки на веб-страницы, на которых заинтересова</w:t>
      </w:r>
      <w:r w:rsidRPr="0017028D">
        <w:t>н</w:t>
      </w:r>
      <w:r w:rsidRPr="0017028D">
        <w:t>ный читатель мог бы найти справочную информацию, выяснить особенности каждого регистра выбросов и переноса загрязнителей (РВПЗ) или ознакомиться с примерами надлежащей практики.</w:t>
      </w:r>
    </w:p>
    <w:p w:rsidR="004B23F7" w:rsidRDefault="005C379D" w:rsidP="004B23F7">
      <w:pPr>
        <w:pStyle w:val="H4GR"/>
      </w:pPr>
      <w:r>
        <w:tab/>
      </w:r>
      <w:r>
        <w:tab/>
      </w:r>
      <w:r w:rsidRPr="0017028D">
        <w:t>Отобранная надлежащая практика представления отчетности</w:t>
      </w:r>
    </w:p>
    <w:p w:rsidR="005C379D" w:rsidRPr="0017028D" w:rsidRDefault="003C1C11" w:rsidP="004B23F7">
      <w:pPr>
        <w:pStyle w:val="SingleTxtGR"/>
      </w:pPr>
      <w:r w:rsidRPr="003C1C11">
        <w:t>19</w:t>
      </w:r>
      <w:r w:rsidR="005C379D" w:rsidRPr="0017028D">
        <w:t>.</w:t>
      </w:r>
      <w:r w:rsidR="005C379D" w:rsidRPr="0017028D">
        <w:tab/>
        <w:t>В связи с процессом представления отчетности Комитет по вопросам с</w:t>
      </w:r>
      <w:r w:rsidR="005C379D" w:rsidRPr="0017028D">
        <w:t>о</w:t>
      </w:r>
      <w:r w:rsidR="005C379D" w:rsidRPr="0017028D">
        <w:t>блюдения отобрал следующие примеры надлежащей практики:</w:t>
      </w:r>
    </w:p>
    <w:p w:rsidR="005C379D" w:rsidRPr="0017028D" w:rsidRDefault="005C379D" w:rsidP="004B23F7">
      <w:pPr>
        <w:pStyle w:val="SingleTxtGR"/>
      </w:pPr>
      <w:r w:rsidRPr="0017028D">
        <w:tab/>
        <w:t>а)</w:t>
      </w:r>
      <w:r w:rsidRPr="0017028D">
        <w:tab/>
        <w:t>подготовка текста НДО на нескольких официальных языках Евр</w:t>
      </w:r>
      <w:r w:rsidRPr="0017028D">
        <w:t>о</w:t>
      </w:r>
      <w:r w:rsidRPr="0017028D">
        <w:t>пейской экономической комиссии (ЕЭК) (т.е. на английском, русском и фра</w:t>
      </w:r>
      <w:r w:rsidRPr="0017028D">
        <w:t>н</w:t>
      </w:r>
      <w:r w:rsidRPr="0017028D">
        <w:t>цузском языках), а также на официальном национальном языке/официальных национальных языках;</w:t>
      </w:r>
    </w:p>
    <w:p w:rsidR="005C379D" w:rsidRPr="0017028D" w:rsidRDefault="005C379D" w:rsidP="004B23F7">
      <w:pPr>
        <w:pStyle w:val="SingleTxtGR"/>
      </w:pPr>
      <w:r w:rsidRPr="0017028D">
        <w:tab/>
      </w:r>
      <w:r w:rsidRPr="0017028D">
        <w:rPr>
          <w:lang w:val="en-US"/>
        </w:rPr>
        <w:t>b</w:t>
      </w:r>
      <w:r w:rsidRPr="0017028D">
        <w:t>)</w:t>
      </w:r>
      <w:r w:rsidRPr="0017028D">
        <w:tab/>
      </w:r>
      <w:proofErr w:type="gramStart"/>
      <w:r>
        <w:t>принятие</w:t>
      </w:r>
      <w:proofErr w:type="gramEnd"/>
      <w:r>
        <w:t xml:space="preserve"> мер</w:t>
      </w:r>
      <w:r w:rsidRPr="0017028D">
        <w:t xml:space="preserve"> по </w:t>
      </w:r>
      <w:r>
        <w:t>идентификации</w:t>
      </w:r>
      <w:r w:rsidRPr="0017028D">
        <w:t xml:space="preserve"> потенциальных заинтересованных кругов и пользователей, а также </w:t>
      </w:r>
      <w:r>
        <w:t xml:space="preserve">проведение </w:t>
      </w:r>
      <w:r w:rsidRPr="0017028D">
        <w:t xml:space="preserve">консультаций с ними </w:t>
      </w:r>
      <w:r>
        <w:t>относительно</w:t>
      </w:r>
      <w:r w:rsidRPr="0017028D">
        <w:t xml:space="preserve"> Протокол</w:t>
      </w:r>
      <w:r>
        <w:t>а</w:t>
      </w:r>
      <w:r w:rsidRPr="0017028D">
        <w:t>. Это может касаться правительственных и неправительственных о</w:t>
      </w:r>
      <w:r w:rsidRPr="0017028D">
        <w:t>р</w:t>
      </w:r>
      <w:r w:rsidRPr="0017028D">
        <w:t>ганизаций, промышленных ассоциаций, исследовательских учреждений, жу</w:t>
      </w:r>
      <w:r w:rsidRPr="0017028D">
        <w:t>р</w:t>
      </w:r>
      <w:r w:rsidRPr="0017028D">
        <w:t>налистов и печатных изданий, пишущих на экологические темы, и т.д.;</w:t>
      </w:r>
    </w:p>
    <w:p w:rsidR="005C379D" w:rsidRPr="0017028D" w:rsidRDefault="005C379D" w:rsidP="004B23F7">
      <w:pPr>
        <w:pStyle w:val="SingleTxtGR"/>
      </w:pPr>
      <w:r w:rsidRPr="0017028D">
        <w:tab/>
        <w:t>с)</w:t>
      </w:r>
      <w:r w:rsidRPr="0017028D">
        <w:tab/>
        <w:t xml:space="preserve">вовлечение </w:t>
      </w:r>
      <w:r>
        <w:t>разнообразных</w:t>
      </w:r>
      <w:r w:rsidRPr="0017028D">
        <w:t xml:space="preserve"> известных и вновь выявленных заинт</w:t>
      </w:r>
      <w:r w:rsidRPr="0017028D">
        <w:t>е</w:t>
      </w:r>
      <w:r w:rsidRPr="0017028D">
        <w:t xml:space="preserve">ресованных кругов </w:t>
      </w:r>
      <w:r>
        <w:t>в</w:t>
      </w:r>
      <w:r w:rsidRPr="0017028D">
        <w:t xml:space="preserve"> подготовк</w:t>
      </w:r>
      <w:r>
        <w:t>у</w:t>
      </w:r>
      <w:r w:rsidRPr="0017028D">
        <w:t xml:space="preserve"> доклада, в том числе профильных учреждений и других государственных ведомств. Такой подход мог бы способствовать пр</w:t>
      </w:r>
      <w:r w:rsidRPr="0017028D">
        <w:t>о</w:t>
      </w:r>
      <w:r w:rsidRPr="0017028D">
        <w:t>ведению внутреннего анализа имеющейся информации и помочь в достижении прогресса в области осуществления, а также обсуждении возможных улучш</w:t>
      </w:r>
      <w:r w:rsidRPr="0017028D">
        <w:t>е</w:t>
      </w:r>
      <w:r w:rsidRPr="0017028D">
        <w:t>ний в будущем с внешними экспертами;</w:t>
      </w:r>
    </w:p>
    <w:p w:rsidR="004B23F7" w:rsidRDefault="005C379D" w:rsidP="004B23F7">
      <w:pPr>
        <w:pStyle w:val="SingleTxtGR"/>
      </w:pPr>
      <w:r w:rsidRPr="0017028D">
        <w:tab/>
      </w:r>
      <w:r w:rsidRPr="0017028D">
        <w:rPr>
          <w:lang w:val="en-US"/>
        </w:rPr>
        <w:t>d</w:t>
      </w:r>
      <w:r w:rsidRPr="0017028D">
        <w:t>)</w:t>
      </w:r>
      <w:r w:rsidRPr="0017028D">
        <w:tab/>
      </w:r>
      <w:proofErr w:type="gramStart"/>
      <w:r w:rsidRPr="0017028D">
        <w:t>разъяснение</w:t>
      </w:r>
      <w:proofErr w:type="gramEnd"/>
      <w:r w:rsidRPr="0017028D">
        <w:t xml:space="preserve"> причин, по которым ответы не представлены, если они отсутствуют.</w:t>
      </w:r>
    </w:p>
    <w:p w:rsidR="004B23F7" w:rsidRDefault="005C379D" w:rsidP="004B23F7">
      <w:pPr>
        <w:pStyle w:val="HChGR"/>
      </w:pPr>
      <w:r w:rsidRPr="0017028D">
        <w:tab/>
      </w:r>
      <w:r w:rsidRPr="0017028D">
        <w:rPr>
          <w:lang w:val="en-US"/>
        </w:rPr>
        <w:t>IV</w:t>
      </w:r>
      <w:r w:rsidRPr="0017028D">
        <w:t>.</w:t>
      </w:r>
      <w:r w:rsidRPr="0017028D">
        <w:tab/>
      </w:r>
      <w:r>
        <w:t>Отдельные</w:t>
      </w:r>
      <w:r w:rsidRPr="0017028D">
        <w:t xml:space="preserve"> вопросы, относящиеся к конкретным статьям</w:t>
      </w:r>
    </w:p>
    <w:p w:rsidR="004B23F7" w:rsidRDefault="005C379D" w:rsidP="004B23F7">
      <w:pPr>
        <w:pStyle w:val="SingleTxtGR"/>
      </w:pPr>
      <w:r w:rsidRPr="0017028D">
        <w:t>2</w:t>
      </w:r>
      <w:r w:rsidR="003C1C11" w:rsidRPr="003C1C11">
        <w:t>0</w:t>
      </w:r>
      <w:r w:rsidRPr="0017028D">
        <w:t>.</w:t>
      </w:r>
      <w:r w:rsidRPr="0017028D">
        <w:tab/>
        <w:t>В настоящем разделе рассмотрено несколько вопросов, в связи с котор</w:t>
      </w:r>
      <w:r w:rsidRPr="0017028D">
        <w:t>ы</w:t>
      </w:r>
      <w:r w:rsidRPr="0017028D">
        <w:t>ми в процессе представления отчетности возник</w:t>
      </w:r>
      <w:r>
        <w:t>а</w:t>
      </w:r>
      <w:r w:rsidRPr="0017028D">
        <w:t>ли проблемы. В этом разделе также содерж</w:t>
      </w:r>
      <w:r>
        <w:t>и</w:t>
      </w:r>
      <w:r w:rsidRPr="0017028D">
        <w:t xml:space="preserve">тся ряд рекомендаций и примеров надлежащей практики. </w:t>
      </w:r>
    </w:p>
    <w:p w:rsidR="004B23F7" w:rsidRDefault="005C379D" w:rsidP="004B23F7">
      <w:pPr>
        <w:pStyle w:val="H1GR"/>
      </w:pPr>
      <w:r w:rsidRPr="0017028D">
        <w:tab/>
      </w:r>
      <w:r w:rsidRPr="0017028D">
        <w:rPr>
          <w:lang w:val="en-US"/>
        </w:rPr>
        <w:t>A</w:t>
      </w:r>
      <w:r w:rsidRPr="0017028D">
        <w:t>.</w:t>
      </w:r>
      <w:r w:rsidRPr="0017028D">
        <w:tab/>
        <w:t xml:space="preserve">Общие положения, основные элементы, а также построение </w:t>
      </w:r>
      <w:r w:rsidR="004B23F7" w:rsidRPr="004B23F7">
        <w:br/>
      </w:r>
      <w:r w:rsidRPr="0017028D">
        <w:t>и</w:t>
      </w:r>
      <w:r w:rsidR="004B23F7">
        <w:t xml:space="preserve"> </w:t>
      </w:r>
      <w:r w:rsidRPr="0017028D">
        <w:t>структура системы регистров выбросов и переноса загрязнителей – статьи 3, 4 и 5</w:t>
      </w:r>
    </w:p>
    <w:p w:rsidR="005C379D" w:rsidRPr="0017028D" w:rsidRDefault="005C379D" w:rsidP="004B23F7">
      <w:pPr>
        <w:pStyle w:val="SingleTxtGR"/>
      </w:pPr>
      <w:r w:rsidRPr="0017028D">
        <w:t>2</w:t>
      </w:r>
      <w:r w:rsidR="003C1C11" w:rsidRPr="003C1C11">
        <w:t>1</w:t>
      </w:r>
      <w:r w:rsidRPr="0017028D">
        <w:t>.</w:t>
      </w:r>
      <w:r w:rsidRPr="0017028D">
        <w:tab/>
        <w:t>Содержащийся в формате доклада вопрос в отношении статей 3, 4 и 5 о</w:t>
      </w:r>
      <w:r w:rsidRPr="0017028D">
        <w:t>д</w:t>
      </w:r>
      <w:r w:rsidRPr="0017028D">
        <w:t xml:space="preserve">новременно имеет общий и конкретный характер. </w:t>
      </w:r>
      <w:proofErr w:type="spellStart"/>
      <w:r w:rsidRPr="0017028D">
        <w:t>Подвопросы</w:t>
      </w:r>
      <w:proofErr w:type="spellEnd"/>
      <w:r w:rsidRPr="0017028D">
        <w:t xml:space="preserve"> а)–</w:t>
      </w:r>
      <w:r w:rsidRPr="0017028D">
        <w:rPr>
          <w:lang w:val="en-US"/>
        </w:rPr>
        <w:t>d</w:t>
      </w:r>
      <w:r w:rsidRPr="0017028D">
        <w:t xml:space="preserve">) помогают представлять отчетность об осуществлении статьи 3 (общие положения), в то время как </w:t>
      </w:r>
      <w:proofErr w:type="spellStart"/>
      <w:r w:rsidRPr="0017028D">
        <w:t>подвопросы</w:t>
      </w:r>
      <w:proofErr w:type="spellEnd"/>
      <w:r w:rsidRPr="0017028D">
        <w:t xml:space="preserve"> е)–</w:t>
      </w:r>
      <w:r w:rsidRPr="0017028D">
        <w:rPr>
          <w:lang w:val="en-US"/>
        </w:rPr>
        <w:t>g</w:t>
      </w:r>
      <w:r w:rsidRPr="0017028D">
        <w:t>) помогают представлять отчетность об осуществл</w:t>
      </w:r>
      <w:r w:rsidRPr="0017028D">
        <w:t>е</w:t>
      </w:r>
      <w:r w:rsidRPr="0017028D">
        <w:t>нии статьи 5 (построение и структура). Вместе с тем законодательные, норм</w:t>
      </w:r>
      <w:r w:rsidRPr="0017028D">
        <w:t>а</w:t>
      </w:r>
      <w:r w:rsidRPr="0017028D">
        <w:t xml:space="preserve">тивные и другие меры, которых </w:t>
      </w:r>
      <w:proofErr w:type="gramStart"/>
      <w:r w:rsidRPr="0017028D">
        <w:t>касается</w:t>
      </w:r>
      <w:proofErr w:type="gramEnd"/>
      <w:r w:rsidRPr="0017028D">
        <w:t xml:space="preserve"> этот вопрос, также имеют отношение к статье 4 (основные элементы РВПЗ). </w:t>
      </w:r>
    </w:p>
    <w:p w:rsidR="005C379D" w:rsidRPr="0017028D" w:rsidRDefault="005C379D" w:rsidP="004B23F7">
      <w:pPr>
        <w:pStyle w:val="SingleTxtGR"/>
      </w:pPr>
      <w:r w:rsidRPr="0017028D">
        <w:lastRenderedPageBreak/>
        <w:t>2</w:t>
      </w:r>
      <w:r w:rsidR="003C1C11" w:rsidRPr="003C1C11">
        <w:t>2</w:t>
      </w:r>
      <w:r w:rsidRPr="0017028D">
        <w:t>.</w:t>
      </w:r>
      <w:r w:rsidRPr="0017028D">
        <w:tab/>
        <w:t xml:space="preserve">Хотя на каждый из </w:t>
      </w:r>
      <w:proofErr w:type="spellStart"/>
      <w:r w:rsidRPr="0017028D">
        <w:t>подвопросов</w:t>
      </w:r>
      <w:proofErr w:type="spellEnd"/>
      <w:r w:rsidRPr="0017028D">
        <w:t xml:space="preserve"> важно представить полный ответ, пре</w:t>
      </w:r>
      <w:r w:rsidRPr="0017028D">
        <w:t>д</w:t>
      </w:r>
      <w:r w:rsidRPr="0017028D">
        <w:t xml:space="preserve">ставление ответов только на </w:t>
      </w:r>
      <w:proofErr w:type="spellStart"/>
      <w:r w:rsidRPr="0017028D">
        <w:t>подво</w:t>
      </w:r>
      <w:r>
        <w:t>просы</w:t>
      </w:r>
      <w:proofErr w:type="spellEnd"/>
      <w:r>
        <w:t xml:space="preserve"> является причиной пробелов</w:t>
      </w:r>
      <w:r w:rsidRPr="0017028D">
        <w:t xml:space="preserve"> в отче</w:t>
      </w:r>
      <w:r w:rsidRPr="0017028D">
        <w:t>т</w:t>
      </w:r>
      <w:r w:rsidRPr="0017028D">
        <w:t>ности об осуществлении статьи 4 в целом. Эта статья непосредственно касается создания национальных систем РВПЗ, а не осуществления законодательных, нормативных и других мер в рамках таких региональных регистров, как Евр</w:t>
      </w:r>
      <w:r w:rsidRPr="0017028D">
        <w:t>о</w:t>
      </w:r>
      <w:r w:rsidRPr="0017028D">
        <w:t>пейский регистр выбросов и переноса загрязнителей (Е-РВПЗ).</w:t>
      </w:r>
    </w:p>
    <w:p w:rsidR="005C379D" w:rsidRPr="0017028D" w:rsidRDefault="005C379D" w:rsidP="004B23F7">
      <w:pPr>
        <w:pStyle w:val="SingleTxtGR"/>
      </w:pPr>
      <w:r w:rsidRPr="0017028D">
        <w:t>2</w:t>
      </w:r>
      <w:r w:rsidR="003C1C11" w:rsidRPr="003C1C11">
        <w:t>3</w:t>
      </w:r>
      <w:r w:rsidRPr="0017028D">
        <w:t>.</w:t>
      </w:r>
      <w:r w:rsidRPr="0017028D">
        <w:tab/>
        <w:t>Представленные многими сторонами ответы не позволяют получить че</w:t>
      </w:r>
      <w:r w:rsidRPr="0017028D">
        <w:t>т</w:t>
      </w:r>
      <w:r w:rsidRPr="0017028D">
        <w:t>кое представление о том, обеспечивает ли созданный в соответствии с закон</w:t>
      </w:r>
      <w:r w:rsidRPr="0017028D">
        <w:t>о</w:t>
      </w:r>
      <w:r w:rsidRPr="0017028D">
        <w:t xml:space="preserve">дательством процедурный механизм возможности для участия общественности в разработке РВПЗ, а также о конкретных правовых положениях, если они имеются. </w:t>
      </w:r>
    </w:p>
    <w:p w:rsidR="005C379D" w:rsidRPr="0017028D" w:rsidRDefault="005C379D" w:rsidP="004B23F7">
      <w:pPr>
        <w:pStyle w:val="SingleTxtGR"/>
      </w:pPr>
      <w:r w:rsidRPr="0017028D">
        <w:t>2</w:t>
      </w:r>
      <w:r w:rsidR="003C1C11" w:rsidRPr="003C1C11">
        <w:t>4</w:t>
      </w:r>
      <w:r w:rsidRPr="0017028D">
        <w:t>.</w:t>
      </w:r>
      <w:r w:rsidRPr="0017028D">
        <w:tab/>
        <w:t>Ответы на вопрос</w:t>
      </w:r>
      <w:r>
        <w:t>ы</w:t>
      </w:r>
      <w:r w:rsidRPr="0017028D">
        <w:t xml:space="preserve">, </w:t>
      </w:r>
      <w:r>
        <w:t>касающиеся</w:t>
      </w:r>
      <w:r w:rsidRPr="0017028D">
        <w:t xml:space="preserve"> конкретны</w:t>
      </w:r>
      <w:r>
        <w:t>х</w:t>
      </w:r>
      <w:r w:rsidRPr="0017028D">
        <w:t xml:space="preserve"> законодательны</w:t>
      </w:r>
      <w:r>
        <w:t>х</w:t>
      </w:r>
      <w:r w:rsidRPr="0017028D">
        <w:t xml:space="preserve"> полож</w:t>
      </w:r>
      <w:r w:rsidRPr="0017028D">
        <w:t>е</w:t>
      </w:r>
      <w:r w:rsidRPr="0017028D">
        <w:t>ни</w:t>
      </w:r>
      <w:r>
        <w:t>й</w:t>
      </w:r>
      <w:r w:rsidRPr="0017028D">
        <w:t>, регулирующи</w:t>
      </w:r>
      <w:r>
        <w:t>х</w:t>
      </w:r>
      <w:r w:rsidRPr="0017028D">
        <w:t xml:space="preserve"> участие общественности в разработке и изменении РВПЗ, необходимо представлять в рамках ответов на вопросы по статьям 3, 4 и 5, в то время как вопрос по статье 13 относится к вопросам, касающимся практическ</w:t>
      </w:r>
      <w:r w:rsidRPr="0017028D">
        <w:t>о</w:t>
      </w:r>
      <w:r w:rsidRPr="0017028D">
        <w:t xml:space="preserve">го осуществления. </w:t>
      </w:r>
    </w:p>
    <w:p w:rsidR="004B23F7" w:rsidRDefault="005C379D" w:rsidP="004B23F7">
      <w:pPr>
        <w:pStyle w:val="SingleTxtGR"/>
      </w:pPr>
      <w:r w:rsidRPr="0017028D">
        <w:t>2</w:t>
      </w:r>
      <w:r w:rsidR="003C1C11" w:rsidRPr="003C1C11">
        <w:t>5</w:t>
      </w:r>
      <w:r w:rsidRPr="0017028D">
        <w:t>.</w:t>
      </w:r>
      <w:r w:rsidRPr="0017028D">
        <w:tab/>
        <w:t>Только некоторые Стороны упомянули среди основных элементов вопрос о представлении отчетности о диффузных источниках. В ответах на этот вопрос также следует описать законодательные, нормативные и другие меры, регл</w:t>
      </w:r>
      <w:r w:rsidRPr="0017028D">
        <w:t>а</w:t>
      </w:r>
      <w:r w:rsidRPr="0017028D">
        <w:t xml:space="preserve">ментирующие отчетность по диффузным источникам (пункт </w:t>
      </w:r>
      <w:r w:rsidRPr="0017028D">
        <w:rPr>
          <w:lang w:val="en-US"/>
        </w:rPr>
        <w:t>b</w:t>
      </w:r>
      <w:r w:rsidRPr="0017028D">
        <w:t>) статьи 4 и пункт</w:t>
      </w:r>
      <w:r w:rsidR="00B37172">
        <w:t> </w:t>
      </w:r>
      <w:r w:rsidRPr="0017028D">
        <w:t>2 статьи 5).</w:t>
      </w:r>
    </w:p>
    <w:p w:rsidR="004B23F7" w:rsidRDefault="005C379D" w:rsidP="004B23F7">
      <w:pPr>
        <w:pStyle w:val="H4GR"/>
      </w:pPr>
      <w:r w:rsidRPr="0017028D">
        <w:rPr>
          <w:b/>
          <w:bCs/>
        </w:rPr>
        <w:tab/>
      </w:r>
      <w:r w:rsidRPr="0017028D">
        <w:rPr>
          <w:b/>
          <w:bCs/>
        </w:rPr>
        <w:tab/>
      </w:r>
      <w:r w:rsidRPr="0017028D">
        <w:t>Рекомендации</w:t>
      </w:r>
    </w:p>
    <w:p w:rsidR="005C379D" w:rsidRPr="0017028D" w:rsidRDefault="005C379D" w:rsidP="004B23F7">
      <w:pPr>
        <w:pStyle w:val="SingleTxtGR"/>
      </w:pPr>
      <w:r w:rsidRPr="0017028D">
        <w:t>2</w:t>
      </w:r>
      <w:r w:rsidR="003C1C11" w:rsidRPr="003C1C11">
        <w:t>6</w:t>
      </w:r>
      <w:r w:rsidRPr="0017028D">
        <w:t>.</w:t>
      </w:r>
      <w:r w:rsidRPr="0017028D">
        <w:tab/>
        <w:t xml:space="preserve">Сторонам следует тщательно проверить полноту своего ответа на первую часть вопроса: «Перечислите законодательные, нормативные и другие меры по осуществлению общих положений статей 3 (общие положения), 4 (основные элементы РВПЗ) и 5 (построение и структура)». </w:t>
      </w:r>
    </w:p>
    <w:p w:rsidR="005C379D" w:rsidRPr="0017028D" w:rsidRDefault="005C379D" w:rsidP="004B23F7">
      <w:pPr>
        <w:pStyle w:val="SingleTxtGR"/>
      </w:pPr>
      <w:r w:rsidRPr="0017028D">
        <w:t>2</w:t>
      </w:r>
      <w:r w:rsidR="003C1C11" w:rsidRPr="003C1C11">
        <w:t>7</w:t>
      </w:r>
      <w:r w:rsidRPr="0017028D">
        <w:t>.</w:t>
      </w:r>
      <w:r w:rsidRPr="0017028D">
        <w:tab/>
        <w:t xml:space="preserve">В качестве критериев полноты своих ответов на вопросник Сторонам следует </w:t>
      </w:r>
      <w:r>
        <w:t>ис</w:t>
      </w:r>
      <w:r w:rsidRPr="0017028D">
        <w:t>пользовать</w:t>
      </w:r>
      <w:r>
        <w:t xml:space="preserve"> положения</w:t>
      </w:r>
      <w:r w:rsidRPr="0017028D">
        <w:t>, содержащи</w:t>
      </w:r>
      <w:r>
        <w:t>е</w:t>
      </w:r>
      <w:r w:rsidRPr="0017028D">
        <w:t>ся в статьях 4 и 5 (пункт 1) Пр</w:t>
      </w:r>
      <w:r w:rsidRPr="0017028D">
        <w:t>о</w:t>
      </w:r>
      <w:r w:rsidRPr="0017028D">
        <w:t xml:space="preserve">токола. </w:t>
      </w:r>
    </w:p>
    <w:p w:rsidR="005C379D" w:rsidRPr="0017028D" w:rsidRDefault="005C379D" w:rsidP="004B23F7">
      <w:pPr>
        <w:pStyle w:val="SingleTxtGR"/>
      </w:pPr>
      <w:r w:rsidRPr="0017028D">
        <w:t>2</w:t>
      </w:r>
      <w:r w:rsidR="003C1C11" w:rsidRPr="003C1C11">
        <w:t>8</w:t>
      </w:r>
      <w:r w:rsidRPr="0017028D">
        <w:t>.</w:t>
      </w:r>
      <w:r w:rsidRPr="0017028D">
        <w:tab/>
        <w:t>В своих докладах Сторонам следует проводить различие между наци</w:t>
      </w:r>
      <w:r w:rsidRPr="0017028D">
        <w:t>о</w:t>
      </w:r>
      <w:r w:rsidRPr="0017028D">
        <w:t>нальными системами РВПЗ и другими системами сбора данных, в частности региональными РВПЗ (например, Е-РВПЗ). Включение в доклад информации согласно содержащемуся в статье 4 перечню позволит получить подробную картину реа</w:t>
      </w:r>
      <w:r>
        <w:t xml:space="preserve">лизации основных элементов </w:t>
      </w:r>
      <w:r w:rsidRPr="0017028D">
        <w:t xml:space="preserve">национальных РВПЗ. </w:t>
      </w:r>
    </w:p>
    <w:p w:rsidR="004B23F7" w:rsidRDefault="003C1C11" w:rsidP="004B23F7">
      <w:pPr>
        <w:pStyle w:val="SingleTxtGR"/>
      </w:pPr>
      <w:r w:rsidRPr="003C1C11">
        <w:t>29</w:t>
      </w:r>
      <w:r w:rsidR="005C379D" w:rsidRPr="0017028D">
        <w:t>.</w:t>
      </w:r>
      <w:r w:rsidR="005C379D" w:rsidRPr="0017028D">
        <w:tab/>
        <w:t>Сторонам следует четко разъяснить вопрос об участии общественности в разработке их РВПЗ. Например</w:t>
      </w:r>
      <w:r w:rsidR="00B37172">
        <w:t>,</w:t>
      </w:r>
      <w:r w:rsidR="005C379D" w:rsidRPr="0017028D">
        <w:t xml:space="preserve"> вопрос о том, закреплены ли в законодател</w:t>
      </w:r>
      <w:r w:rsidR="005C379D" w:rsidRPr="0017028D">
        <w:t>ь</w:t>
      </w:r>
      <w:r w:rsidR="005C379D" w:rsidRPr="0017028D">
        <w:t>стве положения об участии</w:t>
      </w:r>
      <w:r w:rsidR="005C379D">
        <w:t>,</w:t>
      </w:r>
      <w:r w:rsidR="005C379D" w:rsidRPr="0017028D">
        <w:t xml:space="preserve"> либо оно предусмотрено административной пра</w:t>
      </w:r>
      <w:r w:rsidR="005C379D" w:rsidRPr="0017028D">
        <w:t>к</w:t>
      </w:r>
      <w:r w:rsidR="005C379D" w:rsidRPr="0017028D">
        <w:t xml:space="preserve">тикой? Сторонам также следует указать, имеются ли какие-либо специальные механизмы для участия общественности. </w:t>
      </w:r>
    </w:p>
    <w:p w:rsidR="004B23F7" w:rsidRDefault="005C379D" w:rsidP="004B23F7">
      <w:pPr>
        <w:pStyle w:val="H4GR"/>
      </w:pPr>
      <w:r w:rsidRPr="0017028D">
        <w:tab/>
      </w:r>
      <w:r w:rsidRPr="0017028D">
        <w:tab/>
      </w:r>
      <w:r>
        <w:t>Отдельные виды</w:t>
      </w:r>
      <w:r w:rsidRPr="0017028D">
        <w:t xml:space="preserve"> надлежащ</w:t>
      </w:r>
      <w:r>
        <w:t>ей</w:t>
      </w:r>
      <w:r w:rsidRPr="0017028D">
        <w:t xml:space="preserve"> практик</w:t>
      </w:r>
      <w:r>
        <w:t>и</w:t>
      </w:r>
      <w:r w:rsidRPr="0017028D">
        <w:t xml:space="preserve"> представления отчетности</w:t>
      </w:r>
    </w:p>
    <w:p w:rsidR="005C379D" w:rsidRPr="0017028D" w:rsidRDefault="005C379D" w:rsidP="004B23F7">
      <w:pPr>
        <w:pStyle w:val="SingleTxtGR"/>
      </w:pPr>
      <w:r>
        <w:t>3</w:t>
      </w:r>
      <w:r w:rsidR="003C1C11" w:rsidRPr="003C1C11">
        <w:t>0</w:t>
      </w:r>
      <w:r>
        <w:t>.</w:t>
      </w:r>
      <w:r>
        <w:tab/>
        <w:t>Виды н</w:t>
      </w:r>
      <w:r w:rsidRPr="0017028D">
        <w:t>адлежащ</w:t>
      </w:r>
      <w:r>
        <w:t>ей</w:t>
      </w:r>
      <w:r w:rsidRPr="0017028D">
        <w:t xml:space="preserve"> практик</w:t>
      </w:r>
      <w:r>
        <w:t>и</w:t>
      </w:r>
      <w:r w:rsidRPr="0017028D">
        <w:t xml:space="preserve"> представления отчетности в отношении о</w:t>
      </w:r>
      <w:r w:rsidRPr="0017028D">
        <w:t>б</w:t>
      </w:r>
      <w:r w:rsidRPr="0017028D">
        <w:t>щих положений, основных элементов, а также построения и структуры системы РВПЗ включа</w:t>
      </w:r>
      <w:r>
        <w:t>ю</w:t>
      </w:r>
      <w:r w:rsidRPr="0017028D">
        <w:t xml:space="preserve">т в себя: </w:t>
      </w:r>
    </w:p>
    <w:p w:rsidR="005C379D" w:rsidRPr="0017028D" w:rsidRDefault="005C379D" w:rsidP="004B23F7">
      <w:pPr>
        <w:pStyle w:val="SingleTxtGR"/>
      </w:pPr>
      <w:r w:rsidRPr="0017028D">
        <w:tab/>
      </w:r>
      <w:r w:rsidRPr="0017028D">
        <w:rPr>
          <w:lang w:val="en-US"/>
        </w:rPr>
        <w:t>a</w:t>
      </w:r>
      <w:r w:rsidRPr="0017028D">
        <w:t>)</w:t>
      </w:r>
      <w:r w:rsidRPr="0017028D">
        <w:tab/>
      </w:r>
      <w:proofErr w:type="gramStart"/>
      <w:r w:rsidRPr="0017028D">
        <w:t>включение</w:t>
      </w:r>
      <w:proofErr w:type="gramEnd"/>
      <w:r w:rsidRPr="0017028D">
        <w:t xml:space="preserve"> в ответ информации по пунктам, перечисленным в ст</w:t>
      </w:r>
      <w:r w:rsidRPr="0017028D">
        <w:t>а</w:t>
      </w:r>
      <w:r w:rsidRPr="0017028D">
        <w:t>тьях</w:t>
      </w:r>
      <w:r w:rsidR="004B23F7">
        <w:t xml:space="preserve"> </w:t>
      </w:r>
      <w:r w:rsidRPr="0017028D">
        <w:t>4 и 5</w:t>
      </w:r>
      <w:r>
        <w:t>,</w:t>
      </w:r>
      <w:r w:rsidRPr="0017028D">
        <w:t xml:space="preserve"> с указанием того, какие из этих пунктов осуществлены, а какие нет. Если они полностью или частично не осуществлены, то следует описать обст</w:t>
      </w:r>
      <w:r w:rsidRPr="0017028D">
        <w:t>о</w:t>
      </w:r>
      <w:r w:rsidRPr="0017028D">
        <w:t>ятельства и запланированные действия;</w:t>
      </w:r>
    </w:p>
    <w:p w:rsidR="004B23F7" w:rsidRDefault="005C379D" w:rsidP="004B23F7">
      <w:pPr>
        <w:pStyle w:val="SingleTxtGR"/>
      </w:pPr>
      <w:r w:rsidRPr="0017028D">
        <w:lastRenderedPageBreak/>
        <w:tab/>
      </w:r>
      <w:r w:rsidRPr="0017028D">
        <w:rPr>
          <w:lang w:val="en-US"/>
        </w:rPr>
        <w:t>b</w:t>
      </w:r>
      <w:r w:rsidRPr="0017028D">
        <w:t>)</w:t>
      </w:r>
      <w:r w:rsidRPr="0017028D">
        <w:tab/>
      </w:r>
      <w:proofErr w:type="gramStart"/>
      <w:r w:rsidRPr="0017028D">
        <w:t>всеобъемлющие</w:t>
      </w:r>
      <w:proofErr w:type="gramEnd"/>
      <w:r w:rsidRPr="0017028D">
        <w:t xml:space="preserve"> ответы на </w:t>
      </w:r>
      <w:proofErr w:type="spellStart"/>
      <w:r w:rsidRPr="0017028D">
        <w:t>подвопрос</w:t>
      </w:r>
      <w:proofErr w:type="spellEnd"/>
      <w:r w:rsidRPr="0017028D">
        <w:t xml:space="preserve"> е) должны включать в себя полное перечисление условий </w:t>
      </w:r>
      <w:r>
        <w:t xml:space="preserve">и </w:t>
      </w:r>
      <w:r w:rsidRPr="0017028D">
        <w:t xml:space="preserve">режимов поиска (например, см. </w:t>
      </w:r>
      <w:proofErr w:type="gramStart"/>
      <w:r w:rsidRPr="0017028D">
        <w:t>НДО, пре</w:t>
      </w:r>
      <w:r w:rsidRPr="0017028D">
        <w:t>д</w:t>
      </w:r>
      <w:r w:rsidRPr="0017028D">
        <w:t>ставленный Францией).</w:t>
      </w:r>
      <w:proofErr w:type="gramEnd"/>
    </w:p>
    <w:p w:rsidR="004B23F7" w:rsidRDefault="005C379D" w:rsidP="004B23F7">
      <w:pPr>
        <w:pStyle w:val="H23GR"/>
      </w:pPr>
      <w:r>
        <w:tab/>
      </w:r>
      <w:r>
        <w:tab/>
      </w:r>
      <w:r w:rsidRPr="0017028D">
        <w:t xml:space="preserve">Защита лиц, сообщающих о нарушениях – </w:t>
      </w:r>
      <w:proofErr w:type="spellStart"/>
      <w:r w:rsidRPr="0017028D">
        <w:t>подвопрос</w:t>
      </w:r>
      <w:proofErr w:type="spellEnd"/>
      <w:r w:rsidRPr="0017028D">
        <w:t xml:space="preserve"> с)</w:t>
      </w:r>
    </w:p>
    <w:p w:rsidR="004B23F7" w:rsidRDefault="005C379D" w:rsidP="004B23F7">
      <w:pPr>
        <w:pStyle w:val="SingleTxtGR"/>
      </w:pPr>
      <w:r w:rsidRPr="0017028D">
        <w:t>3</w:t>
      </w:r>
      <w:r w:rsidR="003C1C11" w:rsidRPr="003C1C11">
        <w:t>1</w:t>
      </w:r>
      <w:r w:rsidRPr="0017028D">
        <w:t>.</w:t>
      </w:r>
      <w:r w:rsidRPr="0017028D">
        <w:tab/>
        <w:t>Пункт 3 статьи 3 Протокола имеет основополагающее значение для р</w:t>
      </w:r>
      <w:r w:rsidRPr="0017028D">
        <w:t>е</w:t>
      </w:r>
      <w:r w:rsidRPr="0017028D">
        <w:t xml:space="preserve">жима РВПЗ. </w:t>
      </w:r>
      <w:r>
        <w:t>Он может осуществ</w:t>
      </w:r>
      <w:r w:rsidR="00331322">
        <w:t>ляться различными способами, но</w:t>
      </w:r>
      <w:r>
        <w:t xml:space="preserve"> если нет </w:t>
      </w:r>
      <w:r w:rsidRPr="0017028D">
        <w:t>конкретного законодательства по его применению</w:t>
      </w:r>
      <w:r>
        <w:t>, то отсутствие</w:t>
      </w:r>
      <w:r w:rsidRPr="0017028D">
        <w:t xml:space="preserve"> конкретных прецедентов</w:t>
      </w:r>
      <w:r>
        <w:t xml:space="preserve"> в области</w:t>
      </w:r>
      <w:r w:rsidRPr="0017028D">
        <w:t xml:space="preserve"> предоставлени</w:t>
      </w:r>
      <w:r>
        <w:t>я</w:t>
      </w:r>
      <w:r w:rsidRPr="0017028D">
        <w:t xml:space="preserve"> защиты лицам, сообщивши</w:t>
      </w:r>
      <w:r>
        <w:t>м</w:t>
      </w:r>
      <w:r w:rsidRPr="0017028D">
        <w:t xml:space="preserve"> о наруш</w:t>
      </w:r>
      <w:r w:rsidRPr="0017028D">
        <w:t>е</w:t>
      </w:r>
      <w:r w:rsidRPr="0017028D">
        <w:t>ниях, может явиться причиной расплывчатых и неполных ответов, что затру</w:t>
      </w:r>
      <w:r w:rsidRPr="0017028D">
        <w:t>д</w:t>
      </w:r>
      <w:r w:rsidRPr="0017028D">
        <w:t xml:space="preserve">нит оценку степени его осуществления. </w:t>
      </w:r>
    </w:p>
    <w:p w:rsidR="004B23F7" w:rsidRDefault="005C379D" w:rsidP="004B23F7">
      <w:pPr>
        <w:pStyle w:val="H4GR"/>
      </w:pPr>
      <w:r>
        <w:tab/>
      </w:r>
      <w:r>
        <w:tab/>
        <w:t>Рекомендации</w:t>
      </w:r>
    </w:p>
    <w:p w:rsidR="005C379D" w:rsidRPr="0017028D" w:rsidRDefault="005C379D" w:rsidP="004B23F7">
      <w:pPr>
        <w:pStyle w:val="SingleTxtGR"/>
      </w:pPr>
      <w:r w:rsidRPr="0017028D">
        <w:t>3</w:t>
      </w:r>
      <w:r w:rsidR="003C1C11" w:rsidRPr="003C1C11">
        <w:t>2</w:t>
      </w:r>
      <w:r w:rsidRPr="0017028D">
        <w:t>.</w:t>
      </w:r>
      <w:r w:rsidRPr="0017028D">
        <w:tab/>
        <w:t>Сторонам следует представить конкретные пояснения по поводу того, как национальное законодательство может обеспечить защиту лиц, сообщающих о нарушениях, или указать, что в связи с этим вопросом никаких мер принято не было.</w:t>
      </w:r>
    </w:p>
    <w:p w:rsidR="005C379D" w:rsidRPr="00314D01" w:rsidRDefault="005C379D" w:rsidP="004B23F7">
      <w:pPr>
        <w:pStyle w:val="SingleTxtGR"/>
      </w:pPr>
      <w:r w:rsidRPr="00314D01">
        <w:t>3</w:t>
      </w:r>
      <w:r w:rsidR="003C1C11" w:rsidRPr="003C1C11">
        <w:t>3</w:t>
      </w:r>
      <w:r w:rsidRPr="00314D01">
        <w:t>.</w:t>
      </w:r>
      <w:r w:rsidRPr="00314D01">
        <w:tab/>
        <w:t>Сторонам следует представить информацию о любом соответствующем законодательном или нормативном положении или других альтернативных м</w:t>
      </w:r>
      <w:r w:rsidRPr="00314D01">
        <w:t>е</w:t>
      </w:r>
      <w:r w:rsidRPr="00314D01">
        <w:t>рах.</w:t>
      </w:r>
    </w:p>
    <w:p w:rsidR="004B23F7" w:rsidRDefault="005C379D" w:rsidP="004B23F7">
      <w:pPr>
        <w:pStyle w:val="SingleTxtGR"/>
      </w:pPr>
      <w:r w:rsidRPr="00314D01">
        <w:t>3</w:t>
      </w:r>
      <w:r w:rsidR="003C1C11" w:rsidRPr="003C1C11">
        <w:t>4</w:t>
      </w:r>
      <w:r w:rsidRPr="00314D01">
        <w:t>.</w:t>
      </w:r>
      <w:r w:rsidRPr="00314D01">
        <w:tab/>
        <w:t xml:space="preserve">Сторонам следует сообщить о любых прецедентах, относящихся к этому вопросу. </w:t>
      </w:r>
    </w:p>
    <w:p w:rsidR="004B23F7" w:rsidRDefault="005C379D" w:rsidP="004B23F7">
      <w:pPr>
        <w:pStyle w:val="H4GR"/>
      </w:pPr>
      <w:r>
        <w:tab/>
      </w:r>
      <w:r>
        <w:tab/>
      </w:r>
      <w:r w:rsidRPr="00314D01">
        <w:t>От</w:t>
      </w:r>
      <w:r>
        <w:t>дельные виды</w:t>
      </w:r>
      <w:r w:rsidRPr="00314D01">
        <w:t xml:space="preserve"> надлежащ</w:t>
      </w:r>
      <w:r>
        <w:t>ей</w:t>
      </w:r>
      <w:r w:rsidRPr="00314D01">
        <w:t xml:space="preserve"> практик</w:t>
      </w:r>
      <w:r>
        <w:t>и</w:t>
      </w:r>
      <w:r w:rsidRPr="00314D01">
        <w:t xml:space="preserve"> представления отчетности</w:t>
      </w:r>
    </w:p>
    <w:p w:rsidR="005C379D" w:rsidRPr="00314D01" w:rsidRDefault="005C379D" w:rsidP="004B23F7">
      <w:pPr>
        <w:pStyle w:val="SingleTxtGR"/>
      </w:pPr>
      <w:r w:rsidRPr="00314D01">
        <w:t>3</w:t>
      </w:r>
      <w:r w:rsidR="003C1C11" w:rsidRPr="003C1C11">
        <w:t>5</w:t>
      </w:r>
      <w:r w:rsidRPr="00314D01">
        <w:t>.</w:t>
      </w:r>
      <w:r w:rsidRPr="00314D01">
        <w:tab/>
        <w:t xml:space="preserve">Надлежащая практика представления отчетности по вопросу о защите лиц, сообщающих о нарушениях, включает в себя: </w:t>
      </w:r>
    </w:p>
    <w:p w:rsidR="005C379D" w:rsidRPr="00314D01" w:rsidRDefault="005C379D" w:rsidP="004B23F7">
      <w:pPr>
        <w:pStyle w:val="SingleTxtGR"/>
      </w:pPr>
      <w:r w:rsidRPr="00314D01">
        <w:tab/>
        <w:t>а)</w:t>
      </w:r>
      <w:r w:rsidRPr="00314D01">
        <w:tab/>
        <w:t>представление точного описания других мер административного характера или причин непринятия каких-либо мер (например</w:t>
      </w:r>
      <w:r>
        <w:t>,</w:t>
      </w:r>
      <w:r w:rsidRPr="00314D01">
        <w:t xml:space="preserve"> см. НДО, пре</w:t>
      </w:r>
      <w:r w:rsidRPr="00314D01">
        <w:t>д</w:t>
      </w:r>
      <w:r w:rsidRPr="00314D01">
        <w:t>ставленный Германией);</w:t>
      </w:r>
    </w:p>
    <w:p w:rsidR="005C379D" w:rsidRPr="00314D01" w:rsidRDefault="005C379D" w:rsidP="004B23F7">
      <w:pPr>
        <w:pStyle w:val="SingleTxtGR"/>
      </w:pPr>
      <w:r w:rsidRPr="00314D01">
        <w:tab/>
      </w:r>
      <w:r w:rsidRPr="00314D01">
        <w:rPr>
          <w:lang w:val="en-US"/>
        </w:rPr>
        <w:t>b</w:t>
      </w:r>
      <w:r w:rsidRPr="00314D01">
        <w:t>)</w:t>
      </w:r>
      <w:r w:rsidRPr="00314D01">
        <w:tab/>
      </w:r>
      <w:proofErr w:type="gramStart"/>
      <w:r w:rsidRPr="00314D01">
        <w:t>представление</w:t>
      </w:r>
      <w:proofErr w:type="gramEnd"/>
      <w:r w:rsidRPr="00314D01">
        <w:t xml:space="preserve"> краткой информации о любы</w:t>
      </w:r>
      <w:r>
        <w:t>х</w:t>
      </w:r>
      <w:r w:rsidRPr="00314D01">
        <w:t xml:space="preserve"> конкретны</w:t>
      </w:r>
      <w:r>
        <w:t>х</w:t>
      </w:r>
      <w:r w:rsidRPr="00314D01">
        <w:t xml:space="preserve"> прец</w:t>
      </w:r>
      <w:r w:rsidRPr="00314D01">
        <w:t>е</w:t>
      </w:r>
      <w:r w:rsidRPr="00314D01">
        <w:t>дента</w:t>
      </w:r>
      <w:r>
        <w:t>х</w:t>
      </w:r>
      <w:r w:rsidRPr="00314D01">
        <w:t>;</w:t>
      </w:r>
    </w:p>
    <w:p w:rsidR="005C379D" w:rsidRPr="00314D01" w:rsidRDefault="005C379D" w:rsidP="004B23F7">
      <w:pPr>
        <w:pStyle w:val="SingleTxtGR"/>
      </w:pPr>
      <w:r w:rsidRPr="00314D01">
        <w:tab/>
        <w:t>с)</w:t>
      </w:r>
      <w:r w:rsidRPr="00314D01">
        <w:tab/>
        <w:t>приведение ссылок на соответствующее законодательство;</w:t>
      </w:r>
    </w:p>
    <w:p w:rsidR="004B23F7" w:rsidRDefault="005C379D" w:rsidP="004B23F7">
      <w:pPr>
        <w:pStyle w:val="SingleTxtGR"/>
      </w:pPr>
      <w:r w:rsidRPr="00314D01">
        <w:tab/>
      </w:r>
      <w:r w:rsidRPr="00314D01">
        <w:rPr>
          <w:lang w:val="en-US"/>
        </w:rPr>
        <w:t>d</w:t>
      </w:r>
      <w:r w:rsidRPr="00314D01">
        <w:t>)</w:t>
      </w:r>
      <w:r w:rsidRPr="00314D01">
        <w:tab/>
      </w:r>
      <w:proofErr w:type="gramStart"/>
      <w:r w:rsidRPr="00314D01">
        <w:t>представление</w:t>
      </w:r>
      <w:proofErr w:type="gramEnd"/>
      <w:r w:rsidRPr="00314D01">
        <w:t xml:space="preserve"> информации о веб-ссылках на законодательные акты и/или любые официальные печатные издания, выполняющие функцию сборн</w:t>
      </w:r>
      <w:r w:rsidRPr="00314D01">
        <w:t>и</w:t>
      </w:r>
      <w:r w:rsidRPr="00314D01">
        <w:t>ка законодательства</w:t>
      </w:r>
      <w:r>
        <w:t>,</w:t>
      </w:r>
      <w:r w:rsidRPr="00314D01">
        <w:t xml:space="preserve"> и, по возможности, на другие имеющие существенно ва</w:t>
      </w:r>
      <w:r w:rsidRPr="00314D01">
        <w:t>ж</w:t>
      </w:r>
      <w:r w:rsidRPr="00314D01">
        <w:t>ное значение официальные документы.</w:t>
      </w:r>
    </w:p>
    <w:p w:rsidR="004B23F7" w:rsidRDefault="005C379D" w:rsidP="004B23F7">
      <w:pPr>
        <w:pStyle w:val="H1GR"/>
      </w:pPr>
      <w:r>
        <w:tab/>
      </w:r>
      <w:r w:rsidRPr="00314D01">
        <w:t>В.</w:t>
      </w:r>
      <w:r w:rsidRPr="00314D01">
        <w:tab/>
        <w:t>Требования в отношении представления отчетности – статья 7</w:t>
      </w:r>
    </w:p>
    <w:p w:rsidR="004B23F7" w:rsidRDefault="005C379D" w:rsidP="004B23F7">
      <w:pPr>
        <w:pStyle w:val="H23GR"/>
      </w:pPr>
      <w:r>
        <w:tab/>
      </w:r>
      <w:r>
        <w:tab/>
      </w:r>
      <w:r w:rsidRPr="00314D01">
        <w:t xml:space="preserve">Пороговое значение </w:t>
      </w:r>
      <w:r>
        <w:t>для деятельности</w:t>
      </w:r>
      <w:r w:rsidRPr="00314D01">
        <w:t xml:space="preserve"> и порогов</w:t>
      </w:r>
      <w:r>
        <w:t xml:space="preserve">ое значение </w:t>
      </w:r>
      <w:r w:rsidR="00D25045">
        <w:br/>
      </w:r>
      <w:r>
        <w:t>для</w:t>
      </w:r>
      <w:r w:rsidRPr="00314D01">
        <w:t xml:space="preserve"> численност</w:t>
      </w:r>
      <w:r>
        <w:t>и</w:t>
      </w:r>
      <w:r w:rsidRPr="00314D01">
        <w:t xml:space="preserve"> работников –</w:t>
      </w:r>
      <w:r>
        <w:t xml:space="preserve"> </w:t>
      </w:r>
      <w:proofErr w:type="spellStart"/>
      <w:r w:rsidRPr="00314D01">
        <w:t>подвопрос</w:t>
      </w:r>
      <w:proofErr w:type="spellEnd"/>
      <w:r w:rsidRPr="00314D01">
        <w:t xml:space="preserve"> а)</w:t>
      </w:r>
    </w:p>
    <w:p w:rsidR="004B23F7" w:rsidRDefault="005C379D" w:rsidP="004B23F7">
      <w:pPr>
        <w:pStyle w:val="SingleTxtGR"/>
      </w:pPr>
      <w:r w:rsidRPr="00314D01">
        <w:t>3</w:t>
      </w:r>
      <w:r w:rsidR="003C1C11" w:rsidRPr="003C1C11">
        <w:t>6</w:t>
      </w:r>
      <w:r w:rsidRPr="00314D01">
        <w:t>.</w:t>
      </w:r>
      <w:r w:rsidRPr="00314D01">
        <w:tab/>
      </w:r>
      <w:proofErr w:type="gramStart"/>
      <w:r w:rsidRPr="00314D01">
        <w:t>В связи с представлением отчетности по статье 7 Сторонам необходимо представить информацию о выбранной для их национального РВПЗ системы определения объектов, представляющих отчетность.</w:t>
      </w:r>
      <w:proofErr w:type="gramEnd"/>
      <w:r w:rsidRPr="00314D01">
        <w:t xml:space="preserve"> Они могут выбирать </w:t>
      </w:r>
      <w:r w:rsidR="00331322">
        <w:br/>
      </w:r>
      <w:r w:rsidRPr="00314D01">
        <w:t xml:space="preserve">между пороговым значением </w:t>
      </w:r>
      <w:r>
        <w:t>для деятельности</w:t>
      </w:r>
      <w:r w:rsidRPr="00314D01">
        <w:t xml:space="preserve"> (пункт 1 а) статьи 7 и коло</w:t>
      </w:r>
      <w:proofErr w:type="gramStart"/>
      <w:r w:rsidRPr="00314D01">
        <w:t>н</w:t>
      </w:r>
      <w:r w:rsidR="00331322">
        <w:t>-</w:t>
      </w:r>
      <w:proofErr w:type="gramEnd"/>
      <w:r w:rsidR="00331322">
        <w:br/>
      </w:r>
      <w:r w:rsidRPr="00314D01">
        <w:t xml:space="preserve">ка 1 приложения </w:t>
      </w:r>
      <w:r w:rsidRPr="00314D01">
        <w:rPr>
          <w:lang w:val="en-US"/>
        </w:rPr>
        <w:t>I</w:t>
      </w:r>
      <w:r w:rsidRPr="00314D01">
        <w:t>) или порогов</w:t>
      </w:r>
      <w:r>
        <w:t>ым значением для</w:t>
      </w:r>
      <w:r w:rsidRPr="00314D01">
        <w:t xml:space="preserve"> численност</w:t>
      </w:r>
      <w:r>
        <w:t>и</w:t>
      </w:r>
      <w:r w:rsidRPr="00314D01">
        <w:t xml:space="preserve"> работников (пункт 1 </w:t>
      </w:r>
      <w:r w:rsidRPr="00314D01">
        <w:rPr>
          <w:lang w:val="en-US"/>
        </w:rPr>
        <w:t>b</w:t>
      </w:r>
      <w:r w:rsidRPr="00314D01">
        <w:t xml:space="preserve">) статьи 7 и колонка 2 приложения </w:t>
      </w:r>
      <w:r w:rsidRPr="00314D01">
        <w:rPr>
          <w:lang w:val="en-US"/>
        </w:rPr>
        <w:t>I</w:t>
      </w:r>
      <w:r w:rsidRPr="00314D01">
        <w:t>). ЕС сделал выбор в пользу с</w:t>
      </w:r>
      <w:r w:rsidRPr="00314D01">
        <w:t>и</w:t>
      </w:r>
      <w:r w:rsidRPr="00314D01">
        <w:lastRenderedPageBreak/>
        <w:t xml:space="preserve">стемы порогового значения </w:t>
      </w:r>
      <w:r>
        <w:t>для деятельности</w:t>
      </w:r>
      <w:r w:rsidRPr="00314D01">
        <w:t xml:space="preserve"> (статья 5 и приложение </w:t>
      </w:r>
      <w:r w:rsidRPr="00314D01">
        <w:rPr>
          <w:lang w:val="en-US"/>
        </w:rPr>
        <w:t>I</w:t>
      </w:r>
      <w:r w:rsidRPr="00314D01">
        <w:t xml:space="preserve"> к Дире</w:t>
      </w:r>
      <w:r w:rsidRPr="00314D01">
        <w:t>к</w:t>
      </w:r>
      <w:r w:rsidRPr="00314D01">
        <w:t>тиве о Е-РВПЗ)</w:t>
      </w:r>
      <w:r w:rsidRPr="006E42BF">
        <w:rPr>
          <w:vertAlign w:val="superscript"/>
        </w:rPr>
        <w:footnoteReference w:id="5"/>
      </w:r>
      <w:r w:rsidRPr="00314D01">
        <w:t>, в</w:t>
      </w:r>
      <w:r w:rsidR="004B23F7">
        <w:t xml:space="preserve"> </w:t>
      </w:r>
      <w:r w:rsidRPr="00314D01">
        <w:t xml:space="preserve">связи с чем, возможно, большинство государств – членов ЕС также используют в своих национальных регистрах это пороговое значение. </w:t>
      </w:r>
    </w:p>
    <w:p w:rsidR="004B23F7" w:rsidRDefault="005C379D" w:rsidP="004B23F7">
      <w:pPr>
        <w:pStyle w:val="H4GR"/>
      </w:pPr>
      <w:r>
        <w:tab/>
      </w:r>
      <w:r>
        <w:tab/>
      </w:r>
      <w:r w:rsidRPr="00314D01">
        <w:t>Рекомендация</w:t>
      </w:r>
    </w:p>
    <w:p w:rsidR="004B23F7" w:rsidRDefault="005C379D" w:rsidP="004B23F7">
      <w:pPr>
        <w:pStyle w:val="SingleTxtGR"/>
      </w:pPr>
      <w:r w:rsidRPr="00314D01">
        <w:t>3</w:t>
      </w:r>
      <w:r w:rsidR="003C1C11" w:rsidRPr="003C1C11">
        <w:t>7</w:t>
      </w:r>
      <w:r w:rsidRPr="00314D01">
        <w:t>.</w:t>
      </w:r>
      <w:r w:rsidRPr="00314D01">
        <w:tab/>
        <w:t>Сторонам следует указать, используют ли они в своем национальном р</w:t>
      </w:r>
      <w:r w:rsidRPr="00314D01">
        <w:t>е</w:t>
      </w:r>
      <w:r w:rsidRPr="00314D01">
        <w:t xml:space="preserve">гистре обе системы пороговых значений. </w:t>
      </w:r>
    </w:p>
    <w:p w:rsidR="004B23F7" w:rsidRDefault="005C379D" w:rsidP="004B23F7">
      <w:pPr>
        <w:pStyle w:val="H4GR"/>
      </w:pPr>
      <w:r>
        <w:tab/>
      </w:r>
      <w:r>
        <w:tab/>
      </w:r>
      <w:r w:rsidRPr="00314D01">
        <w:t>От</w:t>
      </w:r>
      <w:r>
        <w:t xml:space="preserve">дельные виды </w:t>
      </w:r>
      <w:r w:rsidRPr="00314D01">
        <w:t>надлежащ</w:t>
      </w:r>
      <w:r>
        <w:t>ей</w:t>
      </w:r>
      <w:r w:rsidRPr="00314D01">
        <w:t xml:space="preserve"> практик</w:t>
      </w:r>
      <w:r>
        <w:t>и</w:t>
      </w:r>
      <w:r w:rsidRPr="00314D01">
        <w:t xml:space="preserve"> представления отчетности</w:t>
      </w:r>
    </w:p>
    <w:p w:rsidR="004B23F7" w:rsidRDefault="005C379D" w:rsidP="004B23F7">
      <w:pPr>
        <w:pStyle w:val="SingleTxtGR"/>
      </w:pPr>
      <w:r w:rsidRPr="00314D01">
        <w:t>3</w:t>
      </w:r>
      <w:r w:rsidR="003C1C11" w:rsidRPr="003C1C11">
        <w:t>8</w:t>
      </w:r>
      <w:r w:rsidRPr="00314D01">
        <w:t>.</w:t>
      </w:r>
      <w:r w:rsidRPr="00314D01">
        <w:tab/>
        <w:t xml:space="preserve">В отчетности с использованием показателей порогового значения </w:t>
      </w:r>
      <w:r>
        <w:t>для д</w:t>
      </w:r>
      <w:r>
        <w:t>е</w:t>
      </w:r>
      <w:r>
        <w:t>ятельности</w:t>
      </w:r>
      <w:r w:rsidRPr="00314D01">
        <w:t xml:space="preserve"> и порогово</w:t>
      </w:r>
      <w:r>
        <w:t>го значения для</w:t>
      </w:r>
      <w:r w:rsidRPr="00314D01">
        <w:t xml:space="preserve"> численности работников надлежащей практикой является представление краткого ответа, содержащего относящуюся к этому вопросу информацию, включая указание на систему используемого п</w:t>
      </w:r>
      <w:r w:rsidRPr="00314D01">
        <w:t>о</w:t>
      </w:r>
      <w:r w:rsidRPr="00314D01">
        <w:t>рогового значения (например</w:t>
      </w:r>
      <w:r>
        <w:t>,</w:t>
      </w:r>
      <w:r w:rsidRPr="00314D01">
        <w:t xml:space="preserve"> см. НДО, представленный Нидерландами).</w:t>
      </w:r>
    </w:p>
    <w:p w:rsidR="004B23F7" w:rsidRDefault="005C379D" w:rsidP="004B23F7">
      <w:pPr>
        <w:pStyle w:val="H23GR"/>
      </w:pPr>
      <w:r>
        <w:tab/>
      </w:r>
      <w:r>
        <w:tab/>
      </w:r>
      <w:r w:rsidRPr="00314D01">
        <w:t xml:space="preserve">Отчетность, запрашиваемая у владельцев и/или операторов объектов – </w:t>
      </w:r>
      <w:proofErr w:type="spellStart"/>
      <w:r w:rsidRPr="00314D01">
        <w:t>подвопрос</w:t>
      </w:r>
      <w:proofErr w:type="spellEnd"/>
      <w:r w:rsidRPr="00314D01">
        <w:t xml:space="preserve"> </w:t>
      </w:r>
      <w:r w:rsidRPr="00314D01">
        <w:rPr>
          <w:lang w:val="en-US"/>
        </w:rPr>
        <w:t>b</w:t>
      </w:r>
      <w:r w:rsidRPr="00314D01">
        <w:t>)</w:t>
      </w:r>
    </w:p>
    <w:p w:rsidR="004B23F7" w:rsidRDefault="003C1C11" w:rsidP="004B23F7">
      <w:pPr>
        <w:pStyle w:val="SingleTxtGR"/>
      </w:pPr>
      <w:r w:rsidRPr="003C1C11">
        <w:t>39</w:t>
      </w:r>
      <w:r w:rsidR="005C379D" w:rsidRPr="00314D01">
        <w:t>.</w:t>
      </w:r>
      <w:r w:rsidR="005C379D" w:rsidRPr="00314D01">
        <w:tab/>
        <w:t>В период создания своих национальных регистров Сторонам пришлось решать вопрос о том, будут ли представлять данные по объекту в отношении выбросов и переноса их владельцы или операторы. Обязанность по представл</w:t>
      </w:r>
      <w:r w:rsidR="005C379D" w:rsidRPr="00314D01">
        <w:t>е</w:t>
      </w:r>
      <w:r w:rsidR="005C379D" w:rsidRPr="00314D01">
        <w:t>нию данных для Е-РВПЗ ЕС возложена на оператора.</w:t>
      </w:r>
    </w:p>
    <w:p w:rsidR="004B23F7" w:rsidRDefault="005C379D" w:rsidP="004B23F7">
      <w:pPr>
        <w:pStyle w:val="H4GR"/>
      </w:pPr>
      <w:r>
        <w:tab/>
      </w:r>
      <w:r>
        <w:tab/>
      </w:r>
      <w:r w:rsidRPr="00314D01">
        <w:t>Рекомендация</w:t>
      </w:r>
    </w:p>
    <w:p w:rsidR="004B23F7" w:rsidRDefault="005C379D" w:rsidP="004B23F7">
      <w:pPr>
        <w:pStyle w:val="SingleTxtGR"/>
      </w:pPr>
      <w:r w:rsidRPr="00314D01">
        <w:t>4</w:t>
      </w:r>
      <w:r w:rsidR="003C1C11" w:rsidRPr="003C1C11">
        <w:t>0</w:t>
      </w:r>
      <w:r w:rsidRPr="00314D01">
        <w:t>.</w:t>
      </w:r>
      <w:r w:rsidRPr="00314D01">
        <w:tab/>
        <w:t>Сторонам следует указать, кто отвечает за представление данных: влад</w:t>
      </w:r>
      <w:r w:rsidRPr="00314D01">
        <w:t>е</w:t>
      </w:r>
      <w:r w:rsidRPr="00314D01">
        <w:t>лец, оператор или обе стороны. При необходимости им следует описать ко</w:t>
      </w:r>
      <w:r w:rsidRPr="00314D01">
        <w:t>н</w:t>
      </w:r>
      <w:r w:rsidRPr="00314D01">
        <w:t>кретные положения национального законодательства, которыми определены обязанности по представлению отчетности.</w:t>
      </w:r>
    </w:p>
    <w:p w:rsidR="004B23F7" w:rsidRDefault="005C379D" w:rsidP="004B23F7">
      <w:pPr>
        <w:pStyle w:val="H4GR"/>
      </w:pPr>
      <w:r>
        <w:tab/>
      </w:r>
      <w:r>
        <w:tab/>
      </w:r>
      <w:r w:rsidRPr="00314D01">
        <w:t>От</w:t>
      </w:r>
      <w:r>
        <w:t>дельные виды надлежащей</w:t>
      </w:r>
      <w:r w:rsidRPr="00314D01">
        <w:t xml:space="preserve"> практик</w:t>
      </w:r>
      <w:r>
        <w:t>и</w:t>
      </w:r>
      <w:r w:rsidRPr="00314D01">
        <w:t xml:space="preserve"> представления отчетности</w:t>
      </w:r>
    </w:p>
    <w:p w:rsidR="005C379D" w:rsidRPr="00314D01" w:rsidRDefault="005C379D" w:rsidP="004B23F7">
      <w:pPr>
        <w:pStyle w:val="SingleTxtGR"/>
      </w:pPr>
      <w:r w:rsidRPr="00314D01">
        <w:t>4</w:t>
      </w:r>
      <w:r w:rsidR="003C1C11" w:rsidRPr="003C1C11">
        <w:t>1</w:t>
      </w:r>
      <w:r w:rsidRPr="00314D01">
        <w:t>.</w:t>
      </w:r>
      <w:r w:rsidRPr="00314D01">
        <w:tab/>
        <w:t xml:space="preserve">Надлежащая практика представления ответов на вопросы, касающиеся обязанностей владельцев и/или операторов объектов, включает в себя: </w:t>
      </w:r>
    </w:p>
    <w:p w:rsidR="005C379D" w:rsidRPr="00314D01" w:rsidRDefault="005C379D" w:rsidP="004B23F7">
      <w:pPr>
        <w:pStyle w:val="SingleTxtGR"/>
      </w:pPr>
      <w:r w:rsidRPr="00314D01">
        <w:tab/>
        <w:t>а)</w:t>
      </w:r>
      <w:r w:rsidRPr="00314D01">
        <w:tab/>
        <w:t>представление краткого ответа, содержащего всю необходимую информацию (например</w:t>
      </w:r>
      <w:r>
        <w:t>,</w:t>
      </w:r>
      <w:r w:rsidRPr="00314D01">
        <w:t xml:space="preserve"> см. НДО, представленный Нидерландами);</w:t>
      </w:r>
    </w:p>
    <w:p w:rsidR="004B23F7" w:rsidRDefault="005C379D" w:rsidP="004B23F7">
      <w:pPr>
        <w:pStyle w:val="SingleTxtGR"/>
      </w:pPr>
      <w:r w:rsidRPr="00314D01">
        <w:tab/>
      </w:r>
      <w:r w:rsidRPr="00314D01">
        <w:rPr>
          <w:lang w:val="en-US"/>
        </w:rPr>
        <w:t>b</w:t>
      </w:r>
      <w:r w:rsidRPr="00314D01">
        <w:t>)</w:t>
      </w:r>
      <w:r w:rsidRPr="00314D01">
        <w:tab/>
      </w:r>
      <w:proofErr w:type="gramStart"/>
      <w:r w:rsidRPr="00314D01">
        <w:t>представление</w:t>
      </w:r>
      <w:proofErr w:type="gramEnd"/>
      <w:r w:rsidRPr="00314D01">
        <w:t xml:space="preserve"> конкретной информации, касающейся обязанностей владельца и/или оператора по представлению отчетности (например</w:t>
      </w:r>
      <w:r>
        <w:t>,</w:t>
      </w:r>
      <w:r w:rsidRPr="00314D01">
        <w:t xml:space="preserve"> см. </w:t>
      </w:r>
      <w:proofErr w:type="gramStart"/>
      <w:r w:rsidRPr="00314D01">
        <w:t>НДО, представленный Германией), если она представляет интерес.</w:t>
      </w:r>
      <w:proofErr w:type="gramEnd"/>
    </w:p>
    <w:p w:rsidR="004B23F7" w:rsidRDefault="005C379D" w:rsidP="004B23F7">
      <w:pPr>
        <w:pStyle w:val="H23GR"/>
      </w:pPr>
      <w:r>
        <w:tab/>
      </w:r>
      <w:r>
        <w:tab/>
      </w:r>
      <w:r w:rsidRPr="00314D01">
        <w:t xml:space="preserve">Список видов деятельности – </w:t>
      </w:r>
      <w:proofErr w:type="spellStart"/>
      <w:r w:rsidRPr="00314D01">
        <w:t>подвопрос</w:t>
      </w:r>
      <w:proofErr w:type="spellEnd"/>
      <w:r w:rsidRPr="00314D01">
        <w:t xml:space="preserve"> с)</w:t>
      </w:r>
    </w:p>
    <w:p w:rsidR="004B23F7" w:rsidRDefault="005C379D" w:rsidP="008067C6">
      <w:pPr>
        <w:pStyle w:val="SingleTxtGR"/>
      </w:pPr>
      <w:r w:rsidRPr="00314D01">
        <w:t>4</w:t>
      </w:r>
      <w:r w:rsidR="003C1C11" w:rsidRPr="003C1C11">
        <w:t>2</w:t>
      </w:r>
      <w:r w:rsidRPr="00314D01">
        <w:t>.</w:t>
      </w:r>
      <w:r w:rsidRPr="00314D01">
        <w:tab/>
      </w:r>
      <w:proofErr w:type="gramStart"/>
      <w:r w:rsidRPr="00314D01">
        <w:t>Пунктом 2 статьи 3 Протокола допускается ведение более обширных РВПЗ, чем это</w:t>
      </w:r>
      <w:r>
        <w:t>го</w:t>
      </w:r>
      <w:r w:rsidRPr="00314D01">
        <w:t xml:space="preserve"> требует Протокол; это означает, что Стороны могут охватывать в своих национальных регистрах большее количество видов деятельности или более низкие пороговые значения </w:t>
      </w:r>
      <w:r>
        <w:t>для деятельности</w:t>
      </w:r>
      <w:r w:rsidRPr="00314D01">
        <w:t xml:space="preserve"> по сравнению с предусмо</w:t>
      </w:r>
      <w:r w:rsidRPr="00314D01">
        <w:t>т</w:t>
      </w:r>
      <w:r w:rsidRPr="00314D01">
        <w:t xml:space="preserve">ренными в пункте 1 статьи 7 Протокола и приложении </w:t>
      </w:r>
      <w:r w:rsidRPr="00314D01">
        <w:rPr>
          <w:lang w:val="en-US"/>
        </w:rPr>
        <w:t>I</w:t>
      </w:r>
      <w:r w:rsidRPr="00314D01">
        <w:t xml:space="preserve"> к нему обязательными требованиями.</w:t>
      </w:r>
      <w:proofErr w:type="gramEnd"/>
      <w:r w:rsidRPr="00314D01">
        <w:t xml:space="preserve"> В случае включения Сторонами дополнительных видов деятел</w:t>
      </w:r>
      <w:r w:rsidRPr="00314D01">
        <w:t>ь</w:t>
      </w:r>
      <w:r w:rsidRPr="00314D01">
        <w:t>ности или снижения пороговых значений</w:t>
      </w:r>
      <w:r>
        <w:t xml:space="preserve"> для</w:t>
      </w:r>
      <w:r w:rsidRPr="00314D01">
        <w:t xml:space="preserve"> деятельности (пороговых знач</w:t>
      </w:r>
      <w:r w:rsidRPr="00314D01">
        <w:t>е</w:t>
      </w:r>
      <w:r w:rsidRPr="00314D01">
        <w:lastRenderedPageBreak/>
        <w:t xml:space="preserve">ний </w:t>
      </w:r>
      <w:r>
        <w:t>для деятельности</w:t>
      </w:r>
      <w:r w:rsidRPr="00314D01">
        <w:t xml:space="preserve"> или, если это применимо, пороговой численности рабо</w:t>
      </w:r>
      <w:r w:rsidRPr="00314D01">
        <w:t>т</w:t>
      </w:r>
      <w:r w:rsidRPr="00314D01">
        <w:t>ников)</w:t>
      </w:r>
      <w:r>
        <w:t>, то</w:t>
      </w:r>
      <w:r w:rsidRPr="00314D01">
        <w:t xml:space="preserve"> в</w:t>
      </w:r>
      <w:r>
        <w:t xml:space="preserve"> </w:t>
      </w:r>
      <w:r w:rsidRPr="00314D01">
        <w:t xml:space="preserve">своем ответе на </w:t>
      </w:r>
      <w:proofErr w:type="spellStart"/>
      <w:r w:rsidRPr="00314D01">
        <w:t>подвопрос</w:t>
      </w:r>
      <w:proofErr w:type="spellEnd"/>
      <w:r w:rsidRPr="00314D01">
        <w:t xml:space="preserve"> с) им следует представить эту информ</w:t>
      </w:r>
      <w:r w:rsidRPr="00314D01">
        <w:t>а</w:t>
      </w:r>
      <w:r w:rsidRPr="00314D01">
        <w:t>цию.</w:t>
      </w:r>
    </w:p>
    <w:p w:rsidR="004B23F7" w:rsidRDefault="005C379D" w:rsidP="008067C6">
      <w:pPr>
        <w:pStyle w:val="H4GR"/>
      </w:pPr>
      <w:r>
        <w:tab/>
      </w:r>
      <w:r>
        <w:tab/>
      </w:r>
      <w:r w:rsidR="00F275C3">
        <w:t>Рекомендация</w:t>
      </w:r>
    </w:p>
    <w:p w:rsidR="005C379D" w:rsidRPr="00314D01" w:rsidRDefault="005C379D" w:rsidP="008067C6">
      <w:pPr>
        <w:pStyle w:val="SingleTxtGR"/>
      </w:pPr>
      <w:r w:rsidRPr="00314D01">
        <w:t>4</w:t>
      </w:r>
      <w:r w:rsidR="003C1C11" w:rsidRPr="003C1C11">
        <w:t>3</w:t>
      </w:r>
      <w:r w:rsidRPr="00314D01">
        <w:t>.</w:t>
      </w:r>
      <w:r w:rsidRPr="00314D01">
        <w:tab/>
        <w:t>Каждой Стороне следует проверить соответствие видов деятельности и пороговых значений, используемых в ее национальном регистре, соответств</w:t>
      </w:r>
      <w:r w:rsidRPr="00314D01">
        <w:t>у</w:t>
      </w:r>
      <w:r w:rsidRPr="00314D01">
        <w:t xml:space="preserve">ющим параметрам, указанным в приложении </w:t>
      </w:r>
      <w:r w:rsidRPr="00314D01">
        <w:rPr>
          <w:lang w:val="en-US"/>
        </w:rPr>
        <w:t>I</w:t>
      </w:r>
      <w:r w:rsidRPr="00314D01">
        <w:t>.</w:t>
      </w:r>
    </w:p>
    <w:p w:rsidR="004B23F7" w:rsidRDefault="005C379D" w:rsidP="008067C6">
      <w:pPr>
        <w:pStyle w:val="H4GR"/>
      </w:pPr>
      <w:r>
        <w:tab/>
      </w:r>
      <w:r>
        <w:tab/>
      </w:r>
      <w:r w:rsidRPr="00314D01">
        <w:t>От</w:t>
      </w:r>
      <w:r>
        <w:t>дельные виды</w:t>
      </w:r>
      <w:r w:rsidRPr="00314D01">
        <w:t xml:space="preserve"> надлежащ</w:t>
      </w:r>
      <w:r>
        <w:t>ей</w:t>
      </w:r>
      <w:r w:rsidRPr="00314D01">
        <w:t xml:space="preserve"> практик</w:t>
      </w:r>
      <w:r>
        <w:t>и</w:t>
      </w:r>
      <w:r w:rsidRPr="00314D01">
        <w:t xml:space="preserve"> представления отчетности</w:t>
      </w:r>
    </w:p>
    <w:p w:rsidR="005C379D" w:rsidRPr="00314D01" w:rsidRDefault="005C379D" w:rsidP="008067C6">
      <w:pPr>
        <w:pStyle w:val="SingleTxtGR"/>
      </w:pPr>
      <w:r w:rsidRPr="00314D01">
        <w:t>4</w:t>
      </w:r>
      <w:r w:rsidR="003C1C11" w:rsidRPr="003C1C11">
        <w:t>4</w:t>
      </w:r>
      <w:r w:rsidRPr="00314D01">
        <w:t>.</w:t>
      </w:r>
      <w:r w:rsidRPr="00314D01">
        <w:tab/>
        <w:t>Надлежащая практика представления отчетности о списке видов деятел</w:t>
      </w:r>
      <w:r w:rsidRPr="00314D01">
        <w:t>ь</w:t>
      </w:r>
      <w:r w:rsidRPr="00314D01">
        <w:t>ности включает в себя:</w:t>
      </w:r>
    </w:p>
    <w:p w:rsidR="005C379D" w:rsidRPr="00314D01" w:rsidRDefault="005C379D" w:rsidP="008067C6">
      <w:pPr>
        <w:pStyle w:val="SingleTxtGR"/>
      </w:pPr>
      <w:r w:rsidRPr="00314D01">
        <w:tab/>
        <w:t>а)</w:t>
      </w:r>
      <w:r w:rsidRPr="00314D01">
        <w:tab/>
        <w:t>представление заинтересованными странами в соответствующих случаях четкой ссылки на Директиву о Е-РВПЗ, в том числе представление списка изменений по сравнению с требованиями Протокола (например</w:t>
      </w:r>
      <w:r>
        <w:t>,</w:t>
      </w:r>
      <w:r w:rsidRPr="00314D01">
        <w:t xml:space="preserve"> см.</w:t>
      </w:r>
      <w:r w:rsidR="00331322">
        <w:t> </w:t>
      </w:r>
      <w:r w:rsidRPr="00314D01">
        <w:t>НДО, представленный Германией);</w:t>
      </w:r>
    </w:p>
    <w:p w:rsidR="004B23F7" w:rsidRDefault="005C379D" w:rsidP="008067C6">
      <w:pPr>
        <w:pStyle w:val="SingleTxtGR"/>
      </w:pPr>
      <w:r w:rsidRPr="00314D01">
        <w:tab/>
      </w:r>
      <w:r w:rsidRPr="00314D01">
        <w:rPr>
          <w:lang w:val="en-US"/>
        </w:rPr>
        <w:t>b</w:t>
      </w:r>
      <w:r w:rsidRPr="00314D01">
        <w:t>)</w:t>
      </w:r>
      <w:r w:rsidRPr="00314D01">
        <w:tab/>
      </w:r>
      <w:proofErr w:type="gramStart"/>
      <w:r w:rsidRPr="00314D01">
        <w:t>в</w:t>
      </w:r>
      <w:proofErr w:type="gramEnd"/>
      <w:r w:rsidRPr="00314D01">
        <w:t xml:space="preserve"> соответствующих случаях важно представить список видов де</w:t>
      </w:r>
      <w:r w:rsidRPr="00314D01">
        <w:t>я</w:t>
      </w:r>
      <w:r w:rsidRPr="00314D01">
        <w:t>тельности, по которым представляется отчетность для национальных РВПЗ, охватывающих дополнительные виды деятельности, не упомянутые Проток</w:t>
      </w:r>
      <w:r w:rsidRPr="00314D01">
        <w:t>о</w:t>
      </w:r>
      <w:r w:rsidRPr="00314D01">
        <w:t>лом (например</w:t>
      </w:r>
      <w:r>
        <w:t>,</w:t>
      </w:r>
      <w:r w:rsidRPr="00314D01">
        <w:t xml:space="preserve"> см. </w:t>
      </w:r>
      <w:proofErr w:type="gramStart"/>
      <w:r w:rsidRPr="00314D01">
        <w:t>НДО, представленный Израилем)</w:t>
      </w:r>
      <w:r w:rsidR="00F275C3">
        <w:t>;</w:t>
      </w:r>
      <w:proofErr w:type="gramEnd"/>
    </w:p>
    <w:p w:rsidR="00F275C3" w:rsidRDefault="00F275C3" w:rsidP="008067C6">
      <w:pPr>
        <w:pStyle w:val="SingleTxtGR"/>
      </w:pPr>
      <w:r>
        <w:tab/>
        <w:t>с)</w:t>
      </w:r>
      <w:r>
        <w:tab/>
      </w:r>
      <w:r w:rsidRPr="00314D01">
        <w:t xml:space="preserve">ЕС включил в </w:t>
      </w:r>
      <w:proofErr w:type="gramStart"/>
      <w:r w:rsidRPr="00314D01">
        <w:t>свой</w:t>
      </w:r>
      <w:proofErr w:type="gramEnd"/>
      <w:r w:rsidRPr="00314D01">
        <w:t xml:space="preserve"> Е-РВПЗ позицию 3 </w:t>
      </w:r>
      <w:r w:rsidRPr="00314D01">
        <w:rPr>
          <w:lang w:val="en-US"/>
        </w:rPr>
        <w:t>b</w:t>
      </w:r>
      <w:r w:rsidRPr="00314D01">
        <w:t>) – открытая добыча п</w:t>
      </w:r>
      <w:r w:rsidRPr="00314D01">
        <w:t>о</w:t>
      </w:r>
      <w:r w:rsidRPr="00314D01">
        <w:t>лезных ископаемы</w:t>
      </w:r>
      <w:r>
        <w:t>х, которая предполагает</w:t>
      </w:r>
      <w:r w:rsidRPr="00314D01">
        <w:t xml:space="preserve"> обязательство по представлению о</w:t>
      </w:r>
      <w:r w:rsidRPr="00314D01">
        <w:t>т</w:t>
      </w:r>
      <w:r w:rsidRPr="00314D01">
        <w:t xml:space="preserve">четности </w:t>
      </w:r>
      <w:r>
        <w:t>по открытым разработкам</w:t>
      </w:r>
      <w:r w:rsidRPr="00314D01">
        <w:t xml:space="preserve"> площадью более 25 гектаров. Сторонам Протокола, которые также являются членами ЕС, следует проверить, пред</w:t>
      </w:r>
      <w:r w:rsidRPr="00314D01">
        <w:t>у</w:t>
      </w:r>
      <w:r w:rsidRPr="00314D01">
        <w:t>смотрели ли они в</w:t>
      </w:r>
      <w:r>
        <w:t xml:space="preserve"> </w:t>
      </w:r>
      <w:r w:rsidRPr="00314D01">
        <w:t>своих национальных регистрах также и это обязательство по представлению отчетности.</w:t>
      </w:r>
    </w:p>
    <w:p w:rsidR="004B23F7" w:rsidRDefault="005C379D" w:rsidP="008067C6">
      <w:pPr>
        <w:pStyle w:val="H23GR"/>
      </w:pPr>
      <w:r>
        <w:tab/>
      </w:r>
      <w:r>
        <w:tab/>
      </w:r>
      <w:r w:rsidRPr="00314D01">
        <w:t xml:space="preserve">Список загрязнителей – </w:t>
      </w:r>
      <w:proofErr w:type="spellStart"/>
      <w:r w:rsidRPr="00314D01">
        <w:t>подвопрос</w:t>
      </w:r>
      <w:proofErr w:type="spellEnd"/>
      <w:r w:rsidRPr="00314D01">
        <w:t xml:space="preserve"> d)</w:t>
      </w:r>
    </w:p>
    <w:p w:rsidR="004B23F7" w:rsidRDefault="00F275C3" w:rsidP="008067C6">
      <w:pPr>
        <w:pStyle w:val="SingleTxtGR"/>
      </w:pPr>
      <w:r>
        <w:t>4</w:t>
      </w:r>
      <w:r w:rsidR="003C1C11" w:rsidRPr="003C1C11">
        <w:t>5</w:t>
      </w:r>
      <w:r w:rsidR="005C379D" w:rsidRPr="00314D01">
        <w:t>.</w:t>
      </w:r>
      <w:r w:rsidR="005C379D" w:rsidRPr="00314D01">
        <w:tab/>
        <w:t>Согласно пункту 2 статьи 3 Протокола, Стороны также могут включать в</w:t>
      </w:r>
      <w:r w:rsidR="005C379D">
        <w:t xml:space="preserve"> </w:t>
      </w:r>
      <w:r w:rsidR="005C379D" w:rsidRPr="00314D01">
        <w:t>свои национальные регистры дополнительные загрязнители или более низкие пороговые значения по загрязнителям. Если Стороны включили дополнител</w:t>
      </w:r>
      <w:r w:rsidR="005C379D" w:rsidRPr="00314D01">
        <w:t>ь</w:t>
      </w:r>
      <w:r w:rsidR="005C379D" w:rsidRPr="00314D01">
        <w:t>ные загрязнители или более низкие пороговые значения по загрязнителям (п</w:t>
      </w:r>
      <w:r w:rsidR="005C379D" w:rsidRPr="00314D01">
        <w:t>о</w:t>
      </w:r>
      <w:r w:rsidR="005C379D" w:rsidRPr="00314D01">
        <w:t>роговые значения выбросов или, если это применимо, пороговые значения для производства, обработки или использования)</w:t>
      </w:r>
      <w:r w:rsidR="005C379D">
        <w:t>,</w:t>
      </w:r>
      <w:r w:rsidR="005C379D" w:rsidRPr="00314D01">
        <w:t xml:space="preserve"> им необходимо привести эту и</w:t>
      </w:r>
      <w:r w:rsidR="005C379D" w:rsidRPr="00314D01">
        <w:t>н</w:t>
      </w:r>
      <w:r w:rsidR="005C379D" w:rsidRPr="00314D01">
        <w:t>формацию в</w:t>
      </w:r>
      <w:r w:rsidR="005C379D">
        <w:t xml:space="preserve"> </w:t>
      </w:r>
      <w:r w:rsidR="005C379D" w:rsidRPr="00314D01">
        <w:t xml:space="preserve">ответе на </w:t>
      </w:r>
      <w:proofErr w:type="spellStart"/>
      <w:r w:rsidR="005C379D" w:rsidRPr="00314D01">
        <w:t>подвопрос</w:t>
      </w:r>
      <w:proofErr w:type="spellEnd"/>
      <w:r w:rsidR="005C379D" w:rsidRPr="00314D01">
        <w:t xml:space="preserve"> d). В этой связи, возможно, потребуется пре</w:t>
      </w:r>
      <w:r w:rsidR="005C379D" w:rsidRPr="00314D01">
        <w:t>д</w:t>
      </w:r>
      <w:r w:rsidR="005C379D" w:rsidRPr="00314D01">
        <w:t>ставить больший объем информации; в этом случае такую информацию легче воспринимать, если она изложена в четко структурированном и/или в табли</w:t>
      </w:r>
      <w:r w:rsidR="005C379D" w:rsidRPr="00314D01">
        <w:t>ч</w:t>
      </w:r>
      <w:r w:rsidR="005C379D" w:rsidRPr="00314D01">
        <w:t>ном формате.</w:t>
      </w:r>
    </w:p>
    <w:p w:rsidR="004B23F7" w:rsidRDefault="005C379D" w:rsidP="008067C6">
      <w:pPr>
        <w:pStyle w:val="H4GR"/>
      </w:pPr>
      <w:r>
        <w:tab/>
      </w:r>
      <w:r>
        <w:tab/>
      </w:r>
      <w:r w:rsidRPr="00314D01">
        <w:t>Рекомендации</w:t>
      </w:r>
    </w:p>
    <w:p w:rsidR="005C379D" w:rsidRPr="00314D01" w:rsidRDefault="005C379D" w:rsidP="008067C6">
      <w:pPr>
        <w:pStyle w:val="SingleTxtGR"/>
      </w:pPr>
      <w:r w:rsidRPr="00314D01">
        <w:t>4</w:t>
      </w:r>
      <w:r w:rsidR="003C1C11" w:rsidRPr="003C1C11">
        <w:t>6</w:t>
      </w:r>
      <w:r w:rsidRPr="00314D01">
        <w:t>.</w:t>
      </w:r>
      <w:r w:rsidRPr="00314D01">
        <w:tab/>
        <w:t>Каждой Стороне следует проверить загрязнители и пороговые значения, принятые в их национальном регистре, путем сопоставления с загрязнителями и</w:t>
      </w:r>
      <w:r>
        <w:t xml:space="preserve"> </w:t>
      </w:r>
      <w:r w:rsidRPr="00314D01">
        <w:t>пороговыми значениями, включенными в приложение II к Протоколу.</w:t>
      </w:r>
    </w:p>
    <w:p w:rsidR="004B23F7" w:rsidRDefault="00F275C3" w:rsidP="008067C6">
      <w:pPr>
        <w:pStyle w:val="SingleTxtGR"/>
      </w:pPr>
      <w:r>
        <w:t>4</w:t>
      </w:r>
      <w:r w:rsidR="003C1C11" w:rsidRPr="00192304">
        <w:t>7</w:t>
      </w:r>
      <w:r w:rsidR="005C379D" w:rsidRPr="00314D01">
        <w:t>.</w:t>
      </w:r>
      <w:r w:rsidR="005C379D" w:rsidRPr="00314D01">
        <w:tab/>
        <w:t xml:space="preserve">Несколько Сторон не </w:t>
      </w:r>
      <w:r w:rsidR="005C379D">
        <w:t>применяют никаких</w:t>
      </w:r>
      <w:r w:rsidR="005C379D" w:rsidRPr="00314D01">
        <w:t xml:space="preserve"> пороговы</w:t>
      </w:r>
      <w:r w:rsidR="005C379D">
        <w:t>х</w:t>
      </w:r>
      <w:r w:rsidR="005C379D" w:rsidRPr="00314D01">
        <w:t xml:space="preserve"> значени</w:t>
      </w:r>
      <w:r w:rsidR="005C379D">
        <w:t>й</w:t>
      </w:r>
      <w:r w:rsidR="005C379D" w:rsidRPr="00314D01">
        <w:t xml:space="preserve"> для з</w:t>
      </w:r>
      <w:r w:rsidR="005C379D" w:rsidRPr="00314D01">
        <w:t>а</w:t>
      </w:r>
      <w:r w:rsidR="005C379D" w:rsidRPr="00314D01">
        <w:t xml:space="preserve">грязнителей, </w:t>
      </w:r>
      <w:r w:rsidR="005C379D">
        <w:t xml:space="preserve">и </w:t>
      </w:r>
      <w:r w:rsidR="005C379D" w:rsidRPr="00314D01">
        <w:t xml:space="preserve">поэтому компетентным органам </w:t>
      </w:r>
      <w:r w:rsidR="005C379D">
        <w:t xml:space="preserve">должна </w:t>
      </w:r>
      <w:r w:rsidR="005C379D" w:rsidRPr="00314D01">
        <w:t>представля</w:t>
      </w:r>
      <w:r w:rsidR="005C379D">
        <w:t>ться</w:t>
      </w:r>
      <w:r w:rsidR="005C379D" w:rsidRPr="00314D01">
        <w:t xml:space="preserve"> инфо</w:t>
      </w:r>
      <w:r w:rsidR="005C379D" w:rsidRPr="00314D01">
        <w:t>р</w:t>
      </w:r>
      <w:r w:rsidR="005C379D" w:rsidRPr="00314D01">
        <w:t xml:space="preserve">мация </w:t>
      </w:r>
      <w:proofErr w:type="gramStart"/>
      <w:r w:rsidR="005C379D" w:rsidRPr="00314D01">
        <w:t>о</w:t>
      </w:r>
      <w:proofErr w:type="gramEnd"/>
      <w:r w:rsidR="005C379D">
        <w:t xml:space="preserve"> </w:t>
      </w:r>
      <w:r w:rsidR="005C379D" w:rsidRPr="00314D01">
        <w:t>всех выбросах загрязнителей. Хотя эту практику можно только приве</w:t>
      </w:r>
      <w:r w:rsidR="005C379D" w:rsidRPr="00314D01">
        <w:t>т</w:t>
      </w:r>
      <w:r w:rsidR="005C379D" w:rsidRPr="00314D01">
        <w:t xml:space="preserve">ствовать, поскольку она позволяет представлять более подробную информацию в рамках отчетности, Сторонам следует пояснить, применяется ли она только для отчетности </w:t>
      </w:r>
      <w:r w:rsidR="005C379D">
        <w:t xml:space="preserve">перед </w:t>
      </w:r>
      <w:r w:rsidR="005C379D" w:rsidRPr="00314D01">
        <w:t>компетентным</w:t>
      </w:r>
      <w:r w:rsidR="005C379D">
        <w:t>и</w:t>
      </w:r>
      <w:r w:rsidR="005C379D" w:rsidRPr="00314D01">
        <w:t xml:space="preserve"> органам</w:t>
      </w:r>
      <w:r w:rsidR="005C379D">
        <w:t>и</w:t>
      </w:r>
      <w:r w:rsidR="005C379D" w:rsidRPr="00314D01">
        <w:t xml:space="preserve"> или </w:t>
      </w:r>
      <w:r w:rsidR="005C379D">
        <w:t xml:space="preserve">же </w:t>
      </w:r>
      <w:r w:rsidR="005C379D" w:rsidRPr="00314D01">
        <w:t xml:space="preserve">все данные о выбросах </w:t>
      </w:r>
      <w:r w:rsidR="005C379D" w:rsidRPr="00314D01">
        <w:lastRenderedPageBreak/>
        <w:t>ниже пороговых значений, определенных Протоколом, также доступны общ</w:t>
      </w:r>
      <w:r w:rsidR="005C379D" w:rsidRPr="00314D01">
        <w:t>е</w:t>
      </w:r>
      <w:r w:rsidR="005C379D" w:rsidRPr="00314D01">
        <w:t>ственности через национальный регистр.</w:t>
      </w:r>
    </w:p>
    <w:p w:rsidR="004B23F7" w:rsidRDefault="005C379D" w:rsidP="008067C6">
      <w:pPr>
        <w:pStyle w:val="H4GR"/>
      </w:pPr>
      <w:r>
        <w:tab/>
      </w:r>
      <w:r>
        <w:tab/>
      </w:r>
      <w:r w:rsidRPr="00314D01">
        <w:t>От</w:t>
      </w:r>
      <w:r>
        <w:t>дельные виды</w:t>
      </w:r>
      <w:r w:rsidRPr="00314D01">
        <w:t xml:space="preserve"> надлежащ</w:t>
      </w:r>
      <w:r>
        <w:t>ей</w:t>
      </w:r>
      <w:r w:rsidRPr="00314D01">
        <w:t xml:space="preserve"> практик</w:t>
      </w:r>
      <w:r>
        <w:t>и</w:t>
      </w:r>
      <w:r w:rsidRPr="00314D01">
        <w:t xml:space="preserve"> представления отчетности</w:t>
      </w:r>
    </w:p>
    <w:p w:rsidR="005C379D" w:rsidRPr="00314D01" w:rsidRDefault="00C754F7" w:rsidP="008067C6">
      <w:pPr>
        <w:pStyle w:val="SingleTxtGR"/>
      </w:pPr>
      <w:r>
        <w:t>4</w:t>
      </w:r>
      <w:r w:rsidR="00192304" w:rsidRPr="00192304">
        <w:t>8</w:t>
      </w:r>
      <w:r w:rsidR="005C379D" w:rsidRPr="00314D01">
        <w:t>.</w:t>
      </w:r>
      <w:r w:rsidR="005C379D" w:rsidRPr="00314D01">
        <w:tab/>
        <w:t>В соответствии с надлежащей практикой представления отчетности по списку загрязнителей Сторонам следует:</w:t>
      </w:r>
    </w:p>
    <w:p w:rsidR="005C379D" w:rsidRPr="00314D01" w:rsidRDefault="005C379D" w:rsidP="008067C6">
      <w:pPr>
        <w:pStyle w:val="SingleTxtGR"/>
      </w:pPr>
      <w:r w:rsidRPr="00314D01">
        <w:tab/>
        <w:t>а)</w:t>
      </w:r>
      <w:r w:rsidRPr="00314D01">
        <w:tab/>
        <w:t>представ</w:t>
      </w:r>
      <w:r>
        <w:t>лять</w:t>
      </w:r>
      <w:r w:rsidRPr="00314D01">
        <w:t xml:space="preserve"> хорошо структурированны</w:t>
      </w:r>
      <w:r>
        <w:t>е</w:t>
      </w:r>
      <w:r w:rsidRPr="00314D01">
        <w:t xml:space="preserve"> ответ</w:t>
      </w:r>
      <w:r>
        <w:t>ы и систематически дезагрегировать</w:t>
      </w:r>
      <w:r w:rsidRPr="00314D01">
        <w:t xml:space="preserve"> информацию в рамках самодостаточного ответа, четкого по форме и удобного для восприятия любым пользователем (например</w:t>
      </w:r>
      <w:r>
        <w:t>,</w:t>
      </w:r>
      <w:r w:rsidRPr="00314D01">
        <w:t xml:space="preserve"> см. НДО, представленный Германией);</w:t>
      </w:r>
    </w:p>
    <w:p w:rsidR="004B23F7" w:rsidRDefault="005C379D" w:rsidP="008067C6">
      <w:pPr>
        <w:pStyle w:val="SingleTxtGR"/>
      </w:pPr>
      <w:r w:rsidRPr="00314D01">
        <w:tab/>
        <w:t>b)</w:t>
      </w:r>
      <w:r w:rsidRPr="00314D01">
        <w:tab/>
        <w:t>поясн</w:t>
      </w:r>
      <w:r>
        <w:t>я</w:t>
      </w:r>
      <w:r w:rsidRPr="00314D01">
        <w:t>ть, в чем они выходят за пределы положений Протокола, а также, если это применимо, Директивы Е-РВПЗ (например</w:t>
      </w:r>
      <w:r>
        <w:t>,</w:t>
      </w:r>
      <w:r w:rsidRPr="00314D01">
        <w:t xml:space="preserve"> см. НДО, предста</w:t>
      </w:r>
      <w:r w:rsidRPr="00314D01">
        <w:t>в</w:t>
      </w:r>
      <w:r w:rsidRPr="00314D01">
        <w:t>ленный Швецией)</w:t>
      </w:r>
      <w:r w:rsidR="00AC4167">
        <w:t>;</w:t>
      </w:r>
    </w:p>
    <w:p w:rsidR="00F275C3" w:rsidRDefault="00F275C3" w:rsidP="008067C6">
      <w:pPr>
        <w:pStyle w:val="SingleTxtGR"/>
      </w:pPr>
      <w:r>
        <w:tab/>
        <w:t>с)</w:t>
      </w:r>
      <w:r>
        <w:tab/>
      </w:r>
      <w:r w:rsidR="00C754F7" w:rsidRPr="00314D01">
        <w:t>Е-РВПЗ расшир</w:t>
      </w:r>
      <w:r w:rsidR="00C754F7">
        <w:t>ил</w:t>
      </w:r>
      <w:r w:rsidR="00C754F7" w:rsidRPr="00314D01">
        <w:t xml:space="preserve"> список загрязнителей и </w:t>
      </w:r>
      <w:r w:rsidR="00C754F7">
        <w:t xml:space="preserve">снизил или ввел </w:t>
      </w:r>
      <w:r w:rsidR="00C754F7" w:rsidRPr="00314D01">
        <w:t>допо</w:t>
      </w:r>
      <w:r w:rsidR="00C754F7" w:rsidRPr="00314D01">
        <w:t>л</w:t>
      </w:r>
      <w:r w:rsidR="00C754F7" w:rsidRPr="00314D01">
        <w:t>нительные пороговые значения. Сторонам, которые также являются госуда</w:t>
      </w:r>
      <w:r w:rsidR="00C754F7" w:rsidRPr="00314D01">
        <w:t>р</w:t>
      </w:r>
      <w:r w:rsidR="00C754F7" w:rsidRPr="00314D01">
        <w:t xml:space="preserve">ствами – членами ЕС, следует проверить, </w:t>
      </w:r>
      <w:r w:rsidR="00C754F7">
        <w:t>выполняют</w:t>
      </w:r>
      <w:r w:rsidR="00C754F7" w:rsidRPr="00314D01">
        <w:t xml:space="preserve"> ли они эти дополнител</w:t>
      </w:r>
      <w:r w:rsidR="00C754F7" w:rsidRPr="00314D01">
        <w:t>ь</w:t>
      </w:r>
      <w:r w:rsidR="00C754F7" w:rsidRPr="00314D01">
        <w:t>ные обязательства по представлению отчетности Е-РВПЗ также и в рамках св</w:t>
      </w:r>
      <w:r w:rsidR="00C754F7" w:rsidRPr="00314D01">
        <w:t>о</w:t>
      </w:r>
      <w:r w:rsidR="00C754F7" w:rsidRPr="00314D01">
        <w:t xml:space="preserve">их национальных регистров или </w:t>
      </w:r>
      <w:r w:rsidR="00C754F7">
        <w:t>же</w:t>
      </w:r>
      <w:r w:rsidR="00C754F7" w:rsidRPr="00314D01">
        <w:t xml:space="preserve"> представляют отчетность в соответствии с этими обязательствами только Е-РВПЗ. Им также следует проверить наличие у них дополнительных загрязнителей или более низких пороговых значений в дополнение к расширенным требованиям Е-РВПЗ.</w:t>
      </w:r>
    </w:p>
    <w:p w:rsidR="004B23F7" w:rsidRDefault="005C379D" w:rsidP="008067C6">
      <w:pPr>
        <w:pStyle w:val="H23GR"/>
      </w:pPr>
      <w:r>
        <w:tab/>
      </w:r>
      <w:r>
        <w:tab/>
      </w:r>
      <w:r w:rsidRPr="00314D01">
        <w:t xml:space="preserve">Пороговые значения для загрязнителей – </w:t>
      </w:r>
      <w:proofErr w:type="spellStart"/>
      <w:r w:rsidRPr="00314D01">
        <w:t>подвопрос</w:t>
      </w:r>
      <w:proofErr w:type="spellEnd"/>
      <w:r w:rsidRPr="00314D01">
        <w:t xml:space="preserve"> е)</w:t>
      </w:r>
    </w:p>
    <w:p w:rsidR="004B23F7" w:rsidRDefault="00192304" w:rsidP="008067C6">
      <w:pPr>
        <w:pStyle w:val="SingleTxtGR"/>
      </w:pPr>
      <w:r w:rsidRPr="00192304">
        <w:t>49</w:t>
      </w:r>
      <w:r w:rsidR="005C379D" w:rsidRPr="00314D01">
        <w:t>.</w:t>
      </w:r>
      <w:r w:rsidR="005C379D" w:rsidRPr="00314D01">
        <w:tab/>
        <w:t xml:space="preserve">Пунктом 3 статьи 7 предусмотрено исключение </w:t>
      </w:r>
      <w:r w:rsidR="005C379D">
        <w:t>в отношении</w:t>
      </w:r>
      <w:r w:rsidR="005C379D" w:rsidRPr="00314D01">
        <w:t xml:space="preserve"> подхода, выб</w:t>
      </w:r>
      <w:r w:rsidR="005C379D">
        <w:t>ираемого</w:t>
      </w:r>
      <w:r w:rsidR="005C379D" w:rsidRPr="00314D01">
        <w:t xml:space="preserve"> в соответствии с пунктом 1 а) или b) статьи 7, согласно которому Сторона в </w:t>
      </w:r>
      <w:r w:rsidR="005C379D">
        <w:t>случае</w:t>
      </w:r>
      <w:r w:rsidR="005C379D" w:rsidRPr="00314D01">
        <w:t xml:space="preserve"> конкретного загрязнителя может реш</w:t>
      </w:r>
      <w:r w:rsidR="005C379D">
        <w:t>ать</w:t>
      </w:r>
      <w:r w:rsidR="005C379D" w:rsidRPr="00314D01">
        <w:t>, применять ли пор</w:t>
      </w:r>
      <w:r w:rsidR="005C379D" w:rsidRPr="00314D01">
        <w:t>о</w:t>
      </w:r>
      <w:r w:rsidR="005C379D" w:rsidRPr="00314D01">
        <w:t>говое значение</w:t>
      </w:r>
      <w:r w:rsidR="005C379D">
        <w:t xml:space="preserve"> для</w:t>
      </w:r>
      <w:r w:rsidR="005C379D" w:rsidRPr="00314D01">
        <w:t xml:space="preserve"> выброс</w:t>
      </w:r>
      <w:r w:rsidR="005C379D">
        <w:t>ов</w:t>
      </w:r>
      <w:r w:rsidR="005C379D" w:rsidRPr="00314D01">
        <w:t xml:space="preserve"> или </w:t>
      </w:r>
      <w:r w:rsidR="005C379D">
        <w:t xml:space="preserve">же </w:t>
      </w:r>
      <w:r w:rsidR="005C379D" w:rsidRPr="00314D01">
        <w:t>пороговое значение для производства, о</w:t>
      </w:r>
      <w:r w:rsidR="005C379D" w:rsidRPr="00314D01">
        <w:t>б</w:t>
      </w:r>
      <w:r w:rsidR="005C379D" w:rsidRPr="00314D01">
        <w:t>работки или использования. Стороны могут принять решение воспользоваться этим исключением для представления более широкой отчетности. Первон</w:t>
      </w:r>
      <w:r w:rsidR="005C379D" w:rsidRPr="00314D01">
        <w:t>а</w:t>
      </w:r>
      <w:r w:rsidR="005C379D" w:rsidRPr="00314D01">
        <w:t>чально это положение было включен</w:t>
      </w:r>
      <w:r w:rsidR="005C379D">
        <w:t>о</w:t>
      </w:r>
      <w:r w:rsidR="005C379D" w:rsidRPr="00314D01">
        <w:t xml:space="preserve"> в Протокол</w:t>
      </w:r>
      <w:r w:rsidR="005C379D">
        <w:t xml:space="preserve"> для тех</w:t>
      </w:r>
      <w:r w:rsidR="005C379D" w:rsidRPr="00314D01">
        <w:t xml:space="preserve"> Сторон, которые уже используют подход, связанный с пороговым </w:t>
      </w:r>
      <w:r w:rsidR="005C379D">
        <w:t>уровнем</w:t>
      </w:r>
      <w:r w:rsidR="005C379D" w:rsidRPr="00314D01">
        <w:t xml:space="preserve"> производства, обработки или использования, представл</w:t>
      </w:r>
      <w:r w:rsidR="005C379D">
        <w:t>яя</w:t>
      </w:r>
      <w:r w:rsidR="005C379D" w:rsidRPr="00314D01">
        <w:t xml:space="preserve"> отчетност</w:t>
      </w:r>
      <w:r w:rsidR="005C379D">
        <w:t>ь</w:t>
      </w:r>
      <w:r w:rsidR="005C379D" w:rsidRPr="00314D01">
        <w:t xml:space="preserve"> по некоторым областям, в частн</w:t>
      </w:r>
      <w:r w:rsidR="005C379D" w:rsidRPr="00314D01">
        <w:t>о</w:t>
      </w:r>
      <w:r w:rsidR="005C379D" w:rsidRPr="00314D01">
        <w:t>сти по таким парниковым газам, как диоксид углерода.</w:t>
      </w:r>
    </w:p>
    <w:p w:rsidR="004B23F7" w:rsidRDefault="005C379D" w:rsidP="008067C6">
      <w:pPr>
        <w:pStyle w:val="H4GR"/>
      </w:pPr>
      <w:r>
        <w:tab/>
      </w:r>
      <w:r>
        <w:tab/>
      </w:r>
      <w:r w:rsidRPr="00314D01">
        <w:t>Рекомендация</w:t>
      </w:r>
    </w:p>
    <w:p w:rsidR="004B23F7" w:rsidRDefault="005C379D" w:rsidP="008067C6">
      <w:pPr>
        <w:pStyle w:val="SingleTxtGR"/>
      </w:pPr>
      <w:r w:rsidRPr="00314D01">
        <w:t>5</w:t>
      </w:r>
      <w:r w:rsidR="00192304" w:rsidRPr="00192304">
        <w:t>0</w:t>
      </w:r>
      <w:r w:rsidRPr="00314D01">
        <w:t>.</w:t>
      </w:r>
      <w:r w:rsidRPr="00314D01">
        <w:tab/>
        <w:t xml:space="preserve">Сторонам следует проверить, </w:t>
      </w:r>
      <w:r>
        <w:t>используют</w:t>
      </w:r>
      <w:r w:rsidRPr="00314D01">
        <w:t xml:space="preserve"> ли они эт</w:t>
      </w:r>
      <w:r>
        <w:t>о</w:t>
      </w:r>
      <w:r w:rsidRPr="00314D01">
        <w:t xml:space="preserve"> исключение в своих национальных регистрах для конкретного загрязнителя, и, если это так, поя</w:t>
      </w:r>
      <w:r w:rsidRPr="00314D01">
        <w:t>с</w:t>
      </w:r>
      <w:r w:rsidRPr="00314D01">
        <w:t xml:space="preserve">нить причины </w:t>
      </w:r>
      <w:r>
        <w:t>такого использования</w:t>
      </w:r>
      <w:r w:rsidRPr="00314D01">
        <w:t>.</w:t>
      </w:r>
    </w:p>
    <w:p w:rsidR="004B23F7" w:rsidRDefault="005C379D" w:rsidP="008067C6">
      <w:pPr>
        <w:pStyle w:val="H4GR"/>
      </w:pPr>
      <w:r>
        <w:tab/>
      </w:r>
      <w:r>
        <w:tab/>
      </w:r>
      <w:r w:rsidRPr="00314D01">
        <w:t>От</w:t>
      </w:r>
      <w:r>
        <w:t>дельные виды</w:t>
      </w:r>
      <w:r w:rsidRPr="00314D01">
        <w:t xml:space="preserve"> надлежащ</w:t>
      </w:r>
      <w:r>
        <w:t>ей</w:t>
      </w:r>
      <w:r w:rsidRPr="00314D01">
        <w:t xml:space="preserve"> практик</w:t>
      </w:r>
      <w:r>
        <w:t>и</w:t>
      </w:r>
      <w:r w:rsidRPr="00314D01">
        <w:t xml:space="preserve"> представления отчетности</w:t>
      </w:r>
    </w:p>
    <w:p w:rsidR="004B23F7" w:rsidRDefault="005C379D" w:rsidP="008067C6">
      <w:pPr>
        <w:pStyle w:val="SingleTxtGR"/>
      </w:pPr>
      <w:r w:rsidRPr="00314D01">
        <w:t>5</w:t>
      </w:r>
      <w:r w:rsidR="00192304" w:rsidRPr="00192304">
        <w:t>1</w:t>
      </w:r>
      <w:r w:rsidRPr="00314D01">
        <w:t>.</w:t>
      </w:r>
      <w:r w:rsidRPr="00314D01">
        <w:tab/>
        <w:t>При представлении отчетности в отношении пороговых значений загря</w:t>
      </w:r>
      <w:r w:rsidRPr="00314D01">
        <w:t>з</w:t>
      </w:r>
      <w:r w:rsidRPr="00314D01">
        <w:t>нителей надлежащей практикой для Сторон является представление краткого описания принятого им подхода и использование приведенной выше рекоме</w:t>
      </w:r>
      <w:r w:rsidRPr="00314D01">
        <w:t>н</w:t>
      </w:r>
      <w:r w:rsidRPr="00314D01">
        <w:t xml:space="preserve">дации, что </w:t>
      </w:r>
      <w:r>
        <w:t>будет гарантировать</w:t>
      </w:r>
      <w:r w:rsidRPr="00314D01">
        <w:t xml:space="preserve"> представ</w:t>
      </w:r>
      <w:r>
        <w:t>ление ими</w:t>
      </w:r>
      <w:r w:rsidRPr="00314D01">
        <w:t xml:space="preserve"> вс</w:t>
      </w:r>
      <w:r>
        <w:t>ей</w:t>
      </w:r>
      <w:r w:rsidRPr="00314D01">
        <w:t xml:space="preserve"> относящ</w:t>
      </w:r>
      <w:r>
        <w:t>ей</w:t>
      </w:r>
      <w:r w:rsidRPr="00314D01">
        <w:t>ся к этому вопросу информаци</w:t>
      </w:r>
      <w:r>
        <w:t>и</w:t>
      </w:r>
      <w:r w:rsidRPr="00314D01">
        <w:t xml:space="preserve"> (например, см. НДО, представленные Германией, Ниде</w:t>
      </w:r>
      <w:r w:rsidRPr="00314D01">
        <w:t>р</w:t>
      </w:r>
      <w:r w:rsidRPr="00314D01">
        <w:t>ландами или Швецией).</w:t>
      </w:r>
    </w:p>
    <w:p w:rsidR="004B23F7" w:rsidRDefault="005C379D" w:rsidP="008067C6">
      <w:pPr>
        <w:pStyle w:val="H23GR"/>
      </w:pPr>
      <w:r>
        <w:lastRenderedPageBreak/>
        <w:tab/>
      </w:r>
      <w:r>
        <w:tab/>
      </w:r>
      <w:r w:rsidRPr="00314D01">
        <w:t xml:space="preserve">Компетентные органы, отвечающие за сбор данных о выбросах </w:t>
      </w:r>
      <w:r w:rsidR="00D25045">
        <w:br/>
      </w:r>
      <w:r w:rsidRPr="00314D01">
        <w:t xml:space="preserve">из диффузных источников – </w:t>
      </w:r>
      <w:proofErr w:type="spellStart"/>
      <w:r w:rsidRPr="00314D01">
        <w:t>подвопрос</w:t>
      </w:r>
      <w:proofErr w:type="spellEnd"/>
      <w:r w:rsidRPr="00314D01">
        <w:t xml:space="preserve"> f)</w:t>
      </w:r>
    </w:p>
    <w:p w:rsidR="004B23F7" w:rsidRDefault="005C379D" w:rsidP="008067C6">
      <w:pPr>
        <w:pStyle w:val="SingleTxtGR"/>
      </w:pPr>
      <w:r w:rsidRPr="00314D01">
        <w:t>5</w:t>
      </w:r>
      <w:r w:rsidR="00192304" w:rsidRPr="00192304">
        <w:t>2</w:t>
      </w:r>
      <w:r w:rsidRPr="00314D01">
        <w:t>.</w:t>
      </w:r>
      <w:r w:rsidRPr="00314D01">
        <w:tab/>
        <w:t xml:space="preserve">Согласно Протоколу выбросы из диффузных источников также должны быть включены в национальный регистр. </w:t>
      </w:r>
      <w:proofErr w:type="gramStart"/>
      <w:r>
        <w:t>«</w:t>
      </w:r>
      <w:r w:rsidRPr="00314D01">
        <w:t>Диффузные источники</w:t>
      </w:r>
      <w:r>
        <w:t>»</w:t>
      </w:r>
      <w:r w:rsidRPr="00314D01">
        <w:t xml:space="preserve"> означают множество мелких или рассеянных источников, из которых загрязнители могут выбрасываться в землю, воздух или воду, совокупное воздействие которых на эти компоненты окружающей среды может быть значительным и для которых практически нецелесообразно собирать отчетность по каждому отдельному и</w:t>
      </w:r>
      <w:r w:rsidRPr="00314D01">
        <w:t>с</w:t>
      </w:r>
      <w:r w:rsidRPr="00314D01">
        <w:t>точнику (пункт 9 статьи 2).</w:t>
      </w:r>
      <w:proofErr w:type="gramEnd"/>
      <w:r w:rsidRPr="00314D01">
        <w:t xml:space="preserve"> Стороны должны также четко пояснить, какие орг</w:t>
      </w:r>
      <w:r w:rsidRPr="00314D01">
        <w:t>а</w:t>
      </w:r>
      <w:r w:rsidRPr="00314D01">
        <w:t>ны отвечают за сбор данных о выбросах из диффузных источников.</w:t>
      </w:r>
    </w:p>
    <w:p w:rsidR="004B23F7" w:rsidRDefault="005C379D" w:rsidP="008067C6">
      <w:pPr>
        <w:pStyle w:val="H4GR"/>
      </w:pPr>
      <w:r>
        <w:tab/>
      </w:r>
      <w:r>
        <w:tab/>
      </w:r>
      <w:r w:rsidRPr="00314D01">
        <w:t>Рекомендации</w:t>
      </w:r>
    </w:p>
    <w:p w:rsidR="005C379D" w:rsidRPr="00314D01" w:rsidRDefault="005C379D" w:rsidP="008067C6">
      <w:pPr>
        <w:pStyle w:val="SingleTxtGR"/>
      </w:pPr>
      <w:r w:rsidRPr="00314D01">
        <w:t>5</w:t>
      </w:r>
      <w:r w:rsidR="00192304" w:rsidRPr="00192304">
        <w:t>3</w:t>
      </w:r>
      <w:r w:rsidRPr="00314D01">
        <w:t>.</w:t>
      </w:r>
      <w:r w:rsidRPr="00314D01">
        <w:tab/>
        <w:t>Если по этому вопросу компетентный орган не был назначен, то для устранения этого пробела следует воспользоваться подготовкой доклада. Если в этой области существует несколько компетентных органов, то следует указать все такие органы.</w:t>
      </w:r>
    </w:p>
    <w:p w:rsidR="004B23F7" w:rsidRDefault="005C379D" w:rsidP="008067C6">
      <w:pPr>
        <w:pStyle w:val="SingleTxtGR"/>
      </w:pPr>
      <w:r w:rsidRPr="00314D01">
        <w:t>5</w:t>
      </w:r>
      <w:r w:rsidR="00192304" w:rsidRPr="00192304">
        <w:t>4</w:t>
      </w:r>
      <w:r w:rsidRPr="00314D01">
        <w:t>.</w:t>
      </w:r>
      <w:r w:rsidRPr="00314D01">
        <w:tab/>
        <w:t>Кроме того, необходимо отметить, что выбросы из диффузных источн</w:t>
      </w:r>
      <w:r w:rsidRPr="00314D01">
        <w:t>и</w:t>
      </w:r>
      <w:r w:rsidRPr="00314D01">
        <w:t xml:space="preserve">ков не являются диффузными выбросами объектов, </w:t>
      </w:r>
      <w:r>
        <w:t>подпадающих под систему</w:t>
      </w:r>
      <w:r w:rsidRPr="00314D01">
        <w:t xml:space="preserve"> отчетност</w:t>
      </w:r>
      <w:r>
        <w:t>и</w:t>
      </w:r>
      <w:r w:rsidRPr="00314D01">
        <w:t>. Диффузны</w:t>
      </w:r>
      <w:r>
        <w:t>е</w:t>
      </w:r>
      <w:r w:rsidRPr="00314D01">
        <w:t xml:space="preserve"> выброс</w:t>
      </w:r>
      <w:r>
        <w:t>ы</w:t>
      </w:r>
      <w:r w:rsidRPr="00314D01">
        <w:t xml:space="preserve"> охвачен</w:t>
      </w:r>
      <w:r>
        <w:t>ы</w:t>
      </w:r>
      <w:r w:rsidRPr="00314D01">
        <w:t xml:space="preserve"> в определении выбросов (пункт 7 статьи 2).</w:t>
      </w:r>
    </w:p>
    <w:p w:rsidR="004B23F7" w:rsidRDefault="005C379D" w:rsidP="008067C6">
      <w:pPr>
        <w:pStyle w:val="H4GR"/>
      </w:pPr>
      <w:r>
        <w:tab/>
      </w:r>
      <w:r>
        <w:tab/>
      </w:r>
      <w:r w:rsidRPr="00314D01">
        <w:t>От</w:t>
      </w:r>
      <w:r>
        <w:t>дельные виды надлежащей практики</w:t>
      </w:r>
      <w:r w:rsidRPr="00314D01">
        <w:t xml:space="preserve"> представления отчетности</w:t>
      </w:r>
    </w:p>
    <w:p w:rsidR="004B23F7" w:rsidRDefault="005C379D" w:rsidP="008067C6">
      <w:pPr>
        <w:pStyle w:val="SingleTxtGR"/>
      </w:pPr>
      <w:r w:rsidRPr="00314D01">
        <w:t>5</w:t>
      </w:r>
      <w:r w:rsidR="00192304" w:rsidRPr="00192304">
        <w:t>5</w:t>
      </w:r>
      <w:r w:rsidRPr="00314D01">
        <w:t>.</w:t>
      </w:r>
      <w:r w:rsidRPr="00314D01">
        <w:tab/>
        <w:t>Надлежащая практика представления соответствующим компетентным органам данных о диффузных источниках заключается в кратком описании национального подхода и следовании приведенным выше рекомендациям при представлении соответствующей информации (например, см. НДО, предста</w:t>
      </w:r>
      <w:r w:rsidRPr="00314D01">
        <w:t>в</w:t>
      </w:r>
      <w:r w:rsidRPr="00314D01">
        <w:t>ленные Австрией, Германией или Швецией).</w:t>
      </w:r>
    </w:p>
    <w:p w:rsidR="004B23F7" w:rsidRDefault="005C379D" w:rsidP="008067C6">
      <w:pPr>
        <w:pStyle w:val="H23GR"/>
      </w:pPr>
      <w:r>
        <w:tab/>
      </w:r>
      <w:r>
        <w:tab/>
      </w:r>
      <w:r w:rsidRPr="00314D01">
        <w:t xml:space="preserve">Объем информации, требуемый в рамках национальной системы РВПЗ – </w:t>
      </w:r>
      <w:proofErr w:type="spellStart"/>
      <w:r w:rsidRPr="00314D01">
        <w:t>подвопрос</w:t>
      </w:r>
      <w:proofErr w:type="spellEnd"/>
      <w:r w:rsidRPr="00314D01">
        <w:t xml:space="preserve"> g)</w:t>
      </w:r>
    </w:p>
    <w:p w:rsidR="004B23F7" w:rsidRDefault="005C379D" w:rsidP="008067C6">
      <w:pPr>
        <w:pStyle w:val="SingleTxtGR"/>
      </w:pPr>
      <w:r w:rsidRPr="00314D01">
        <w:t>5</w:t>
      </w:r>
      <w:r w:rsidR="00192304" w:rsidRPr="00192304">
        <w:t>6</w:t>
      </w:r>
      <w:r w:rsidRPr="00314D01">
        <w:t>.</w:t>
      </w:r>
      <w:r w:rsidRPr="00314D01">
        <w:tab/>
        <w:t>Объем информации, представляемой в рамках систем РВПЗ Сторон, до</w:t>
      </w:r>
      <w:r w:rsidRPr="00314D01">
        <w:t>л</w:t>
      </w:r>
      <w:r w:rsidRPr="00314D01">
        <w:t>жен быть исчерпывающим. Сравнительная информация между соответству</w:t>
      </w:r>
      <w:r w:rsidRPr="00314D01">
        <w:t>ю</w:t>
      </w:r>
      <w:r w:rsidRPr="00314D01">
        <w:t>щими положениями Протокола и требованиями национальной системы РВПЗ в отношении объема должна быть четко изложена в удобной для восприятия л</w:t>
      </w:r>
      <w:r w:rsidRPr="00314D01">
        <w:t>ю</w:t>
      </w:r>
      <w:r w:rsidRPr="00314D01">
        <w:t>бого пользователя форме.</w:t>
      </w:r>
    </w:p>
    <w:p w:rsidR="004B23F7" w:rsidRDefault="005C379D" w:rsidP="008067C6">
      <w:pPr>
        <w:pStyle w:val="H4GR"/>
      </w:pPr>
      <w:r>
        <w:tab/>
      </w:r>
      <w:r>
        <w:tab/>
      </w:r>
      <w:r w:rsidRPr="00314D01">
        <w:t>Рекомендации</w:t>
      </w:r>
    </w:p>
    <w:p w:rsidR="005C379D" w:rsidRPr="00314D01" w:rsidRDefault="00C754F7" w:rsidP="0023247F">
      <w:pPr>
        <w:pStyle w:val="SingleTxtGR"/>
      </w:pPr>
      <w:r>
        <w:t>5</w:t>
      </w:r>
      <w:r w:rsidR="00192304" w:rsidRPr="00192304">
        <w:t>7</w:t>
      </w:r>
      <w:r w:rsidR="005C379D" w:rsidRPr="00314D01">
        <w:t>.</w:t>
      </w:r>
      <w:r w:rsidR="005C379D" w:rsidRPr="00314D01">
        <w:tab/>
        <w:t>Регистры Сторон Протокола должны соответствовать требованиям Пр</w:t>
      </w:r>
      <w:r w:rsidR="005C379D" w:rsidRPr="00314D01">
        <w:t>о</w:t>
      </w:r>
      <w:r w:rsidR="005C379D" w:rsidRPr="00314D01">
        <w:t>токола в отношении наличия в них полного объема информации. Если это не так, то Сторонам необходимо четко указать, где в их регистрах имеются ра</w:t>
      </w:r>
      <w:r w:rsidR="005C379D" w:rsidRPr="00314D01">
        <w:t>с</w:t>
      </w:r>
      <w:r w:rsidR="005C379D" w:rsidRPr="00314D01">
        <w:t>хождения, а также пояснить, почему соответствующая информация не была включена. Сторонам также следует представить информацию о том, как они планируют реш</w:t>
      </w:r>
      <w:r w:rsidR="005C379D">
        <w:t>а</w:t>
      </w:r>
      <w:r w:rsidR="005C379D" w:rsidRPr="00314D01">
        <w:t>ть такие возможные проблемы. Например</w:t>
      </w:r>
      <w:r w:rsidR="005C379D">
        <w:t>,</w:t>
      </w:r>
      <w:r w:rsidR="005C379D" w:rsidRPr="00314D01">
        <w:t xml:space="preserve"> они могут возникать в связи со сроками планируемой деятельности.</w:t>
      </w:r>
    </w:p>
    <w:p w:rsidR="005C379D" w:rsidRPr="00314D01" w:rsidRDefault="00C754F7" w:rsidP="0023247F">
      <w:pPr>
        <w:pStyle w:val="SingleTxtGR"/>
      </w:pPr>
      <w:r>
        <w:t>5</w:t>
      </w:r>
      <w:r w:rsidR="00192304" w:rsidRPr="00192304">
        <w:t>8</w:t>
      </w:r>
      <w:r w:rsidR="005C379D" w:rsidRPr="00314D01">
        <w:t>.</w:t>
      </w:r>
      <w:r w:rsidR="005C379D" w:rsidRPr="00314D01">
        <w:tab/>
        <w:t>В случае, когда объем информации в используемой Стороной системе РВПЗ превышает требования Протокола, следует кратко прокомментировать национальный подход. Это поможет другим Сторонам получить представление, например</w:t>
      </w:r>
      <w:r w:rsidR="00152EB4">
        <w:t>,</w:t>
      </w:r>
      <w:r w:rsidR="005C379D" w:rsidRPr="00314D01">
        <w:t xml:space="preserve"> о последних изменениях или применении надлежащей практики в целом.</w:t>
      </w:r>
    </w:p>
    <w:p w:rsidR="004B23F7" w:rsidRDefault="00192304" w:rsidP="0023247F">
      <w:pPr>
        <w:pStyle w:val="SingleTxtGR"/>
      </w:pPr>
      <w:r w:rsidRPr="00192304">
        <w:lastRenderedPageBreak/>
        <w:t>59</w:t>
      </w:r>
      <w:r w:rsidR="005C379D" w:rsidRPr="00314D01">
        <w:t>.</w:t>
      </w:r>
      <w:r w:rsidR="005C379D" w:rsidRPr="00314D01">
        <w:tab/>
      </w:r>
      <w:proofErr w:type="gramStart"/>
      <w:r w:rsidR="005C379D" w:rsidRPr="00314D01">
        <w:t xml:space="preserve">В Е-РВПЗ применен подход, основанный на количестве отходов </w:t>
      </w:r>
      <w:r w:rsidR="00152EB4">
        <w:br/>
      </w:r>
      <w:r w:rsidR="005C379D" w:rsidRPr="00314D01">
        <w:t>(пункт 5</w:t>
      </w:r>
      <w:r w:rsidR="004B23F7">
        <w:t xml:space="preserve"> </w:t>
      </w:r>
      <w:r w:rsidR="005C379D" w:rsidRPr="00314D01">
        <w:t xml:space="preserve">d) </w:t>
      </w:r>
      <w:proofErr w:type="spellStart"/>
      <w:r w:rsidR="005C379D" w:rsidRPr="00314D01">
        <w:t>ii</w:t>
      </w:r>
      <w:proofErr w:type="spellEnd"/>
      <w:r w:rsidR="005C379D" w:rsidRPr="00314D01">
        <w:t>) статьи 7).</w:t>
      </w:r>
      <w:proofErr w:type="gramEnd"/>
      <w:r w:rsidR="005C379D" w:rsidRPr="00314D01">
        <w:t xml:space="preserve"> Сторонам, которые являются членами ЕС, следует ук</w:t>
      </w:r>
      <w:r w:rsidR="005C379D" w:rsidRPr="00314D01">
        <w:t>а</w:t>
      </w:r>
      <w:r w:rsidR="005C379D" w:rsidRPr="00314D01">
        <w:t xml:space="preserve">зать </w:t>
      </w:r>
      <w:r w:rsidR="005C379D">
        <w:t>следующее:</w:t>
      </w:r>
      <w:r w:rsidR="005C379D" w:rsidRPr="00314D01">
        <w:t xml:space="preserve"> использовали </w:t>
      </w:r>
      <w:r w:rsidR="005C379D">
        <w:t xml:space="preserve">ли они </w:t>
      </w:r>
      <w:r w:rsidR="005C379D" w:rsidRPr="00314D01">
        <w:t>подход, основанный на количестве отх</w:t>
      </w:r>
      <w:r w:rsidR="005C379D" w:rsidRPr="00314D01">
        <w:t>о</w:t>
      </w:r>
      <w:r w:rsidR="005C379D" w:rsidRPr="00314D01">
        <w:t>дов, для представления отчетности Е-РВПЗ</w:t>
      </w:r>
      <w:r w:rsidR="005C379D">
        <w:t xml:space="preserve"> или также</w:t>
      </w:r>
      <w:r w:rsidR="005C379D" w:rsidRPr="00314D01">
        <w:t xml:space="preserve"> в своих национальных регистрах, </w:t>
      </w:r>
      <w:r w:rsidR="005C379D">
        <w:t>и</w:t>
      </w:r>
      <w:r w:rsidR="005C379D" w:rsidRPr="00314D01">
        <w:t xml:space="preserve"> включили ли они количество отходов в качестве дополнительного параметра.</w:t>
      </w:r>
    </w:p>
    <w:p w:rsidR="004B23F7" w:rsidRDefault="005C379D" w:rsidP="0023247F">
      <w:pPr>
        <w:pStyle w:val="H4GR"/>
      </w:pPr>
      <w:r>
        <w:tab/>
      </w:r>
      <w:r>
        <w:tab/>
        <w:t>Отдельные виды надлежащей</w:t>
      </w:r>
      <w:r w:rsidRPr="00314D01">
        <w:t xml:space="preserve"> практик</w:t>
      </w:r>
      <w:r>
        <w:t>и</w:t>
      </w:r>
      <w:r w:rsidRPr="00314D01">
        <w:t xml:space="preserve"> представления отчетности</w:t>
      </w:r>
    </w:p>
    <w:p w:rsidR="005C379D" w:rsidRPr="00314D01" w:rsidRDefault="005C379D" w:rsidP="0023247F">
      <w:pPr>
        <w:pStyle w:val="SingleTxtGR"/>
      </w:pPr>
      <w:r w:rsidRPr="00314D01">
        <w:t>6</w:t>
      </w:r>
      <w:r w:rsidR="00192304" w:rsidRPr="00192304">
        <w:t>0</w:t>
      </w:r>
      <w:r w:rsidRPr="00314D01">
        <w:t>.</w:t>
      </w:r>
      <w:r w:rsidRPr="00314D01">
        <w:tab/>
        <w:t>При представлении отчетности об объеме информации, требуемой с</w:t>
      </w:r>
      <w:r w:rsidRPr="00314D01">
        <w:t>о</w:t>
      </w:r>
      <w:r w:rsidRPr="00314D01">
        <w:t>гласно национальной системе РВПЗ, надлежащая практика заключается в пре</w:t>
      </w:r>
      <w:r w:rsidRPr="00314D01">
        <w:t>д</w:t>
      </w:r>
      <w:r w:rsidRPr="00314D01">
        <w:t>ставлении информации в дополнение к основным вопросам отчетности по об</w:t>
      </w:r>
      <w:r w:rsidRPr="00314D01">
        <w:t>ъ</w:t>
      </w:r>
      <w:r w:rsidRPr="00314D01">
        <w:t>екту (пункты 5 и 6 статьи 7) в виде отдельного списка, например о:</w:t>
      </w:r>
    </w:p>
    <w:p w:rsidR="005C379D" w:rsidRPr="00314D01" w:rsidRDefault="005C379D" w:rsidP="0023247F">
      <w:pPr>
        <w:pStyle w:val="SingleTxtGR"/>
      </w:pPr>
      <w:r w:rsidRPr="00314D01">
        <w:tab/>
        <w:t>а)</w:t>
      </w:r>
      <w:r w:rsidRPr="00314D01">
        <w:tab/>
      </w:r>
      <w:proofErr w:type="gramStart"/>
      <w:r w:rsidRPr="00314D01">
        <w:t>количестве</w:t>
      </w:r>
      <w:proofErr w:type="gramEnd"/>
      <w:r w:rsidRPr="00314D01">
        <w:t xml:space="preserve"> работников или объеме производства;</w:t>
      </w:r>
    </w:p>
    <w:p w:rsidR="005C379D" w:rsidRPr="00314D01" w:rsidRDefault="005C379D" w:rsidP="0023247F">
      <w:pPr>
        <w:pStyle w:val="SingleTxtGR"/>
      </w:pPr>
      <w:r w:rsidRPr="00314D01">
        <w:tab/>
        <w:t>b)</w:t>
      </w:r>
      <w:r w:rsidRPr="00314D01">
        <w:tab/>
      </w:r>
      <w:proofErr w:type="gramStart"/>
      <w:r w:rsidRPr="00314D01">
        <w:t>потреблении</w:t>
      </w:r>
      <w:proofErr w:type="gramEnd"/>
      <w:r w:rsidRPr="00314D01">
        <w:t xml:space="preserve"> энергии и воды;</w:t>
      </w:r>
    </w:p>
    <w:p w:rsidR="005C379D" w:rsidRPr="00314D01" w:rsidRDefault="005C379D" w:rsidP="0023247F">
      <w:pPr>
        <w:pStyle w:val="SingleTxtGR"/>
      </w:pPr>
      <w:r w:rsidRPr="00314D01">
        <w:tab/>
        <w:t>с)</w:t>
      </w:r>
      <w:r w:rsidRPr="00314D01">
        <w:tab/>
        <w:t xml:space="preserve">более низких пороговых </w:t>
      </w:r>
      <w:proofErr w:type="gramStart"/>
      <w:r w:rsidRPr="00314D01">
        <w:t>значени</w:t>
      </w:r>
      <w:r>
        <w:t>ях</w:t>
      </w:r>
      <w:proofErr w:type="gramEnd"/>
      <w:r w:rsidRPr="00314D01">
        <w:t xml:space="preserve"> для количеств отходов;</w:t>
      </w:r>
    </w:p>
    <w:p w:rsidR="005C379D" w:rsidRPr="00314D01" w:rsidRDefault="005C379D" w:rsidP="0023247F">
      <w:pPr>
        <w:pStyle w:val="SingleTxtGR"/>
      </w:pPr>
      <w:r w:rsidRPr="00314D01">
        <w:tab/>
        <w:t>d)</w:t>
      </w:r>
      <w:r w:rsidRPr="00314D01">
        <w:tab/>
      </w:r>
      <w:proofErr w:type="gramStart"/>
      <w:r w:rsidRPr="00314D01">
        <w:t>включении</w:t>
      </w:r>
      <w:proofErr w:type="gramEnd"/>
      <w:r w:rsidRPr="00314D01">
        <w:t xml:space="preserve"> кодов отходов;</w:t>
      </w:r>
    </w:p>
    <w:p w:rsidR="005C379D" w:rsidRPr="00314D01" w:rsidRDefault="005C379D" w:rsidP="0023247F">
      <w:pPr>
        <w:pStyle w:val="SingleTxtGR"/>
      </w:pPr>
      <w:r w:rsidRPr="00314D01">
        <w:tab/>
        <w:t>е)</w:t>
      </w:r>
      <w:r w:rsidRPr="00314D01">
        <w:tab/>
        <w:t xml:space="preserve">региональных </w:t>
      </w:r>
      <w:proofErr w:type="gramStart"/>
      <w:r w:rsidRPr="00314D01">
        <w:t>кодах</w:t>
      </w:r>
      <w:proofErr w:type="gramEnd"/>
      <w:r w:rsidRPr="00314D01">
        <w:t>;</w:t>
      </w:r>
    </w:p>
    <w:p w:rsidR="005C379D" w:rsidRPr="00314D01" w:rsidRDefault="005C379D" w:rsidP="0023247F">
      <w:pPr>
        <w:pStyle w:val="SingleTxtGR"/>
      </w:pPr>
      <w:r w:rsidRPr="00314D01">
        <w:tab/>
      </w:r>
      <w:r w:rsidRPr="00314D01">
        <w:rPr>
          <w:lang w:val="en-US"/>
        </w:rPr>
        <w:t>f</w:t>
      </w:r>
      <w:r w:rsidRPr="00314D01">
        <w:t>)</w:t>
      </w:r>
      <w:r w:rsidRPr="00314D01">
        <w:tab/>
      </w:r>
      <w:proofErr w:type="gramStart"/>
      <w:r w:rsidRPr="00314D01">
        <w:t>районе</w:t>
      </w:r>
      <w:proofErr w:type="gramEnd"/>
      <w:r w:rsidRPr="00314D01">
        <w:t xml:space="preserve"> речного бассейна;</w:t>
      </w:r>
    </w:p>
    <w:p w:rsidR="004B23F7" w:rsidRDefault="005C379D" w:rsidP="0023247F">
      <w:pPr>
        <w:pStyle w:val="SingleTxtGR"/>
      </w:pPr>
      <w:r w:rsidRPr="00314D01">
        <w:tab/>
        <w:t>g)</w:t>
      </w:r>
      <w:r w:rsidRPr="00314D01">
        <w:tab/>
      </w:r>
      <w:proofErr w:type="gramStart"/>
      <w:r w:rsidRPr="00314D01">
        <w:t>кодах</w:t>
      </w:r>
      <w:proofErr w:type="gramEnd"/>
      <w:r w:rsidRPr="00314D01">
        <w:t xml:space="preserve"> </w:t>
      </w:r>
      <w:r w:rsidRPr="00314D01">
        <w:rPr>
          <w:lang w:val="fr-CH"/>
        </w:rPr>
        <w:t>NACE</w:t>
      </w:r>
      <w:r w:rsidRPr="006E42BF">
        <w:rPr>
          <w:vertAlign w:val="superscript"/>
        </w:rPr>
        <w:footnoteReference w:id="6"/>
      </w:r>
      <w:r w:rsidRPr="00314D01">
        <w:t>.</w:t>
      </w:r>
    </w:p>
    <w:p w:rsidR="004B23F7" w:rsidRDefault="005C379D" w:rsidP="0023247F">
      <w:pPr>
        <w:pStyle w:val="H23GR"/>
      </w:pPr>
      <w:r>
        <w:tab/>
      </w:r>
      <w:r w:rsidRPr="00314D01">
        <w:tab/>
        <w:t xml:space="preserve">Диффузные источники – </w:t>
      </w:r>
      <w:proofErr w:type="spellStart"/>
      <w:r w:rsidRPr="00314D01">
        <w:t>подвопрос</w:t>
      </w:r>
      <w:proofErr w:type="spellEnd"/>
      <w:r w:rsidRPr="00314D01">
        <w:t xml:space="preserve"> h)</w:t>
      </w:r>
    </w:p>
    <w:p w:rsidR="005C379D" w:rsidRPr="00314D01" w:rsidRDefault="00152EB4" w:rsidP="0023247F">
      <w:pPr>
        <w:pStyle w:val="SingleTxtGR"/>
      </w:pPr>
      <w:r>
        <w:t>6</w:t>
      </w:r>
      <w:r w:rsidR="00192304" w:rsidRPr="00192304">
        <w:t>1</w:t>
      </w:r>
      <w:r w:rsidR="005C379D" w:rsidRPr="00314D01">
        <w:t>.</w:t>
      </w:r>
      <w:r w:rsidR="005C379D" w:rsidRPr="00314D01">
        <w:tab/>
        <w:t>Согласно Протоколу (пункты 4 и 7 статьи 7) выбросы из диффузных и</w:t>
      </w:r>
      <w:r w:rsidR="005C379D" w:rsidRPr="00314D01">
        <w:t>с</w:t>
      </w:r>
      <w:r w:rsidR="005C379D" w:rsidRPr="00314D01">
        <w:t>точников должны включаться в национальные регистры при условии, что:</w:t>
      </w:r>
    </w:p>
    <w:p w:rsidR="005C379D" w:rsidRPr="00314D01" w:rsidRDefault="005C379D" w:rsidP="0023247F">
      <w:pPr>
        <w:pStyle w:val="SingleTxtGR"/>
      </w:pPr>
      <w:r w:rsidRPr="00314D01">
        <w:tab/>
        <w:t>а)</w:t>
      </w:r>
      <w:r w:rsidRPr="00314D01">
        <w:tab/>
        <w:t>Сторона принимает решение о проведении сбора данных (напр</w:t>
      </w:r>
      <w:r w:rsidRPr="00314D01">
        <w:t>и</w:t>
      </w:r>
      <w:r w:rsidRPr="00314D01">
        <w:t>мер, в</w:t>
      </w:r>
      <w:r w:rsidR="004B23F7">
        <w:t xml:space="preserve"> </w:t>
      </w:r>
      <w:r w:rsidRPr="00314D01">
        <w:t>рамках других обязательств по представлению отчетности или исслед</w:t>
      </w:r>
      <w:r w:rsidRPr="00314D01">
        <w:t>о</w:t>
      </w:r>
      <w:r w:rsidRPr="00314D01">
        <w:t>вательских проектов) соответствующими органами;</w:t>
      </w:r>
    </w:p>
    <w:p w:rsidR="005C379D" w:rsidRPr="00314D01" w:rsidRDefault="005C379D" w:rsidP="0023247F">
      <w:pPr>
        <w:pStyle w:val="SingleTxtGR"/>
      </w:pPr>
      <w:r w:rsidRPr="00314D01">
        <w:tab/>
        <w:t>b)</w:t>
      </w:r>
      <w:r w:rsidRPr="00314D01">
        <w:tab/>
        <w:t>имеется практическая возможность их включения.</w:t>
      </w:r>
    </w:p>
    <w:p w:rsidR="004B23F7" w:rsidRDefault="005C379D" w:rsidP="0023247F">
      <w:pPr>
        <w:pStyle w:val="SingleTxtGR"/>
      </w:pPr>
      <w:r w:rsidRPr="00314D01">
        <w:t>В случае отсутствия данных Сторона должна принять меры для организации сбора данных о выбросах из одного или более диффузных источников в соо</w:t>
      </w:r>
      <w:r w:rsidRPr="00314D01">
        <w:t>т</w:t>
      </w:r>
      <w:r w:rsidRPr="00314D01">
        <w:t>ветствии со своими национальными приоритетами.</w:t>
      </w:r>
    </w:p>
    <w:p w:rsidR="004B23F7" w:rsidRDefault="005C379D" w:rsidP="0023247F">
      <w:pPr>
        <w:pStyle w:val="H4GR"/>
      </w:pPr>
      <w:r>
        <w:tab/>
      </w:r>
      <w:r w:rsidRPr="00314D01">
        <w:tab/>
        <w:t>Рекомендация</w:t>
      </w:r>
    </w:p>
    <w:p w:rsidR="005C379D" w:rsidRPr="00314D01" w:rsidRDefault="005C379D" w:rsidP="0023247F">
      <w:pPr>
        <w:pStyle w:val="SingleTxtGR"/>
      </w:pPr>
      <w:r w:rsidRPr="00314D01">
        <w:t>6</w:t>
      </w:r>
      <w:r w:rsidR="00192304" w:rsidRPr="00192304">
        <w:t>2</w:t>
      </w:r>
      <w:r w:rsidRPr="00314D01">
        <w:t>.</w:t>
      </w:r>
      <w:r w:rsidRPr="00314D01">
        <w:tab/>
        <w:t>Сторонам следует представить ответы на следующие вопросы:</w:t>
      </w:r>
    </w:p>
    <w:p w:rsidR="005C379D" w:rsidRPr="00314D01" w:rsidRDefault="005C379D" w:rsidP="0023247F">
      <w:pPr>
        <w:pStyle w:val="SingleTxtGR"/>
      </w:pPr>
      <w:r w:rsidRPr="00314D01">
        <w:tab/>
        <w:t>а)</w:t>
      </w:r>
      <w:r w:rsidRPr="00314D01">
        <w:tab/>
        <w:t xml:space="preserve">Размещены ли данные о выбросах из диффузных источников на </w:t>
      </w:r>
      <w:proofErr w:type="gramStart"/>
      <w:r w:rsidRPr="00314D01">
        <w:t>д</w:t>
      </w:r>
      <w:r w:rsidRPr="00314D01">
        <w:t>о</w:t>
      </w:r>
      <w:r w:rsidRPr="00314D01">
        <w:t>полнительной</w:t>
      </w:r>
      <w:proofErr w:type="gramEnd"/>
      <w:r w:rsidRPr="00314D01">
        <w:t xml:space="preserve"> веб-странице (дополнительных страницах) или непосредственно включены в регистр?</w:t>
      </w:r>
    </w:p>
    <w:p w:rsidR="005C379D" w:rsidRPr="00314D01" w:rsidRDefault="005C379D" w:rsidP="0023247F">
      <w:pPr>
        <w:pStyle w:val="SingleTxtGR"/>
      </w:pPr>
      <w:r w:rsidRPr="00314D01">
        <w:tab/>
        <w:t>b)</w:t>
      </w:r>
      <w:r w:rsidRPr="00314D01">
        <w:tab/>
        <w:t>Какие диффузные источники охвачены? К каким средам и секторам они относятся (например, к домохозяйствам, дорожному движению, сельскому хозяйству)?</w:t>
      </w:r>
    </w:p>
    <w:p w:rsidR="005C379D" w:rsidRPr="00314D01" w:rsidRDefault="005C379D" w:rsidP="0023247F">
      <w:pPr>
        <w:pStyle w:val="SingleTxtGR"/>
      </w:pPr>
      <w:r w:rsidRPr="00314D01">
        <w:tab/>
        <w:t>с)</w:t>
      </w:r>
      <w:r w:rsidRPr="00314D01">
        <w:tab/>
        <w:t>Какие базовые</w:t>
      </w:r>
      <w:r w:rsidR="004B23F7">
        <w:t xml:space="preserve"> </w:t>
      </w:r>
      <w:r>
        <w:t>год</w:t>
      </w:r>
      <w:r w:rsidRPr="00314D01">
        <w:t>ы приняты для охваченных источников?</w:t>
      </w:r>
    </w:p>
    <w:p w:rsidR="005C379D" w:rsidRPr="00314D01" w:rsidRDefault="005C379D" w:rsidP="0023247F">
      <w:pPr>
        <w:pStyle w:val="SingleTxtGR"/>
      </w:pPr>
      <w:r w:rsidRPr="00314D01">
        <w:tab/>
        <w:t>d)</w:t>
      </w:r>
      <w:r w:rsidRPr="00314D01">
        <w:tab/>
        <w:t xml:space="preserve">Какие </w:t>
      </w:r>
      <w:proofErr w:type="gramStart"/>
      <w:r w:rsidRPr="00314D01">
        <w:t>загрязнители</w:t>
      </w:r>
      <w:proofErr w:type="gramEnd"/>
      <w:r w:rsidRPr="00314D01">
        <w:t xml:space="preserve"> охвачены и по </w:t>
      </w:r>
      <w:proofErr w:type="gramStart"/>
      <w:r w:rsidRPr="00314D01">
        <w:t>каким</w:t>
      </w:r>
      <w:proofErr w:type="gramEnd"/>
      <w:r w:rsidRPr="00314D01">
        <w:t xml:space="preserve"> диффузным источникам?</w:t>
      </w:r>
    </w:p>
    <w:p w:rsidR="005C379D" w:rsidRPr="00314D01" w:rsidRDefault="005C379D" w:rsidP="0023247F">
      <w:pPr>
        <w:pStyle w:val="SingleTxtGR"/>
      </w:pPr>
      <w:r w:rsidRPr="00314D01">
        <w:lastRenderedPageBreak/>
        <w:tab/>
        <w:t>е)</w:t>
      </w:r>
      <w:r w:rsidRPr="00314D01">
        <w:tab/>
        <w:t xml:space="preserve">Какой </w:t>
      </w:r>
      <w:r>
        <w:t xml:space="preserve">используется </w:t>
      </w:r>
      <w:r w:rsidRPr="00314D01">
        <w:t>метод территориальн</w:t>
      </w:r>
      <w:r>
        <w:t>о</w:t>
      </w:r>
      <w:r w:rsidRPr="00314D01">
        <w:t>-пространственной ра</w:t>
      </w:r>
      <w:r w:rsidRPr="00314D01">
        <w:t>з</w:t>
      </w:r>
      <w:r w:rsidRPr="00314D01">
        <w:t>бивк</w:t>
      </w:r>
      <w:r>
        <w:t>и</w:t>
      </w:r>
      <w:r w:rsidRPr="00314D01">
        <w:t>?</w:t>
      </w:r>
    </w:p>
    <w:p w:rsidR="004B23F7" w:rsidRDefault="005C379D" w:rsidP="0023247F">
      <w:pPr>
        <w:pStyle w:val="SingleTxtGR"/>
      </w:pPr>
      <w:r w:rsidRPr="00314D01">
        <w:tab/>
      </w:r>
      <w:r w:rsidRPr="00314D01">
        <w:rPr>
          <w:lang w:val="en-US"/>
        </w:rPr>
        <w:t>f</w:t>
      </w:r>
      <w:r w:rsidRPr="00314D01">
        <w:t>)</w:t>
      </w:r>
      <w:r w:rsidRPr="00314D01">
        <w:tab/>
        <w:t>Если до сих пор данные о выбросах из диффузных источников не включаются, укажите</w:t>
      </w:r>
      <w:r>
        <w:t xml:space="preserve">, какие были </w:t>
      </w:r>
      <w:r w:rsidRPr="00314D01">
        <w:t xml:space="preserve">приняты меры, </w:t>
      </w:r>
      <w:r>
        <w:t>с тем чтобы начать</w:t>
      </w:r>
      <w:r w:rsidRPr="00314D01">
        <w:t xml:space="preserve"> их вкл</w:t>
      </w:r>
      <w:r w:rsidRPr="00314D01">
        <w:t>ю</w:t>
      </w:r>
      <w:r w:rsidRPr="00314D01">
        <w:t>чени</w:t>
      </w:r>
      <w:r>
        <w:t>е и каковы</w:t>
      </w:r>
      <w:r w:rsidRPr="00314D01">
        <w:t xml:space="preserve"> сроки, предусмотренные для их включения и раз</w:t>
      </w:r>
      <w:r>
        <w:t>вития данной деятельности</w:t>
      </w:r>
      <w:r w:rsidRPr="00314D01">
        <w:t>?</w:t>
      </w:r>
    </w:p>
    <w:p w:rsidR="004B23F7" w:rsidRDefault="005C379D" w:rsidP="0023247F">
      <w:pPr>
        <w:pStyle w:val="H4GR"/>
      </w:pPr>
      <w:r>
        <w:tab/>
      </w:r>
      <w:r w:rsidRPr="00314D01">
        <w:tab/>
        <w:t>От</w:t>
      </w:r>
      <w:r>
        <w:t>дельные виды</w:t>
      </w:r>
      <w:r w:rsidRPr="00314D01">
        <w:t xml:space="preserve"> надлежащ</w:t>
      </w:r>
      <w:r>
        <w:t>ей</w:t>
      </w:r>
      <w:r w:rsidRPr="00314D01">
        <w:t xml:space="preserve"> практик</w:t>
      </w:r>
      <w:r>
        <w:t>и</w:t>
      </w:r>
      <w:r w:rsidRPr="00314D01">
        <w:t xml:space="preserve"> представления отчетности</w:t>
      </w:r>
    </w:p>
    <w:p w:rsidR="004B23F7" w:rsidRDefault="005C379D" w:rsidP="0023247F">
      <w:pPr>
        <w:pStyle w:val="SingleTxtGR"/>
      </w:pPr>
      <w:r w:rsidRPr="00314D01">
        <w:t>6</w:t>
      </w:r>
      <w:r w:rsidR="00192304" w:rsidRPr="00192304">
        <w:t>3</w:t>
      </w:r>
      <w:r w:rsidRPr="00314D01">
        <w:t>.</w:t>
      </w:r>
      <w:r w:rsidRPr="00314D01">
        <w:tab/>
        <w:t>В отчетности о диффузных источниках надлежащей практикой для Ст</w:t>
      </w:r>
      <w:r w:rsidRPr="00314D01">
        <w:t>о</w:t>
      </w:r>
      <w:r w:rsidRPr="00314D01">
        <w:t>рон является представление краткого описания принятого ими подхода и и</w:t>
      </w:r>
      <w:r w:rsidRPr="00314D01">
        <w:t>с</w:t>
      </w:r>
      <w:r w:rsidRPr="00314D01">
        <w:t xml:space="preserve">пользование приведенных в рекомендациях выше </w:t>
      </w:r>
      <w:proofErr w:type="spellStart"/>
      <w:r w:rsidRPr="00314D01">
        <w:t>подвопросов</w:t>
      </w:r>
      <w:proofErr w:type="spellEnd"/>
      <w:r w:rsidRPr="00314D01">
        <w:t xml:space="preserve"> как руководства для представления ими соответствующей подробной информации.</w:t>
      </w:r>
    </w:p>
    <w:p w:rsidR="004B23F7" w:rsidRDefault="005C379D" w:rsidP="0023247F">
      <w:pPr>
        <w:pStyle w:val="H23GR"/>
      </w:pPr>
      <w:r>
        <w:tab/>
      </w:r>
      <w:r w:rsidRPr="00314D01">
        <w:tab/>
        <w:t xml:space="preserve">Методологии, используемые для диффузных источников – </w:t>
      </w:r>
      <w:proofErr w:type="spellStart"/>
      <w:r w:rsidRPr="00314D01">
        <w:t>подвопрос</w:t>
      </w:r>
      <w:proofErr w:type="spellEnd"/>
      <w:r w:rsidRPr="00314D01">
        <w:t xml:space="preserve"> i)</w:t>
      </w:r>
    </w:p>
    <w:p w:rsidR="004B23F7" w:rsidRDefault="005C379D" w:rsidP="0023247F">
      <w:pPr>
        <w:pStyle w:val="SingleTxtGR"/>
      </w:pPr>
      <w:r w:rsidRPr="00314D01">
        <w:t>6</w:t>
      </w:r>
      <w:r w:rsidR="00192304" w:rsidRPr="00192304">
        <w:t>4</w:t>
      </w:r>
      <w:r w:rsidRPr="00314D01">
        <w:t>.</w:t>
      </w:r>
      <w:r w:rsidRPr="00314D01">
        <w:tab/>
      </w:r>
      <w:r>
        <w:t>Д</w:t>
      </w:r>
      <w:r w:rsidRPr="00314D01">
        <w:t>ля каждого диффузного источника и каждого загрязнителя</w:t>
      </w:r>
      <w:r>
        <w:t>,</w:t>
      </w:r>
      <w:r w:rsidRPr="00314D01">
        <w:t xml:space="preserve"> </w:t>
      </w:r>
      <w:r>
        <w:t xml:space="preserve">возможно, </w:t>
      </w:r>
      <w:r w:rsidRPr="00314D01">
        <w:t>необходима конкретная методология. Например</w:t>
      </w:r>
      <w:r>
        <w:t>,</w:t>
      </w:r>
      <w:r w:rsidRPr="00314D01">
        <w:t xml:space="preserve"> это касается данных о выбр</w:t>
      </w:r>
      <w:r w:rsidRPr="00314D01">
        <w:t>о</w:t>
      </w:r>
      <w:r w:rsidRPr="00314D01">
        <w:t>сах из диффузных источников, которые уже подготовлены в связи с выполнен</w:t>
      </w:r>
      <w:r w:rsidRPr="00314D01">
        <w:t>и</w:t>
      </w:r>
      <w:r w:rsidRPr="00314D01">
        <w:t>ем других обязательств по представлению данных, либо собраны для исслед</w:t>
      </w:r>
      <w:r w:rsidRPr="00314D01">
        <w:t>о</w:t>
      </w:r>
      <w:r w:rsidRPr="00314D01">
        <w:t xml:space="preserve">вательского проекта, в </w:t>
      </w:r>
      <w:proofErr w:type="gramStart"/>
      <w:r w:rsidRPr="00314D01">
        <w:t>связи</w:t>
      </w:r>
      <w:proofErr w:type="gramEnd"/>
      <w:r w:rsidRPr="00314D01">
        <w:t xml:space="preserve"> с чем соответствующая методология уже может быть надлежащим образом описана. </w:t>
      </w:r>
      <w:proofErr w:type="gramStart"/>
      <w:r w:rsidRPr="00314D01">
        <w:t>Для нескольких диффузных источников наличие методологии является частью соответствующего обязательства по представлению отчетности (например</w:t>
      </w:r>
      <w:r>
        <w:t>,</w:t>
      </w:r>
      <w:r w:rsidRPr="00314D01">
        <w:t xml:space="preserve"> см. базу данных Совместной программы наблюдения и</w:t>
      </w:r>
      <w:r>
        <w:t xml:space="preserve"> </w:t>
      </w:r>
      <w:r w:rsidRPr="00314D01">
        <w:t>оценки распространения загрязнителей воздуха на большие ра</w:t>
      </w:r>
      <w:r w:rsidRPr="00314D01">
        <w:t>с</w:t>
      </w:r>
      <w:r w:rsidRPr="00314D01">
        <w:t>стояния в Европе (ЕМЕП)</w:t>
      </w:r>
      <w:r w:rsidRPr="006E42BF">
        <w:rPr>
          <w:vertAlign w:val="superscript"/>
        </w:rPr>
        <w:footnoteReference w:id="7"/>
      </w:r>
      <w:r w:rsidRPr="00314D01">
        <w:t>, при этом она подробно описана в соответствующих правилах, регулирующих представление отчетности.</w:t>
      </w:r>
      <w:proofErr w:type="gramEnd"/>
      <w:r w:rsidRPr="00314D01">
        <w:t xml:space="preserve"> В отчетности по Проток</w:t>
      </w:r>
      <w:r w:rsidRPr="00314D01">
        <w:t>о</w:t>
      </w:r>
      <w:r w:rsidRPr="00314D01">
        <w:t>лу Сторонам следует упомянуть о том, где используются такие методологии.</w:t>
      </w:r>
    </w:p>
    <w:p w:rsidR="004B23F7" w:rsidRDefault="005C379D" w:rsidP="0023247F">
      <w:pPr>
        <w:pStyle w:val="H4GR"/>
      </w:pPr>
      <w:r>
        <w:tab/>
      </w:r>
      <w:r w:rsidRPr="00314D01">
        <w:tab/>
        <w:t>Рекомендация</w:t>
      </w:r>
    </w:p>
    <w:p w:rsidR="004B23F7" w:rsidRDefault="005C379D" w:rsidP="0023247F">
      <w:pPr>
        <w:pStyle w:val="SingleTxtGR"/>
      </w:pPr>
      <w:r w:rsidRPr="00314D01">
        <w:t>6</w:t>
      </w:r>
      <w:r w:rsidR="00192304" w:rsidRPr="00192304">
        <w:t>5</w:t>
      </w:r>
      <w:r w:rsidRPr="00314D01">
        <w:t>.</w:t>
      </w:r>
      <w:r w:rsidRPr="00314D01">
        <w:tab/>
        <w:t>Для тех, кто лишь приступает к представлению отчетности о выбросах из диффузных источников, было бы полезно привести краткое пояснение на пр</w:t>
      </w:r>
      <w:r w:rsidRPr="00314D01">
        <w:t>о</w:t>
      </w:r>
      <w:r w:rsidRPr="00314D01">
        <w:t>стом для восприятия языке и/или ссылку на имеющуюся документацию в о</w:t>
      </w:r>
      <w:r w:rsidRPr="00314D01">
        <w:t>т</w:t>
      </w:r>
      <w:r w:rsidRPr="00314D01">
        <w:t>ношении каждого диффузного источника и загрязнителя. По новым методол</w:t>
      </w:r>
      <w:r w:rsidRPr="00314D01">
        <w:t>о</w:t>
      </w:r>
      <w:r w:rsidRPr="00314D01">
        <w:t>гиям, например по методологиям, примененным в исследовательских проектах, для других Сторон был бы полезен дополнительный краткий текст с пояснен</w:t>
      </w:r>
      <w:r w:rsidRPr="00314D01">
        <w:t>и</w:t>
      </w:r>
      <w:r w:rsidRPr="00314D01">
        <w:t>ями, включающий ссылки на документы.</w:t>
      </w:r>
    </w:p>
    <w:p w:rsidR="004B23F7" w:rsidRDefault="005C379D" w:rsidP="0023247F">
      <w:pPr>
        <w:pStyle w:val="H4GR"/>
      </w:pPr>
      <w:r>
        <w:tab/>
      </w:r>
      <w:r w:rsidRPr="00314D01">
        <w:tab/>
        <w:t>От</w:t>
      </w:r>
      <w:r>
        <w:t>дельные виды</w:t>
      </w:r>
      <w:r w:rsidRPr="00314D01">
        <w:t xml:space="preserve"> надлежащ</w:t>
      </w:r>
      <w:r>
        <w:t>ей</w:t>
      </w:r>
      <w:r w:rsidRPr="00314D01">
        <w:t xml:space="preserve"> практик</w:t>
      </w:r>
      <w:r>
        <w:t>и</w:t>
      </w:r>
      <w:r w:rsidRPr="00314D01">
        <w:t xml:space="preserve"> представления отчетности</w:t>
      </w:r>
    </w:p>
    <w:p w:rsidR="004B23F7" w:rsidRDefault="005C379D" w:rsidP="0023247F">
      <w:pPr>
        <w:pStyle w:val="SingleTxtGR"/>
      </w:pPr>
      <w:r w:rsidRPr="00314D01">
        <w:t>6</w:t>
      </w:r>
      <w:r w:rsidR="00192304" w:rsidRPr="00192304">
        <w:t>6</w:t>
      </w:r>
      <w:r w:rsidRPr="00314D01">
        <w:t>.</w:t>
      </w:r>
      <w:r w:rsidRPr="00314D01">
        <w:tab/>
        <w:t>В отчетности о методологиях, использованных для представления отче</w:t>
      </w:r>
      <w:r w:rsidRPr="00314D01">
        <w:t>т</w:t>
      </w:r>
      <w:r w:rsidRPr="00314D01">
        <w:t>ности о диффузных источниках, надлежащей практикой для Сторон явилось бы представление краткого описания принятого ими подхода и использование пр</w:t>
      </w:r>
      <w:r w:rsidRPr="00314D01">
        <w:t>и</w:t>
      </w:r>
      <w:r w:rsidRPr="00314D01">
        <w:t>веденных выше рекомендаций как руководства для представления ими соотве</w:t>
      </w:r>
      <w:r w:rsidRPr="00314D01">
        <w:t>т</w:t>
      </w:r>
      <w:r w:rsidRPr="00314D01">
        <w:t>ствующей информации.</w:t>
      </w:r>
    </w:p>
    <w:p w:rsidR="004B23F7" w:rsidRDefault="005C379D" w:rsidP="0023247F">
      <w:pPr>
        <w:pStyle w:val="H1GR"/>
      </w:pPr>
      <w:r w:rsidRPr="00314D01">
        <w:lastRenderedPageBreak/>
        <w:tab/>
        <w:t>С.</w:t>
      </w:r>
      <w:r w:rsidRPr="00314D01">
        <w:tab/>
        <w:t>Цикл представления отчетности – статья 8</w:t>
      </w:r>
    </w:p>
    <w:p w:rsidR="004B23F7" w:rsidRDefault="005C379D" w:rsidP="0023247F">
      <w:pPr>
        <w:pStyle w:val="H23GR"/>
      </w:pPr>
      <w:r>
        <w:tab/>
      </w:r>
      <w:r w:rsidRPr="00314D01">
        <w:tab/>
        <w:t xml:space="preserve">Предельные сроки представления отчетности – </w:t>
      </w:r>
      <w:proofErr w:type="spellStart"/>
      <w:r w:rsidRPr="00314D01">
        <w:t>подвопрос</w:t>
      </w:r>
      <w:proofErr w:type="spellEnd"/>
      <w:r w:rsidRPr="00314D01">
        <w:t xml:space="preserve"> b)</w:t>
      </w:r>
    </w:p>
    <w:p w:rsidR="004B23F7" w:rsidRDefault="00192304" w:rsidP="0023247F">
      <w:pPr>
        <w:pStyle w:val="SingleTxtGR"/>
      </w:pPr>
      <w:r w:rsidRPr="00192304">
        <w:t>67</w:t>
      </w:r>
      <w:r w:rsidR="005C379D" w:rsidRPr="00314D01">
        <w:t>.</w:t>
      </w:r>
      <w:r w:rsidR="005C379D" w:rsidRPr="00314D01">
        <w:tab/>
        <w:t>В ответах на вопрос 8 в ходе цикла представления отчетности 2014</w:t>
      </w:r>
      <w:r w:rsidR="004B23F7">
        <w:t xml:space="preserve"> </w:t>
      </w:r>
      <w:r w:rsidR="005C379D">
        <w:t>год</w:t>
      </w:r>
      <w:r w:rsidR="005C379D" w:rsidRPr="00314D01">
        <w:t>а ряд Сторон дал</w:t>
      </w:r>
      <w:r w:rsidR="005C379D">
        <w:t>и</w:t>
      </w:r>
      <w:r w:rsidR="005C379D" w:rsidRPr="00314D01">
        <w:t xml:space="preserve"> краткий ответ без описания соответствующих правовых тр</w:t>
      </w:r>
      <w:r w:rsidR="005C379D" w:rsidRPr="00314D01">
        <w:t>е</w:t>
      </w:r>
      <w:r w:rsidR="005C379D" w:rsidRPr="00314D01">
        <w:t>бований, в то время как другие Стороны описали правовую базу, относящуюся к</w:t>
      </w:r>
      <w:r w:rsidR="005C379D">
        <w:t xml:space="preserve"> </w:t>
      </w:r>
      <w:r w:rsidR="005C379D" w:rsidRPr="00314D01">
        <w:t>определению предельных сроков представления отчетности. Комитет счел, что установленные на национальном уровне предельные сроки представления отчетности должны быть закреплены в юридически обязывающем документе.</w:t>
      </w:r>
    </w:p>
    <w:p w:rsidR="004B23F7" w:rsidRDefault="005C379D" w:rsidP="0023247F">
      <w:pPr>
        <w:pStyle w:val="H4GR"/>
      </w:pPr>
      <w:r>
        <w:tab/>
      </w:r>
      <w:r w:rsidRPr="00314D01">
        <w:tab/>
        <w:t>Рекомендация</w:t>
      </w:r>
    </w:p>
    <w:p w:rsidR="004B23F7" w:rsidRDefault="00192304" w:rsidP="0023247F">
      <w:pPr>
        <w:pStyle w:val="SingleTxtGR"/>
      </w:pPr>
      <w:r w:rsidRPr="00192304">
        <w:t>68</w:t>
      </w:r>
      <w:r w:rsidR="005C379D" w:rsidRPr="00314D01">
        <w:t>.</w:t>
      </w:r>
      <w:r w:rsidR="005C379D" w:rsidRPr="00314D01">
        <w:tab/>
        <w:t>Сторонам следует указать законодательные и нормативные меры, предп</w:t>
      </w:r>
      <w:r w:rsidR="005C379D" w:rsidRPr="00314D01">
        <w:t>и</w:t>
      </w:r>
      <w:r w:rsidR="005C379D" w:rsidRPr="00314D01">
        <w:t>сывающие предельные сроки, к которым владельцы или операторы объектов обязаны представлять отчетность компетентному органу.</w:t>
      </w:r>
    </w:p>
    <w:p w:rsidR="004B23F7" w:rsidRDefault="005C379D" w:rsidP="0023247F">
      <w:pPr>
        <w:pStyle w:val="H4GR"/>
      </w:pPr>
      <w:r>
        <w:tab/>
      </w:r>
      <w:r w:rsidRPr="00314D01">
        <w:tab/>
        <w:t>От</w:t>
      </w:r>
      <w:r>
        <w:t>дельные виды</w:t>
      </w:r>
      <w:r w:rsidRPr="00314D01">
        <w:t xml:space="preserve"> надлежащ</w:t>
      </w:r>
      <w:r>
        <w:t>ей</w:t>
      </w:r>
      <w:r w:rsidRPr="00314D01">
        <w:t xml:space="preserve"> практик</w:t>
      </w:r>
      <w:r>
        <w:t>и</w:t>
      </w:r>
      <w:r w:rsidRPr="00314D01">
        <w:t xml:space="preserve"> представления отчетности</w:t>
      </w:r>
    </w:p>
    <w:p w:rsidR="004B23F7" w:rsidRDefault="00192304" w:rsidP="0023247F">
      <w:pPr>
        <w:pStyle w:val="SingleTxtGR"/>
      </w:pPr>
      <w:r w:rsidRPr="00192304">
        <w:t>69</w:t>
      </w:r>
      <w:r w:rsidR="005C379D" w:rsidRPr="00314D01">
        <w:t>.</w:t>
      </w:r>
      <w:r w:rsidR="005C379D" w:rsidRPr="00314D01">
        <w:tab/>
      </w:r>
      <w:proofErr w:type="gramStart"/>
      <w:r w:rsidR="005C379D" w:rsidRPr="00314D01">
        <w:t>Надлежащая практика для отчетности о предельных сроках представл</w:t>
      </w:r>
      <w:r w:rsidR="005C379D" w:rsidRPr="00314D01">
        <w:t>е</w:t>
      </w:r>
      <w:r w:rsidR="005C379D" w:rsidRPr="00314D01">
        <w:t>ния отчетности заключается в указании соответствующих законодательных мер (например, см. НДР, представленные бывшей югославской Республикой Мак</w:t>
      </w:r>
      <w:r w:rsidR="005C379D" w:rsidRPr="00314D01">
        <w:t>е</w:t>
      </w:r>
      <w:r w:rsidR="005C379D" w:rsidRPr="00314D01">
        <w:t>дония, Германией, Данией, Ирландией, Испанией, Литвой, Нидерландами, По</w:t>
      </w:r>
      <w:r w:rsidR="005C379D" w:rsidRPr="00314D01">
        <w:t>р</w:t>
      </w:r>
      <w:r w:rsidR="005C379D" w:rsidRPr="00314D01">
        <w:t>тугалией или Румынией), а также в представлении подробной информации, в частности о том, где опубликованы положения о предельных сроках, об охвате на разных уровнях (национальном, локальном) и графике представления отче</w:t>
      </w:r>
      <w:r w:rsidR="005C379D" w:rsidRPr="00314D01">
        <w:t>т</w:t>
      </w:r>
      <w:r w:rsidR="005C379D" w:rsidRPr="00314D01">
        <w:t>ности.</w:t>
      </w:r>
      <w:proofErr w:type="gramEnd"/>
    </w:p>
    <w:p w:rsidR="004B23F7" w:rsidRDefault="005C379D" w:rsidP="0023247F">
      <w:pPr>
        <w:pStyle w:val="H23GR"/>
      </w:pPr>
      <w:r>
        <w:tab/>
      </w:r>
      <w:r w:rsidRPr="00314D01">
        <w:tab/>
        <w:t xml:space="preserve">Предельный срок для предоставления доступа общественности к данным – </w:t>
      </w:r>
      <w:proofErr w:type="spellStart"/>
      <w:r w:rsidRPr="00314D01">
        <w:t>подвопрос</w:t>
      </w:r>
      <w:proofErr w:type="spellEnd"/>
      <w:r w:rsidRPr="00314D01">
        <w:t xml:space="preserve"> с)</w:t>
      </w:r>
    </w:p>
    <w:p w:rsidR="004B23F7" w:rsidRDefault="005C379D" w:rsidP="0023247F">
      <w:pPr>
        <w:pStyle w:val="SingleTxtGR"/>
      </w:pPr>
      <w:r w:rsidRPr="00314D01">
        <w:t>7</w:t>
      </w:r>
      <w:r w:rsidR="00192304" w:rsidRPr="00192304">
        <w:t>0</w:t>
      </w:r>
      <w:r w:rsidRPr="00314D01">
        <w:t>.</w:t>
      </w:r>
      <w:r w:rsidRPr="00314D01">
        <w:tab/>
        <w:t>В целях предоставления общественности обновленной информации о в</w:t>
      </w:r>
      <w:r w:rsidRPr="00314D01">
        <w:t>ы</w:t>
      </w:r>
      <w:r w:rsidRPr="00314D01">
        <w:t>бросах и переносах загрязнителей Протоколом установлен максимальный пр</w:t>
      </w:r>
      <w:r w:rsidRPr="00314D01">
        <w:t>е</w:t>
      </w:r>
      <w:r w:rsidRPr="00314D01">
        <w:t>дельный срок, составляющий 15 месяцев после завершения отчетного</w:t>
      </w:r>
      <w:r w:rsidR="004B23F7">
        <w:t xml:space="preserve"> </w:t>
      </w:r>
      <w:r>
        <w:t>год</w:t>
      </w:r>
      <w:r w:rsidRPr="00314D01">
        <w:t>а, для открытия доступа общественности к представленным данным, имеющимся в регистрах.</w:t>
      </w:r>
    </w:p>
    <w:p w:rsidR="004B23F7" w:rsidRDefault="005C379D" w:rsidP="0023247F">
      <w:pPr>
        <w:pStyle w:val="H4GR"/>
      </w:pPr>
      <w:r>
        <w:tab/>
      </w:r>
      <w:r w:rsidRPr="00314D01">
        <w:tab/>
        <w:t>Рекомендации</w:t>
      </w:r>
    </w:p>
    <w:p w:rsidR="005C379D" w:rsidRPr="00314D01" w:rsidRDefault="005C379D" w:rsidP="0023247F">
      <w:pPr>
        <w:pStyle w:val="SingleTxtGR"/>
      </w:pPr>
      <w:r w:rsidRPr="00314D01">
        <w:t>7</w:t>
      </w:r>
      <w:r w:rsidR="00192304" w:rsidRPr="00192304">
        <w:t>1</w:t>
      </w:r>
      <w:r w:rsidRPr="00314D01">
        <w:t>.</w:t>
      </w:r>
      <w:r w:rsidRPr="00314D01">
        <w:tab/>
        <w:t>Сторонам следует четко указать установленный национальным законод</w:t>
      </w:r>
      <w:r w:rsidRPr="00314D01">
        <w:t>а</w:t>
      </w:r>
      <w:r w:rsidRPr="00314D01">
        <w:t>тельством предельный срок для предоставления общественности доступа к данным.</w:t>
      </w:r>
    </w:p>
    <w:p w:rsidR="004B23F7" w:rsidRDefault="005C379D" w:rsidP="0023247F">
      <w:pPr>
        <w:pStyle w:val="SingleTxtGR"/>
      </w:pPr>
      <w:r w:rsidRPr="00314D01">
        <w:t>7</w:t>
      </w:r>
      <w:r w:rsidR="00192304" w:rsidRPr="00192304">
        <w:t>2</w:t>
      </w:r>
      <w:r w:rsidRPr="00314D01">
        <w:t>.</w:t>
      </w:r>
      <w:r w:rsidRPr="00314D01">
        <w:tab/>
        <w:t>В случае, когда Сторона не соблюдает установленный предельный срок, ей следует пояснить причины этого, а также проинформировать о принятых или запланированных мерах по обеспечению соблюдения предельного срока в б</w:t>
      </w:r>
      <w:r w:rsidRPr="00314D01">
        <w:t>у</w:t>
      </w:r>
      <w:r w:rsidRPr="00314D01">
        <w:t>дущем.</w:t>
      </w:r>
    </w:p>
    <w:p w:rsidR="004B23F7" w:rsidRDefault="005C379D" w:rsidP="0023247F">
      <w:pPr>
        <w:pStyle w:val="H4GR"/>
      </w:pPr>
      <w:r>
        <w:tab/>
      </w:r>
      <w:r w:rsidRPr="00314D01">
        <w:tab/>
        <w:t>От</w:t>
      </w:r>
      <w:r>
        <w:t>дельные виды</w:t>
      </w:r>
      <w:r w:rsidRPr="00314D01">
        <w:t xml:space="preserve"> надлежащ</w:t>
      </w:r>
      <w:r>
        <w:t>ей</w:t>
      </w:r>
      <w:r w:rsidRPr="00314D01">
        <w:t xml:space="preserve"> практик</w:t>
      </w:r>
      <w:r>
        <w:t>и</w:t>
      </w:r>
      <w:r w:rsidRPr="00314D01">
        <w:t xml:space="preserve"> представления отчетности</w:t>
      </w:r>
    </w:p>
    <w:p w:rsidR="005C379D" w:rsidRPr="00314D01" w:rsidRDefault="005C379D" w:rsidP="0023247F">
      <w:pPr>
        <w:pStyle w:val="SingleTxtGR"/>
      </w:pPr>
      <w:r w:rsidRPr="00314D01">
        <w:t>7</w:t>
      </w:r>
      <w:r w:rsidR="00192304" w:rsidRPr="00192304">
        <w:t>3</w:t>
      </w:r>
      <w:r w:rsidRPr="00314D01">
        <w:t>.</w:t>
      </w:r>
      <w:r w:rsidRPr="00314D01">
        <w:tab/>
        <w:t>Надлежащая практика представления отчетности в отношении предел</w:t>
      </w:r>
      <w:r w:rsidRPr="00314D01">
        <w:t>ь</w:t>
      </w:r>
      <w:r w:rsidRPr="00314D01">
        <w:t>ного срока для предоставления общественности доступа к данным включа</w:t>
      </w:r>
      <w:r>
        <w:t>е</w:t>
      </w:r>
      <w:r w:rsidRPr="00314D01">
        <w:t>т в себя:</w:t>
      </w:r>
    </w:p>
    <w:p w:rsidR="005C379D" w:rsidRPr="00314D01" w:rsidRDefault="005C379D" w:rsidP="0023247F">
      <w:pPr>
        <w:pStyle w:val="SingleTxtGR"/>
      </w:pPr>
      <w:r w:rsidRPr="00314D01">
        <w:tab/>
        <w:t>а)</w:t>
      </w:r>
      <w:r w:rsidRPr="00314D01">
        <w:tab/>
        <w:t>перечисление соответствующих законодательных мер, а также ук</w:t>
      </w:r>
      <w:r w:rsidRPr="00314D01">
        <w:t>а</w:t>
      </w:r>
      <w:r w:rsidRPr="00314D01">
        <w:t>зание ссылок на веб-сайты, на которых можно ознакомиться с ними;</w:t>
      </w:r>
    </w:p>
    <w:p w:rsidR="004B23F7" w:rsidRDefault="005C379D" w:rsidP="0023247F">
      <w:pPr>
        <w:pStyle w:val="SingleTxtGR"/>
      </w:pPr>
      <w:r w:rsidRPr="00314D01">
        <w:lastRenderedPageBreak/>
        <w:tab/>
        <w:t>b)</w:t>
      </w:r>
      <w:r w:rsidRPr="00314D01">
        <w:tab/>
        <w:t>представление примеров с указанием конкретных предельных ср</w:t>
      </w:r>
      <w:r w:rsidRPr="00314D01">
        <w:t>о</w:t>
      </w:r>
      <w:r w:rsidRPr="00314D01">
        <w:t>ков (например</w:t>
      </w:r>
      <w:r>
        <w:t>,</w:t>
      </w:r>
      <w:r w:rsidRPr="00314D01">
        <w:t xml:space="preserve"> см. НДО, представленный Германией).</w:t>
      </w:r>
    </w:p>
    <w:p w:rsidR="004B23F7" w:rsidRDefault="005C379D" w:rsidP="0023247F">
      <w:pPr>
        <w:pStyle w:val="H23GR"/>
      </w:pPr>
      <w:r>
        <w:tab/>
      </w:r>
      <w:r w:rsidRPr="00314D01">
        <w:tab/>
        <w:t xml:space="preserve">Соблюдение предельных сроков владельцами или операторами – </w:t>
      </w:r>
      <w:proofErr w:type="spellStart"/>
      <w:r w:rsidRPr="00314D01">
        <w:t>подвопрос</w:t>
      </w:r>
      <w:proofErr w:type="spellEnd"/>
      <w:r w:rsidR="004B23F7">
        <w:t xml:space="preserve"> </w:t>
      </w:r>
      <w:r w:rsidRPr="00314D01">
        <w:t>d)</w:t>
      </w:r>
    </w:p>
    <w:p w:rsidR="004B23F7" w:rsidRDefault="005C379D" w:rsidP="0077644F">
      <w:pPr>
        <w:pStyle w:val="SingleTxtGR"/>
      </w:pPr>
      <w:r w:rsidRPr="00314D01">
        <w:t>7</w:t>
      </w:r>
      <w:r w:rsidR="0077644F" w:rsidRPr="0077644F">
        <w:t>4</w:t>
      </w:r>
      <w:r w:rsidRPr="00314D01">
        <w:t>.</w:t>
      </w:r>
      <w:r w:rsidRPr="00314D01">
        <w:tab/>
        <w:t>Стороны представили такую информацию по практическим вопросам, связанным со способами представления отчетности владельцами или операт</w:t>
      </w:r>
      <w:r w:rsidRPr="00314D01">
        <w:t>о</w:t>
      </w:r>
      <w:r w:rsidRPr="00314D01">
        <w:t>рами, которая не позволяет провести обмен опытом в этой области.</w:t>
      </w:r>
    </w:p>
    <w:p w:rsidR="004B23F7" w:rsidRDefault="005C379D" w:rsidP="0023247F">
      <w:pPr>
        <w:pStyle w:val="H4GR"/>
      </w:pPr>
      <w:r>
        <w:tab/>
      </w:r>
      <w:r>
        <w:tab/>
      </w:r>
      <w:r w:rsidRPr="00314D01">
        <w:t>Рекомендация</w:t>
      </w:r>
    </w:p>
    <w:p w:rsidR="004B23F7" w:rsidRDefault="005C379D" w:rsidP="0023247F">
      <w:pPr>
        <w:pStyle w:val="SingleTxtGR"/>
      </w:pPr>
      <w:r w:rsidRPr="00314D01">
        <w:t>7</w:t>
      </w:r>
      <w:r w:rsidR="0077644F" w:rsidRPr="0077644F">
        <w:t>5</w:t>
      </w:r>
      <w:r w:rsidRPr="00314D01">
        <w:t>.</w:t>
      </w:r>
      <w:r w:rsidRPr="00314D01">
        <w:tab/>
        <w:t>Сторонам следует представить информацию о том, соблюдали ли вл</w:t>
      </w:r>
      <w:r w:rsidRPr="00314D01">
        <w:t>а</w:t>
      </w:r>
      <w:r w:rsidRPr="00314D01">
        <w:t xml:space="preserve">дельцы или операторы предельные сроки представления </w:t>
      </w:r>
      <w:proofErr w:type="gramStart"/>
      <w:r w:rsidRPr="00314D01">
        <w:t>отчетности</w:t>
      </w:r>
      <w:proofErr w:type="gramEnd"/>
      <w:r w:rsidRPr="00314D01">
        <w:t xml:space="preserve"> и была ли своевременно опубликована информация о них. В случае задержек с предста</w:t>
      </w:r>
      <w:r w:rsidRPr="00314D01">
        <w:t>в</w:t>
      </w:r>
      <w:r w:rsidRPr="00314D01">
        <w:t>лением отчетности Сторонам следует указать их причины, если они известны.</w:t>
      </w:r>
    </w:p>
    <w:p w:rsidR="004B23F7" w:rsidRDefault="005C379D" w:rsidP="0023247F">
      <w:pPr>
        <w:pStyle w:val="H4GR"/>
      </w:pPr>
      <w:r>
        <w:tab/>
      </w:r>
      <w:r w:rsidRPr="00C7286B">
        <w:tab/>
        <w:t>Отдельные виды надлежащей практики представления отчетности</w:t>
      </w:r>
    </w:p>
    <w:p w:rsidR="005C379D" w:rsidRPr="00314D01" w:rsidRDefault="005C379D" w:rsidP="0023247F">
      <w:pPr>
        <w:pStyle w:val="SingleTxtGR"/>
      </w:pPr>
      <w:r w:rsidRPr="00314D01">
        <w:t>7</w:t>
      </w:r>
      <w:r w:rsidR="0077644F" w:rsidRPr="0077644F">
        <w:t>6</w:t>
      </w:r>
      <w:r w:rsidRPr="00314D01">
        <w:t>.</w:t>
      </w:r>
      <w:r w:rsidRPr="00314D01">
        <w:tab/>
        <w:t>Надлежащая практика представления отчетности о соблюдении предел</w:t>
      </w:r>
      <w:r w:rsidRPr="00314D01">
        <w:t>ь</w:t>
      </w:r>
      <w:r w:rsidRPr="00314D01">
        <w:t>ных сроков операторами или владельцами включа</w:t>
      </w:r>
      <w:r>
        <w:t>е</w:t>
      </w:r>
      <w:r w:rsidRPr="00314D01">
        <w:t>т в себя:</w:t>
      </w:r>
    </w:p>
    <w:p w:rsidR="005C379D" w:rsidRPr="00314D01" w:rsidRDefault="005C379D" w:rsidP="0023247F">
      <w:pPr>
        <w:pStyle w:val="SingleTxtGR"/>
      </w:pPr>
      <w:r w:rsidRPr="00314D01">
        <w:tab/>
        <w:t>а)</w:t>
      </w:r>
      <w:r w:rsidRPr="00314D01">
        <w:tab/>
        <w:t>представление соответствующих статистических данных (напр</w:t>
      </w:r>
      <w:r w:rsidRPr="00314D01">
        <w:t>и</w:t>
      </w:r>
      <w:r w:rsidRPr="00314D01">
        <w:t>мер</w:t>
      </w:r>
      <w:r>
        <w:t>,</w:t>
      </w:r>
      <w:r w:rsidRPr="00314D01">
        <w:t xml:space="preserve"> см. НДО, представленный Израилем);</w:t>
      </w:r>
    </w:p>
    <w:p w:rsidR="005C379D" w:rsidRPr="00314D01" w:rsidRDefault="005C379D" w:rsidP="0023247F">
      <w:pPr>
        <w:pStyle w:val="SingleTxtGR"/>
      </w:pPr>
      <w:r w:rsidRPr="00314D01">
        <w:tab/>
        <w:t>b)</w:t>
      </w:r>
      <w:r w:rsidRPr="00314D01">
        <w:tab/>
        <w:t>представление информации о том, были ли преданы гласности, например на веб-сайте РВПЗ, такие сведения, относящиеся к отчетности, как требования к своевременности и полноте отчетности владельцев или операт</w:t>
      </w:r>
      <w:r w:rsidRPr="00314D01">
        <w:t>о</w:t>
      </w:r>
      <w:r w:rsidRPr="00314D01">
        <w:t xml:space="preserve">ров; </w:t>
      </w:r>
    </w:p>
    <w:p w:rsidR="004B23F7" w:rsidRDefault="005C379D" w:rsidP="0023247F">
      <w:pPr>
        <w:pStyle w:val="SingleTxtGR"/>
      </w:pPr>
      <w:r w:rsidRPr="00314D01">
        <w:tab/>
        <w:t>с)</w:t>
      </w:r>
      <w:r w:rsidRPr="00314D01">
        <w:tab/>
        <w:t>перечисление причин, если они известны, несоблюдения предел</w:t>
      </w:r>
      <w:r w:rsidRPr="00314D01">
        <w:t>ь</w:t>
      </w:r>
      <w:r w:rsidRPr="00314D01">
        <w:t>ных сроков (например</w:t>
      </w:r>
      <w:r>
        <w:t>,</w:t>
      </w:r>
      <w:r w:rsidRPr="00314D01">
        <w:t xml:space="preserve"> см. НДО, представленные Польшей или Хорватией).</w:t>
      </w:r>
    </w:p>
    <w:p w:rsidR="004B23F7" w:rsidRDefault="005C379D" w:rsidP="0023247F">
      <w:pPr>
        <w:pStyle w:val="H23GR"/>
      </w:pPr>
      <w:r>
        <w:tab/>
      </w:r>
      <w:r>
        <w:tab/>
      </w:r>
      <w:r w:rsidRPr="00314D01">
        <w:t xml:space="preserve">Представление отчетности в электронной форме – </w:t>
      </w:r>
      <w:proofErr w:type="spellStart"/>
      <w:r w:rsidRPr="00314D01">
        <w:t>подвопрос</w:t>
      </w:r>
      <w:proofErr w:type="spellEnd"/>
      <w:r w:rsidRPr="00314D01">
        <w:t xml:space="preserve"> е)</w:t>
      </w:r>
    </w:p>
    <w:p w:rsidR="004B23F7" w:rsidRDefault="0077644F" w:rsidP="0023247F">
      <w:pPr>
        <w:pStyle w:val="SingleTxtGR"/>
      </w:pPr>
      <w:r w:rsidRPr="0077644F">
        <w:t>77</w:t>
      </w:r>
      <w:r w:rsidR="005C379D" w:rsidRPr="00314D01">
        <w:t>.</w:t>
      </w:r>
      <w:r w:rsidR="005C379D" w:rsidRPr="00314D01">
        <w:tab/>
        <w:t>Представление отчетности в электронном формате могло бы оказаться весьма полезным, например для владельцев или операторов в связи с выполн</w:t>
      </w:r>
      <w:r w:rsidR="005C379D" w:rsidRPr="00314D01">
        <w:t>е</w:t>
      </w:r>
      <w:r w:rsidR="005C379D" w:rsidRPr="00314D01">
        <w:t>нием ими своих обязательств по представлению отчетности. Если Стороны представят дополнительную информацию о своих стратегиях в этой области, то появится возможность для углубления обмена информацией о подходах и акт</w:t>
      </w:r>
      <w:r w:rsidR="005C379D" w:rsidRPr="00314D01">
        <w:t>и</w:t>
      </w:r>
      <w:r w:rsidR="005C379D" w:rsidRPr="00314D01">
        <w:t>визации мер по осуществлению.</w:t>
      </w:r>
    </w:p>
    <w:p w:rsidR="004B23F7" w:rsidRDefault="005C379D" w:rsidP="0023247F">
      <w:pPr>
        <w:pStyle w:val="H4GR"/>
      </w:pPr>
      <w:r>
        <w:tab/>
      </w:r>
      <w:r w:rsidRPr="00314D01">
        <w:tab/>
        <w:t>Рекомендации</w:t>
      </w:r>
    </w:p>
    <w:p w:rsidR="005C379D" w:rsidRPr="00314D01" w:rsidRDefault="0077644F" w:rsidP="0023247F">
      <w:pPr>
        <w:pStyle w:val="SingleTxtGR"/>
      </w:pPr>
      <w:r w:rsidRPr="0077644F">
        <w:t>7</w:t>
      </w:r>
      <w:r w:rsidR="005C379D" w:rsidRPr="00314D01">
        <w:t>8.</w:t>
      </w:r>
      <w:r w:rsidR="005C379D" w:rsidRPr="00314D01">
        <w:tab/>
        <w:t>Сторонам следует указать, планируют ли они представлять всю отче</w:t>
      </w:r>
      <w:r w:rsidR="005C379D" w:rsidRPr="00314D01">
        <w:t>т</w:t>
      </w:r>
      <w:r w:rsidR="005C379D" w:rsidRPr="00314D01">
        <w:t>ность в электронной форме, а также сообщить, намереваются ли они достичь этой цели.</w:t>
      </w:r>
    </w:p>
    <w:p w:rsidR="004B23F7" w:rsidRDefault="0077644F" w:rsidP="0023247F">
      <w:pPr>
        <w:pStyle w:val="SingleTxtGR"/>
      </w:pPr>
      <w:r w:rsidRPr="0077644F">
        <w:t>79</w:t>
      </w:r>
      <w:r w:rsidR="005C379D" w:rsidRPr="00314D01">
        <w:t>.</w:t>
      </w:r>
      <w:r w:rsidR="005C379D" w:rsidRPr="00314D01">
        <w:tab/>
        <w:t>Сторонам следует проводить четкое различие между различными видами представления отчетности в электронной форме, например между онлайновой отчетностью через веб-страницу или электронным представлением сообща</w:t>
      </w:r>
      <w:r w:rsidR="005C379D" w:rsidRPr="00314D01">
        <w:t>е</w:t>
      </w:r>
      <w:r w:rsidR="005C379D" w:rsidRPr="00314D01">
        <w:t>мых данных с помощью, например электронной почты.</w:t>
      </w:r>
    </w:p>
    <w:p w:rsidR="004B23F7" w:rsidRDefault="005C379D" w:rsidP="0023247F">
      <w:pPr>
        <w:pStyle w:val="H4GR"/>
      </w:pPr>
      <w:r>
        <w:tab/>
      </w:r>
      <w:r w:rsidRPr="00FF7BF6">
        <w:tab/>
        <w:t>Отдельные виды надлежащей практики представления отчетности</w:t>
      </w:r>
    </w:p>
    <w:p w:rsidR="005C379D" w:rsidRPr="00314D01" w:rsidRDefault="005C379D" w:rsidP="0023247F">
      <w:pPr>
        <w:pStyle w:val="SingleTxtGR"/>
      </w:pPr>
      <w:r w:rsidRPr="00314D01">
        <w:t>8</w:t>
      </w:r>
      <w:r w:rsidR="0077644F" w:rsidRPr="0077644F">
        <w:t>0</w:t>
      </w:r>
      <w:r w:rsidRPr="00314D01">
        <w:t>.</w:t>
      </w:r>
      <w:r w:rsidRPr="00314D01">
        <w:tab/>
        <w:t>В ответах на вопросы о представлении отчетности в электронной форме надлежащая практика включа</w:t>
      </w:r>
      <w:r>
        <w:t>е</w:t>
      </w:r>
      <w:r w:rsidRPr="00314D01">
        <w:t>т в себя:</w:t>
      </w:r>
    </w:p>
    <w:p w:rsidR="005C379D" w:rsidRPr="00314D01" w:rsidRDefault="005C379D" w:rsidP="0023247F">
      <w:pPr>
        <w:pStyle w:val="SingleTxtGR"/>
      </w:pPr>
      <w:r w:rsidRPr="00314D01">
        <w:lastRenderedPageBreak/>
        <w:tab/>
        <w:t>а)</w:t>
      </w:r>
      <w:r w:rsidRPr="00314D01">
        <w:tab/>
        <w:t>информирование о соответствующих конкретных требованиях, например о том, является ли представление в онлайновом режиме обязател</w:t>
      </w:r>
      <w:r w:rsidRPr="00314D01">
        <w:t>ь</w:t>
      </w:r>
      <w:r w:rsidRPr="00314D01">
        <w:t>ным (хотя это требование и не предусмотрено Протоколом) (например</w:t>
      </w:r>
      <w:r>
        <w:t>,</w:t>
      </w:r>
      <w:r w:rsidRPr="00314D01">
        <w:t xml:space="preserve"> см. НДО, представленный Нидерландами);</w:t>
      </w:r>
    </w:p>
    <w:p w:rsidR="004B23F7" w:rsidRDefault="005C379D" w:rsidP="0023247F">
      <w:pPr>
        <w:pStyle w:val="SingleTxtGR"/>
      </w:pPr>
      <w:r w:rsidRPr="00314D01">
        <w:tab/>
        <w:t>b)</w:t>
      </w:r>
      <w:r w:rsidRPr="00314D01">
        <w:tab/>
        <w:t>указание возможных видов или процедур отчетности либо пре</w:t>
      </w:r>
      <w:r w:rsidRPr="00314D01">
        <w:t>д</w:t>
      </w:r>
      <w:r w:rsidRPr="00314D01">
        <w:t>ставлений, а также описание этих процедур и/или указание ссылок на соотве</w:t>
      </w:r>
      <w:r w:rsidRPr="00314D01">
        <w:t>т</w:t>
      </w:r>
      <w:r w:rsidRPr="00314D01">
        <w:t>ствующ</w:t>
      </w:r>
      <w:r>
        <w:t>и</w:t>
      </w:r>
      <w:r w:rsidRPr="00314D01">
        <w:t>е законодательство или нормативы. По возможности, по каждой пр</w:t>
      </w:r>
      <w:r w:rsidRPr="00314D01">
        <w:t>о</w:t>
      </w:r>
      <w:r w:rsidRPr="00314D01">
        <w:t xml:space="preserve">цедуре следует представить статистическую информацию. </w:t>
      </w:r>
    </w:p>
    <w:p w:rsidR="004B23F7" w:rsidRDefault="005C379D" w:rsidP="0023247F">
      <w:pPr>
        <w:pStyle w:val="H1GR"/>
      </w:pPr>
      <w:r>
        <w:tab/>
      </w:r>
      <w:r w:rsidRPr="00314D01">
        <w:t>D.</w:t>
      </w:r>
      <w:r w:rsidRPr="00314D01">
        <w:tab/>
        <w:t>Сбор данных и хранение документации – статья 9</w:t>
      </w:r>
    </w:p>
    <w:p w:rsidR="004B23F7" w:rsidRDefault="005C379D" w:rsidP="0023247F">
      <w:pPr>
        <w:pStyle w:val="SingleTxtGR"/>
      </w:pPr>
      <w:r w:rsidRPr="00314D01">
        <w:t>8</w:t>
      </w:r>
      <w:r w:rsidR="0077644F" w:rsidRPr="0077644F">
        <w:t>1</w:t>
      </w:r>
      <w:r w:rsidRPr="00314D01">
        <w:t>.</w:t>
      </w:r>
      <w:r w:rsidRPr="00314D01">
        <w:tab/>
        <w:t>Хотя соблюдение положений Протокола является одним из аспектов о</w:t>
      </w:r>
      <w:r w:rsidRPr="00314D01">
        <w:t>т</w:t>
      </w:r>
      <w:r w:rsidRPr="00314D01">
        <w:t>четности, многого удалось бы добиться благодаря обмену краткой и хорошо структурированной информацией о процессах, сопровождающих работу наци</w:t>
      </w:r>
      <w:r w:rsidRPr="00314D01">
        <w:t>о</w:t>
      </w:r>
      <w:r w:rsidRPr="00314D01">
        <w:t>нальных систем РВПЗ. Всеобъемлющий ответ на вопрос по статье 9, относ</w:t>
      </w:r>
      <w:r w:rsidRPr="00314D01">
        <w:t>я</w:t>
      </w:r>
      <w:r w:rsidRPr="00314D01">
        <w:t>щийся к</w:t>
      </w:r>
      <w:r w:rsidR="004B23F7">
        <w:t xml:space="preserve"> </w:t>
      </w:r>
      <w:r w:rsidRPr="00314D01">
        <w:t>практике сбора данных и хранения документов, мог бы помочь выя</w:t>
      </w:r>
      <w:r w:rsidRPr="00314D01">
        <w:t>в</w:t>
      </w:r>
      <w:r w:rsidRPr="00314D01">
        <w:t xml:space="preserve">лению надлежащей практики и облегчить эту работу. </w:t>
      </w:r>
    </w:p>
    <w:p w:rsidR="004B23F7" w:rsidRDefault="005C379D" w:rsidP="0023247F">
      <w:pPr>
        <w:pStyle w:val="H4GR"/>
      </w:pPr>
      <w:r>
        <w:tab/>
      </w:r>
      <w:r w:rsidRPr="00314D01">
        <w:tab/>
      </w:r>
      <w:r>
        <w:t>Рекомендации</w:t>
      </w:r>
    </w:p>
    <w:p w:rsidR="005C379D" w:rsidRPr="00314D01" w:rsidRDefault="005C379D" w:rsidP="0023247F">
      <w:pPr>
        <w:pStyle w:val="SingleTxtGR"/>
      </w:pPr>
      <w:r w:rsidRPr="00314D01">
        <w:t>8</w:t>
      </w:r>
      <w:r w:rsidR="0077644F" w:rsidRPr="0077644F">
        <w:t>2</w:t>
      </w:r>
      <w:r w:rsidRPr="00314D01">
        <w:t>.</w:t>
      </w:r>
      <w:r w:rsidRPr="00314D01">
        <w:tab/>
        <w:t>Сторонам следует представить краткое описание предписываемых зак</w:t>
      </w:r>
      <w:r w:rsidRPr="00314D01">
        <w:t>о</w:t>
      </w:r>
      <w:r w:rsidRPr="00314D01">
        <w:t>нодательством методологий, относящихся к сбору данных, в том числе к пр</w:t>
      </w:r>
      <w:r w:rsidRPr="00314D01">
        <w:t>о</w:t>
      </w:r>
      <w:r w:rsidRPr="00314D01">
        <w:t>цессу сбора данных и хранения документов. В рамках подготовки доклада сл</w:t>
      </w:r>
      <w:r w:rsidRPr="00314D01">
        <w:t>е</w:t>
      </w:r>
      <w:r w:rsidRPr="00314D01">
        <w:t xml:space="preserve">дует рассмотреть вопрос о том, использовался ли для сбора данных наилучший имеющийся метод и был ли он эффективно использован. </w:t>
      </w:r>
    </w:p>
    <w:p w:rsidR="005C379D" w:rsidRPr="00314D01" w:rsidRDefault="005C379D" w:rsidP="0023247F">
      <w:pPr>
        <w:pStyle w:val="SingleTxtGR"/>
      </w:pPr>
      <w:r w:rsidRPr="00314D01">
        <w:t>8</w:t>
      </w:r>
      <w:r w:rsidR="0077644F" w:rsidRPr="0077644F">
        <w:t>3</w:t>
      </w:r>
      <w:r w:rsidRPr="00314D01">
        <w:t>.</w:t>
      </w:r>
      <w:r w:rsidRPr="00314D01">
        <w:tab/>
        <w:t>Сторонам следует указать, в течение скольких лет оператор обязан хр</w:t>
      </w:r>
      <w:r w:rsidRPr="00314D01">
        <w:t>а</w:t>
      </w:r>
      <w:r w:rsidRPr="00314D01">
        <w:t>нить представленные данные.</w:t>
      </w:r>
    </w:p>
    <w:p w:rsidR="005C379D" w:rsidRDefault="005C379D" w:rsidP="0023247F">
      <w:pPr>
        <w:pStyle w:val="SingleTxtGR"/>
      </w:pPr>
      <w:r w:rsidRPr="00314D01">
        <w:t>8</w:t>
      </w:r>
      <w:r w:rsidR="0077644F" w:rsidRPr="0077644F">
        <w:t>4</w:t>
      </w:r>
      <w:r w:rsidRPr="00314D01">
        <w:t>.</w:t>
      </w:r>
      <w:r w:rsidRPr="00314D01">
        <w:tab/>
        <w:t xml:space="preserve">Сторонам следует представить подробную информацию </w:t>
      </w:r>
      <w:r>
        <w:t>о</w:t>
      </w:r>
      <w:r w:rsidRPr="00314D01">
        <w:t xml:space="preserve"> любых прим</w:t>
      </w:r>
      <w:r w:rsidRPr="00314D01">
        <w:t>е</w:t>
      </w:r>
      <w:r w:rsidRPr="00314D01">
        <w:t>ненных правовых санкци</w:t>
      </w:r>
      <w:r>
        <w:t>ях</w:t>
      </w:r>
      <w:r w:rsidRPr="00314D01">
        <w:t xml:space="preserve"> в случае непредставления операторами или вл</w:t>
      </w:r>
      <w:r w:rsidRPr="00314D01">
        <w:t>а</w:t>
      </w:r>
      <w:r w:rsidRPr="00314D01">
        <w:t>дельцами данных для РВПЗ.</w:t>
      </w:r>
    </w:p>
    <w:p w:rsidR="004B23F7" w:rsidRDefault="005C379D" w:rsidP="0023247F">
      <w:pPr>
        <w:pStyle w:val="SingleTxtGR"/>
      </w:pPr>
      <w:r w:rsidRPr="00B242DD">
        <w:t>8</w:t>
      </w:r>
      <w:r w:rsidR="0077644F" w:rsidRPr="0077644F">
        <w:t>5</w:t>
      </w:r>
      <w:r w:rsidRPr="00B242DD">
        <w:t>.</w:t>
      </w:r>
      <w:r w:rsidRPr="00B242DD">
        <w:tab/>
        <w:t>Сторонам следует проинформировать о распределении использ</w:t>
      </w:r>
      <w:r>
        <w:t>уемых</w:t>
      </w:r>
      <w:r w:rsidRPr="00B242DD">
        <w:t xml:space="preserve"> аналитических методов, например указать процентную долю данных, которые </w:t>
      </w:r>
      <w:proofErr w:type="gramStart"/>
      <w:r w:rsidRPr="00B242DD">
        <w:t>в</w:t>
      </w:r>
      <w:proofErr w:type="gramEnd"/>
      <w:r w:rsidRPr="00B242DD">
        <w:t xml:space="preserve"> </w:t>
      </w:r>
      <w:proofErr w:type="gramStart"/>
      <w:r w:rsidRPr="00B242DD">
        <w:t>их</w:t>
      </w:r>
      <w:proofErr w:type="gramEnd"/>
      <w:r w:rsidRPr="00B242DD">
        <w:t xml:space="preserve"> РВПЗ </w:t>
      </w:r>
      <w:r>
        <w:t>указаны как</w:t>
      </w:r>
      <w:r w:rsidRPr="00B242DD">
        <w:t xml:space="preserve"> измеренны</w:t>
      </w:r>
      <w:r>
        <w:t>е</w:t>
      </w:r>
      <w:r w:rsidRPr="00B242DD">
        <w:t xml:space="preserve"> (М), рассчитанны</w:t>
      </w:r>
      <w:r>
        <w:t>е</w:t>
      </w:r>
      <w:r w:rsidRPr="00B242DD">
        <w:t xml:space="preserve"> (С) или оцененны</w:t>
      </w:r>
      <w:r>
        <w:t>е</w:t>
      </w:r>
      <w:r w:rsidRPr="00B242DD">
        <w:t xml:space="preserve"> (E). </w:t>
      </w:r>
    </w:p>
    <w:p w:rsidR="004B23F7" w:rsidRDefault="005C379D" w:rsidP="004E4A67">
      <w:pPr>
        <w:pStyle w:val="H4GR"/>
      </w:pPr>
      <w:r>
        <w:tab/>
      </w:r>
      <w:r>
        <w:tab/>
      </w:r>
      <w:r w:rsidRPr="00B242DD">
        <w:t>От</w:t>
      </w:r>
      <w:r>
        <w:t>дельные виды</w:t>
      </w:r>
      <w:r w:rsidRPr="00B242DD">
        <w:t xml:space="preserve"> надлежащ</w:t>
      </w:r>
      <w:r>
        <w:t>ей</w:t>
      </w:r>
      <w:r w:rsidRPr="00B242DD">
        <w:t xml:space="preserve"> практик</w:t>
      </w:r>
      <w:r>
        <w:t>и</w:t>
      </w:r>
      <w:r w:rsidRPr="00B242DD">
        <w:t xml:space="preserve"> представления отчетности</w:t>
      </w:r>
    </w:p>
    <w:p w:rsidR="004B23F7" w:rsidRDefault="005C379D" w:rsidP="004E4A67">
      <w:pPr>
        <w:pStyle w:val="SingleTxtGR"/>
      </w:pPr>
      <w:r w:rsidRPr="00B242DD">
        <w:t>8</w:t>
      </w:r>
      <w:r w:rsidR="0077644F" w:rsidRPr="0077644F">
        <w:t>6</w:t>
      </w:r>
      <w:r w:rsidRPr="00B242DD">
        <w:t>.</w:t>
      </w:r>
      <w:r w:rsidRPr="00B242DD">
        <w:tab/>
        <w:t>Надлежащая практика представления отчетности о сборе данных и хр</w:t>
      </w:r>
      <w:r w:rsidRPr="00B242DD">
        <w:t>а</w:t>
      </w:r>
      <w:r w:rsidRPr="00B242DD">
        <w:t>нении документов заключается в представлении Сторонами краткого описания их подхода и использовании приведенных выше рекомендаций в качестве всп</w:t>
      </w:r>
      <w:r w:rsidRPr="00B242DD">
        <w:t>о</w:t>
      </w:r>
      <w:r w:rsidRPr="00B242DD">
        <w:t xml:space="preserve">могательного средства, </w:t>
      </w:r>
      <w:r>
        <w:t>обеспечивающего</w:t>
      </w:r>
      <w:r w:rsidRPr="00B242DD">
        <w:t xml:space="preserve"> представл</w:t>
      </w:r>
      <w:r>
        <w:t>ение</w:t>
      </w:r>
      <w:r w:rsidRPr="00B242DD">
        <w:t xml:space="preserve"> нужн</w:t>
      </w:r>
      <w:r>
        <w:t>ой</w:t>
      </w:r>
      <w:r w:rsidRPr="00B242DD">
        <w:t xml:space="preserve"> подробн</w:t>
      </w:r>
      <w:r>
        <w:t>ой</w:t>
      </w:r>
      <w:r w:rsidRPr="00B242DD">
        <w:t xml:space="preserve"> информаци</w:t>
      </w:r>
      <w:r>
        <w:t>и</w:t>
      </w:r>
      <w:r w:rsidRPr="00B242DD">
        <w:t xml:space="preserve">. </w:t>
      </w:r>
    </w:p>
    <w:p w:rsidR="004B23F7" w:rsidRDefault="005C379D" w:rsidP="004E4A67">
      <w:pPr>
        <w:pStyle w:val="H1GR"/>
      </w:pPr>
      <w:r>
        <w:tab/>
      </w:r>
      <w:r w:rsidRPr="00B242DD">
        <w:t>Е.</w:t>
      </w:r>
      <w:r w:rsidRPr="00B242DD">
        <w:tab/>
        <w:t>Оценка качества – статья 10</w:t>
      </w:r>
    </w:p>
    <w:p w:rsidR="004B23F7" w:rsidRDefault="0077644F" w:rsidP="004E4A67">
      <w:pPr>
        <w:pStyle w:val="SingleTxtGR"/>
      </w:pPr>
      <w:r w:rsidRPr="0077644F">
        <w:t>87</w:t>
      </w:r>
      <w:r w:rsidR="005C379D" w:rsidRPr="00B242DD">
        <w:t>.</w:t>
      </w:r>
      <w:r w:rsidR="005C379D" w:rsidRPr="00B242DD">
        <w:tab/>
        <w:t>Представление данных надлежащего качества является основной задачей. В</w:t>
      </w:r>
      <w:r w:rsidR="004B23F7">
        <w:t xml:space="preserve"> </w:t>
      </w:r>
      <w:r w:rsidR="005C379D" w:rsidRPr="00B242DD">
        <w:t>связи с представлением отчетности об осуществлении статьи 10 Стороны могли бы более эффективно использовать доклады об осуществлении в кач</w:t>
      </w:r>
      <w:r w:rsidR="005C379D" w:rsidRPr="00B242DD">
        <w:t>е</w:t>
      </w:r>
      <w:r w:rsidR="005C379D" w:rsidRPr="00B242DD">
        <w:t>стве основы для обмена знаниями и постановки проблемных вопросов о кач</w:t>
      </w:r>
      <w:r w:rsidR="005C379D" w:rsidRPr="00B242DD">
        <w:t>е</w:t>
      </w:r>
      <w:r w:rsidR="005C379D" w:rsidRPr="00B242DD">
        <w:t>стве данных.</w:t>
      </w:r>
    </w:p>
    <w:p w:rsidR="004B23F7" w:rsidRDefault="005C379D" w:rsidP="004E4A67">
      <w:pPr>
        <w:pStyle w:val="H4GR"/>
      </w:pPr>
      <w:r>
        <w:lastRenderedPageBreak/>
        <w:tab/>
      </w:r>
      <w:r>
        <w:tab/>
      </w:r>
      <w:r w:rsidRPr="00B242DD">
        <w:t>Рекомендации</w:t>
      </w:r>
    </w:p>
    <w:p w:rsidR="005C379D" w:rsidRPr="00B242DD" w:rsidRDefault="0077644F" w:rsidP="004E4A67">
      <w:pPr>
        <w:pStyle w:val="SingleTxtGR"/>
      </w:pPr>
      <w:r w:rsidRPr="0077644F">
        <w:t>88</w:t>
      </w:r>
      <w:r w:rsidR="005C379D" w:rsidRPr="00B242DD">
        <w:t>.</w:t>
      </w:r>
      <w:r w:rsidR="005C379D" w:rsidRPr="00B242DD">
        <w:tab/>
        <w:t>В отчетности об оценке компетентными органами полноты, соответствия и надежности данных, а также мер, принимаемых в процессе подтверждени</w:t>
      </w:r>
      <w:r w:rsidR="005C379D">
        <w:t>я</w:t>
      </w:r>
      <w:r w:rsidR="005C379D" w:rsidRPr="00B242DD">
        <w:t xml:space="preserve"> данных, Сторонам следует перечислить любые законодательные, нормативные или альтернативные меры (например, процедуры или руководящие указания, касающиеся подтверждения данных) по обеспечению оценки качества данных, представленных операторами или владельцами.</w:t>
      </w:r>
    </w:p>
    <w:p w:rsidR="005C379D" w:rsidRPr="00B242DD" w:rsidRDefault="0077644F" w:rsidP="004E4A67">
      <w:pPr>
        <w:pStyle w:val="SingleTxtGR"/>
      </w:pPr>
      <w:r w:rsidRPr="0077644F">
        <w:t>89</w:t>
      </w:r>
      <w:r w:rsidR="005C379D" w:rsidRPr="00B242DD">
        <w:t>.</w:t>
      </w:r>
      <w:r w:rsidR="005C379D" w:rsidRPr="00B242DD">
        <w:tab/>
        <w:t>В целях выявления путей совершенствования качества представляемых данных Сторонам следует описать успешно примененные методологии и пр</w:t>
      </w:r>
      <w:r w:rsidR="005C379D" w:rsidRPr="00B242DD">
        <w:t>о</w:t>
      </w:r>
      <w:r w:rsidR="005C379D" w:rsidRPr="00B242DD">
        <w:t>цедуры, которые были приняты компетентными органами.</w:t>
      </w:r>
    </w:p>
    <w:p w:rsidR="005C379D" w:rsidRPr="00B242DD" w:rsidRDefault="005C379D" w:rsidP="004E4A67">
      <w:pPr>
        <w:pStyle w:val="SingleTxtGR"/>
      </w:pPr>
      <w:r w:rsidRPr="00B242DD">
        <w:t>9</w:t>
      </w:r>
      <w:r w:rsidR="0077644F" w:rsidRPr="0077644F">
        <w:t>0</w:t>
      </w:r>
      <w:r w:rsidRPr="00B242DD">
        <w:t>.</w:t>
      </w:r>
      <w:r w:rsidRPr="00B242DD">
        <w:tab/>
        <w:t>Сторонам следует кратко описать роль различных компетентных органов (на местном, региональном и национальном уровнях), а также их обязанности, относящиеся к оценке данных, если это применимо.</w:t>
      </w:r>
    </w:p>
    <w:p w:rsidR="004B23F7" w:rsidRDefault="005C379D" w:rsidP="004E4A67">
      <w:pPr>
        <w:pStyle w:val="SingleTxtGR"/>
      </w:pPr>
      <w:r w:rsidRPr="00B242DD">
        <w:t>9</w:t>
      </w:r>
      <w:r w:rsidR="0077644F" w:rsidRPr="0077644F">
        <w:t>1</w:t>
      </w:r>
      <w:r w:rsidRPr="00B242DD">
        <w:t>.</w:t>
      </w:r>
      <w:r w:rsidRPr="00B242DD">
        <w:tab/>
        <w:t>Сторонам следует учитывать отклики общественности о качестве данных.</w:t>
      </w:r>
    </w:p>
    <w:p w:rsidR="004B23F7" w:rsidRDefault="005C379D" w:rsidP="004E4A67">
      <w:pPr>
        <w:pStyle w:val="H4GR"/>
      </w:pPr>
      <w:r>
        <w:tab/>
      </w:r>
      <w:r w:rsidRPr="00B242DD">
        <w:tab/>
        <w:t>От</w:t>
      </w:r>
      <w:r>
        <w:t>дельные виды</w:t>
      </w:r>
      <w:r w:rsidRPr="00B242DD">
        <w:t xml:space="preserve"> надлежащ</w:t>
      </w:r>
      <w:r>
        <w:t>ей</w:t>
      </w:r>
      <w:r w:rsidRPr="00B242DD">
        <w:t xml:space="preserve"> практик</w:t>
      </w:r>
      <w:r>
        <w:t>и</w:t>
      </w:r>
      <w:r w:rsidRPr="00B242DD">
        <w:t xml:space="preserve"> представления отчетности</w:t>
      </w:r>
    </w:p>
    <w:p w:rsidR="005C379D" w:rsidRPr="00B242DD" w:rsidRDefault="005C379D" w:rsidP="004E4A67">
      <w:pPr>
        <w:pStyle w:val="SingleTxtGR"/>
      </w:pPr>
      <w:r w:rsidRPr="00B242DD">
        <w:t>9</w:t>
      </w:r>
      <w:r w:rsidR="0077644F" w:rsidRPr="0077644F">
        <w:t>2</w:t>
      </w:r>
      <w:r w:rsidRPr="00B242DD">
        <w:t>.</w:t>
      </w:r>
      <w:r w:rsidRPr="00B242DD">
        <w:tab/>
        <w:t>Надлежащая практика представления отчетности, относящаяся к качеству данных, включает в себя:</w:t>
      </w:r>
    </w:p>
    <w:p w:rsidR="005C379D" w:rsidRPr="00B242DD" w:rsidRDefault="005C379D" w:rsidP="004E4A67">
      <w:pPr>
        <w:pStyle w:val="SingleTxtGR"/>
      </w:pPr>
      <w:r w:rsidRPr="00B242DD">
        <w:tab/>
        <w:t>а)</w:t>
      </w:r>
      <w:r w:rsidRPr="00B242DD">
        <w:tab/>
        <w:t>перечисление использованных и</w:t>
      </w:r>
      <w:r>
        <w:t>ли</w:t>
      </w:r>
      <w:r w:rsidRPr="00B242DD">
        <w:t xml:space="preserve"> рекомендованных процедур и стандартов, а также краткое описание этих процедур или </w:t>
      </w:r>
      <w:r>
        <w:t>предоставление</w:t>
      </w:r>
      <w:r w:rsidRPr="00B242DD">
        <w:t xml:space="preserve"> сс</w:t>
      </w:r>
      <w:r w:rsidRPr="00B242DD">
        <w:t>ы</w:t>
      </w:r>
      <w:r w:rsidRPr="00B242DD">
        <w:t>лок на соответствующее законодательство или нормативные акты;</w:t>
      </w:r>
    </w:p>
    <w:p w:rsidR="004B23F7" w:rsidRDefault="005C379D" w:rsidP="004E4A67">
      <w:pPr>
        <w:pStyle w:val="SingleTxtGR"/>
      </w:pPr>
      <w:r w:rsidRPr="00B242DD">
        <w:tab/>
        <w:t>b)</w:t>
      </w:r>
      <w:r w:rsidRPr="00B242DD">
        <w:tab/>
        <w:t>перечисление существующих справочных руково</w:t>
      </w:r>
      <w:proofErr w:type="gramStart"/>
      <w:r w:rsidRPr="00B242DD">
        <w:t>дств дл</w:t>
      </w:r>
      <w:proofErr w:type="gramEnd"/>
      <w:r w:rsidRPr="00B242DD">
        <w:t>я пользов</w:t>
      </w:r>
      <w:r w:rsidRPr="00B242DD">
        <w:t>а</w:t>
      </w:r>
      <w:r w:rsidRPr="00B242DD">
        <w:t xml:space="preserve">телей и отраслевых законодательных актов, в которых содержится описание стандартов, методологий или процедур и </w:t>
      </w:r>
      <w:r>
        <w:t>предоставление</w:t>
      </w:r>
      <w:r w:rsidRPr="00B242DD">
        <w:t xml:space="preserve"> ссылок на адреса, по которым к ним можно получить доступ в режиме онлайн, в случае их наличия (например</w:t>
      </w:r>
      <w:r>
        <w:t>,</w:t>
      </w:r>
      <w:r w:rsidRPr="00B242DD">
        <w:t xml:space="preserve"> см. НДО, представленный Нидерландами).</w:t>
      </w:r>
    </w:p>
    <w:p w:rsidR="004B23F7" w:rsidRDefault="005C379D" w:rsidP="004E4A67">
      <w:pPr>
        <w:pStyle w:val="H1GR"/>
      </w:pPr>
      <w:r>
        <w:tab/>
      </w:r>
      <w:r w:rsidRPr="00B242DD">
        <w:rPr>
          <w:lang w:val="en-US"/>
        </w:rPr>
        <w:t>F</w:t>
      </w:r>
      <w:r w:rsidRPr="00B242DD">
        <w:t>.</w:t>
      </w:r>
      <w:r w:rsidRPr="00B242DD">
        <w:tab/>
        <w:t>Доступ общественности к информации – статья 11</w:t>
      </w:r>
    </w:p>
    <w:p w:rsidR="004B23F7" w:rsidRDefault="005C379D" w:rsidP="004E4A67">
      <w:pPr>
        <w:pStyle w:val="SingleTxtGR"/>
      </w:pPr>
      <w:r w:rsidRPr="00B242DD">
        <w:t>9</w:t>
      </w:r>
      <w:r w:rsidR="0077644F" w:rsidRPr="0077644F">
        <w:t>3</w:t>
      </w:r>
      <w:r w:rsidRPr="00B242DD">
        <w:t>.</w:t>
      </w:r>
      <w:r w:rsidRPr="00B242DD">
        <w:tab/>
        <w:t>Стороны в основном представили исчерпывающую информацию в отн</w:t>
      </w:r>
      <w:r w:rsidRPr="00B242DD">
        <w:t>о</w:t>
      </w:r>
      <w:r w:rsidRPr="00B242DD">
        <w:t>шении осуществления положений Протокола, касающихся доступа обществе</w:t>
      </w:r>
      <w:r w:rsidRPr="00B242DD">
        <w:t>н</w:t>
      </w:r>
      <w:r w:rsidRPr="00B242DD">
        <w:t>ности к информации (статья 11). Проведение мониторинга за тем, как заинтер</w:t>
      </w:r>
      <w:r w:rsidRPr="00B242DD">
        <w:t>е</w:t>
      </w:r>
      <w:r w:rsidRPr="00B242DD">
        <w:t>сованные круги пользуются этим доступом к информации, могло бы оказать дополнительную помощь в повышении полезности РВПЗ для общественности.</w:t>
      </w:r>
    </w:p>
    <w:p w:rsidR="004B23F7" w:rsidRDefault="005C379D" w:rsidP="004E4A67">
      <w:pPr>
        <w:pStyle w:val="H4GR"/>
      </w:pPr>
      <w:r>
        <w:tab/>
      </w:r>
      <w:r>
        <w:tab/>
      </w:r>
      <w:r w:rsidRPr="00B242DD">
        <w:t>Рекомендации</w:t>
      </w:r>
    </w:p>
    <w:p w:rsidR="005C379D" w:rsidRPr="00B242DD" w:rsidRDefault="005C379D" w:rsidP="004E4A67">
      <w:pPr>
        <w:pStyle w:val="SingleTxtGR"/>
      </w:pPr>
      <w:r w:rsidRPr="00B242DD">
        <w:t>9</w:t>
      </w:r>
      <w:r w:rsidR="0077644F" w:rsidRPr="0077644F">
        <w:t>4</w:t>
      </w:r>
      <w:r w:rsidRPr="00B242DD">
        <w:t>.</w:t>
      </w:r>
      <w:r w:rsidRPr="00B242DD">
        <w:tab/>
        <w:t>Сторонам следует конкретно проинформировать об осуществлении пун</w:t>
      </w:r>
      <w:r w:rsidRPr="00B242DD">
        <w:t>к</w:t>
      </w:r>
      <w:r w:rsidRPr="00B242DD">
        <w:t>та 5 статьи 11, т.е. указать, как они содействуют электронному доступу к рег</w:t>
      </w:r>
      <w:r w:rsidRPr="00B242DD">
        <w:t>и</w:t>
      </w:r>
      <w:r w:rsidRPr="00B242DD">
        <w:t>стру в доступных для общественности местах в случае, когда к информации нет беспрепятственного доступа с помощью прямых электронных средств.</w:t>
      </w:r>
    </w:p>
    <w:p w:rsidR="004B23F7" w:rsidRDefault="005C379D" w:rsidP="004E4A67">
      <w:pPr>
        <w:pStyle w:val="SingleTxtGR"/>
      </w:pPr>
      <w:r w:rsidRPr="00B242DD">
        <w:t>9</w:t>
      </w:r>
      <w:r w:rsidR="0077644F" w:rsidRPr="0077644F">
        <w:t>5</w:t>
      </w:r>
      <w:r w:rsidRPr="00B242DD">
        <w:t>.</w:t>
      </w:r>
      <w:r w:rsidRPr="00B242DD">
        <w:tab/>
        <w:t xml:space="preserve">Сторонам следует проинформировать о сборе статистических данных об использовании веб-страниц РВПЗ. </w:t>
      </w:r>
    </w:p>
    <w:p w:rsidR="004B23F7" w:rsidRDefault="005C379D" w:rsidP="004E4A67">
      <w:pPr>
        <w:pStyle w:val="H4GR"/>
      </w:pPr>
      <w:r>
        <w:tab/>
      </w:r>
      <w:r w:rsidRPr="00B242DD">
        <w:tab/>
        <w:t>От</w:t>
      </w:r>
      <w:r>
        <w:t>дельные виды</w:t>
      </w:r>
      <w:r w:rsidRPr="00B242DD">
        <w:t xml:space="preserve"> надлежащ</w:t>
      </w:r>
      <w:r>
        <w:t>ей</w:t>
      </w:r>
      <w:r w:rsidRPr="00B242DD">
        <w:t xml:space="preserve"> практик</w:t>
      </w:r>
      <w:r>
        <w:t>и</w:t>
      </w:r>
      <w:r w:rsidRPr="00B242DD">
        <w:t xml:space="preserve"> представления отчетности</w:t>
      </w:r>
    </w:p>
    <w:p w:rsidR="005C379D" w:rsidRPr="00B242DD" w:rsidRDefault="005C379D" w:rsidP="004E4A67">
      <w:pPr>
        <w:pStyle w:val="SingleTxtGR"/>
      </w:pPr>
      <w:r w:rsidRPr="00B242DD">
        <w:t>9</w:t>
      </w:r>
      <w:r w:rsidR="0077644F" w:rsidRPr="0077644F">
        <w:t>6</w:t>
      </w:r>
      <w:r w:rsidRPr="00B242DD">
        <w:t>.</w:t>
      </w:r>
      <w:r w:rsidRPr="00B242DD">
        <w:tab/>
      </w:r>
      <w:proofErr w:type="gramStart"/>
      <w:r w:rsidRPr="00B242DD">
        <w:t>В соответствии с надлежащей практикой для представления отчетности в отношении доступа общественности к информации</w:t>
      </w:r>
      <w:proofErr w:type="gramEnd"/>
      <w:r w:rsidRPr="00B242DD">
        <w:t xml:space="preserve"> Сторонам следует:</w:t>
      </w:r>
    </w:p>
    <w:p w:rsidR="005C379D" w:rsidRPr="00B242DD" w:rsidRDefault="005C379D" w:rsidP="004E4A67">
      <w:pPr>
        <w:pStyle w:val="SingleTxtGR"/>
      </w:pPr>
      <w:r w:rsidRPr="00B242DD">
        <w:lastRenderedPageBreak/>
        <w:tab/>
        <w:t>а)</w:t>
      </w:r>
      <w:r w:rsidRPr="00B242DD">
        <w:tab/>
        <w:t>представить информацию, включая статистические данные (напр</w:t>
      </w:r>
      <w:r w:rsidRPr="00B242DD">
        <w:t>и</w:t>
      </w:r>
      <w:r w:rsidRPr="00B242DD">
        <w:t>мер, см. НДО, представленные Испанией или Швейцарией) о различных спос</w:t>
      </w:r>
      <w:r w:rsidRPr="00B242DD">
        <w:t>о</w:t>
      </w:r>
      <w:r w:rsidRPr="00B242DD">
        <w:t>бах получения общественностью доступа к информации, т.е. через Интернет, электронную почту, телефон, факс и/или административные процедуры;</w:t>
      </w:r>
    </w:p>
    <w:p w:rsidR="004B23F7" w:rsidRDefault="005C379D" w:rsidP="004E4A67">
      <w:pPr>
        <w:pStyle w:val="SingleTxtGR"/>
      </w:pPr>
      <w:r w:rsidRPr="00B242DD">
        <w:tab/>
      </w:r>
      <w:r w:rsidRPr="00B242DD">
        <w:rPr>
          <w:lang w:val="en-US"/>
        </w:rPr>
        <w:t>b</w:t>
      </w:r>
      <w:r w:rsidRPr="00B242DD">
        <w:t>)</w:t>
      </w:r>
      <w:r w:rsidRPr="00B242DD">
        <w:tab/>
      </w:r>
      <w:proofErr w:type="gramStart"/>
      <w:r w:rsidRPr="00B242DD">
        <w:t>указать</w:t>
      </w:r>
      <w:proofErr w:type="gramEnd"/>
      <w:r w:rsidRPr="00B242DD">
        <w:t xml:space="preserve"> административные процедуры, которые обеспечивают предоставление данных по запросу по смыслу пункта 5 статьи 11 (например, см. </w:t>
      </w:r>
      <w:proofErr w:type="gramStart"/>
      <w:r w:rsidRPr="00B242DD">
        <w:t>НГО, представленные Испанией, Литвой, Хорватией, Чешской Республикой или Эстонией).</w:t>
      </w:r>
      <w:proofErr w:type="gramEnd"/>
    </w:p>
    <w:p w:rsidR="004B23F7" w:rsidRDefault="005C379D" w:rsidP="004E4A67">
      <w:pPr>
        <w:pStyle w:val="H1GR"/>
      </w:pPr>
      <w:r>
        <w:tab/>
      </w:r>
      <w:r w:rsidRPr="00B242DD">
        <w:rPr>
          <w:lang w:val="en-US"/>
        </w:rPr>
        <w:t>G</w:t>
      </w:r>
      <w:r w:rsidRPr="00B242DD">
        <w:t>.</w:t>
      </w:r>
      <w:r w:rsidRPr="00B242DD">
        <w:tab/>
        <w:t>Конфиденциальность – статья 12</w:t>
      </w:r>
    </w:p>
    <w:p w:rsidR="005C379D" w:rsidRPr="00B242DD" w:rsidRDefault="0077644F" w:rsidP="004E4A67">
      <w:pPr>
        <w:pStyle w:val="SingleTxtGR"/>
      </w:pPr>
      <w:r w:rsidRPr="0077644F">
        <w:t>97</w:t>
      </w:r>
      <w:r w:rsidR="005C379D" w:rsidRPr="00B242DD">
        <w:t>.</w:t>
      </w:r>
      <w:r w:rsidR="005C379D" w:rsidRPr="00B242DD">
        <w:tab/>
        <w:t>До проведения какого-либо рассмотрения вопроса о представлении о</w:t>
      </w:r>
      <w:r w:rsidR="005C379D" w:rsidRPr="00B242DD">
        <w:t>т</w:t>
      </w:r>
      <w:r w:rsidR="005C379D" w:rsidRPr="00B242DD">
        <w:t>четности о конфиденциальности национальных регистров необходимо по</w:t>
      </w:r>
      <w:r w:rsidR="005C379D" w:rsidRPr="00B242DD">
        <w:t>д</w:t>
      </w:r>
      <w:r w:rsidR="005C379D" w:rsidRPr="00B242DD">
        <w:t>черкнуть, что согласно статье 12 Протокола основания для требований конф</w:t>
      </w:r>
      <w:r w:rsidR="005C379D" w:rsidRPr="00B242DD">
        <w:t>и</w:t>
      </w:r>
      <w:r w:rsidR="005C379D" w:rsidRPr="00B242DD">
        <w:t>денциальности следует толковать ограничительным образом. Это означает, что любое требование конфиденциальности необходимо рассматривать в качестве не</w:t>
      </w:r>
      <w:r w:rsidR="005C379D">
        <w:t>деликатного</w:t>
      </w:r>
      <w:r w:rsidR="005C379D" w:rsidRPr="00B242DD">
        <w:t xml:space="preserve"> вопроса, требующего тщательного рассмотрения.</w:t>
      </w:r>
    </w:p>
    <w:p w:rsidR="005C379D" w:rsidRPr="00B242DD" w:rsidRDefault="0077644F" w:rsidP="004E4A67">
      <w:pPr>
        <w:pStyle w:val="SingleTxtGR"/>
      </w:pPr>
      <w:r w:rsidRPr="0077644F">
        <w:t>98</w:t>
      </w:r>
      <w:r w:rsidR="005C379D" w:rsidRPr="00B242DD">
        <w:t>.</w:t>
      </w:r>
      <w:r w:rsidR="005C379D" w:rsidRPr="00B242DD">
        <w:tab/>
        <w:t>Несколько Сторон не представили четкий и лаконичный ответ о своем з</w:t>
      </w:r>
      <w:r w:rsidR="005C379D" w:rsidRPr="00B242DD">
        <w:t>а</w:t>
      </w:r>
      <w:r w:rsidR="005C379D" w:rsidRPr="00B242DD">
        <w:t xml:space="preserve">конодательстве, </w:t>
      </w:r>
      <w:r w:rsidR="005C379D">
        <w:t>касающемся</w:t>
      </w:r>
      <w:r w:rsidR="005C379D" w:rsidRPr="00B242DD">
        <w:t xml:space="preserve"> конфиденциальности. Хотя формулировка вопроса по статье 12 не содержит прямой просьбы представить информацию о таком з</w:t>
      </w:r>
      <w:r w:rsidR="005C379D" w:rsidRPr="00B242DD">
        <w:t>а</w:t>
      </w:r>
      <w:r w:rsidR="005C379D" w:rsidRPr="00B242DD">
        <w:t>конодательстве, сама просьба «укажите те виды информации, которой может быть придан конфиденциальный статус» в большинстве случаев требует пре</w:t>
      </w:r>
      <w:r w:rsidR="005C379D" w:rsidRPr="00B242DD">
        <w:t>д</w:t>
      </w:r>
      <w:r w:rsidR="005C379D" w:rsidRPr="00B242DD">
        <w:t>ставления информации о законодательстве, поскольку этот вопрос, как правило, должен регулироваться юридически обязывающим документом.</w:t>
      </w:r>
    </w:p>
    <w:p w:rsidR="004B23F7" w:rsidRDefault="0077644F" w:rsidP="004E4A67">
      <w:pPr>
        <w:pStyle w:val="SingleTxtGR"/>
      </w:pPr>
      <w:r w:rsidRPr="0077644F">
        <w:t>99</w:t>
      </w:r>
      <w:r w:rsidR="005C379D" w:rsidRPr="00B242DD">
        <w:t>.</w:t>
      </w:r>
      <w:r w:rsidR="005C379D" w:rsidRPr="00B242DD">
        <w:tab/>
        <w:t>Формулировка вопроса указывает на то, что основное внимание в ответе следует уделить практическому опыту, в том числе описанию видов или групп прецедентов, связанных с просьбами о сохранении конфиденциальности. Вм</w:t>
      </w:r>
      <w:r w:rsidR="005C379D" w:rsidRPr="00B242DD">
        <w:t>е</w:t>
      </w:r>
      <w:r w:rsidR="005C379D" w:rsidRPr="00B242DD">
        <w:t>сте с тем некоторые Стороны сообщили лишь о законодательстве и совсем не проинформировали о практическом опыте.</w:t>
      </w:r>
    </w:p>
    <w:p w:rsidR="004B23F7" w:rsidRDefault="005C379D" w:rsidP="004E4A67">
      <w:pPr>
        <w:pStyle w:val="H4GR"/>
      </w:pPr>
      <w:r>
        <w:tab/>
      </w:r>
      <w:r w:rsidRPr="00B242DD">
        <w:tab/>
        <w:t>Рекомендации</w:t>
      </w:r>
    </w:p>
    <w:p w:rsidR="005C379D" w:rsidRPr="00B242DD" w:rsidRDefault="005C379D" w:rsidP="004E4A67">
      <w:pPr>
        <w:pStyle w:val="SingleTxtGR"/>
      </w:pPr>
      <w:r w:rsidRPr="00B242DD">
        <w:t>10</w:t>
      </w:r>
      <w:r w:rsidR="0077644F" w:rsidRPr="0077644F">
        <w:t>0</w:t>
      </w:r>
      <w:r w:rsidRPr="00B242DD">
        <w:t>.</w:t>
      </w:r>
      <w:r w:rsidRPr="00B242DD">
        <w:tab/>
        <w:t>Сторонам следует принимать во внимание тот факт, что согласно Прот</w:t>
      </w:r>
      <w:r w:rsidRPr="00B242DD">
        <w:t>о</w:t>
      </w:r>
      <w:r w:rsidRPr="00B242DD">
        <w:t>колу требования конфиденциальности в отношении РВПЗ «толкуются огран</w:t>
      </w:r>
      <w:r w:rsidRPr="00B242DD">
        <w:t>и</w:t>
      </w:r>
      <w:r w:rsidRPr="00B242DD">
        <w:t>чительно с учетом того, отвечает ли раскрытие информации общественным и</w:t>
      </w:r>
      <w:r w:rsidRPr="00B242DD">
        <w:t>н</w:t>
      </w:r>
      <w:r w:rsidRPr="00B242DD">
        <w:t>тересам, а также с учетом того, относится ли запрошенная информация к в</w:t>
      </w:r>
      <w:r w:rsidRPr="00B242DD">
        <w:t>ы</w:t>
      </w:r>
      <w:r w:rsidRPr="00B242DD">
        <w:t>бросам в окружающую среду» (пункт 1 статьи 12).</w:t>
      </w:r>
    </w:p>
    <w:p w:rsidR="005C379D" w:rsidRPr="00B242DD" w:rsidRDefault="005C379D" w:rsidP="004E4A67">
      <w:pPr>
        <w:pStyle w:val="SingleTxtGR"/>
      </w:pPr>
      <w:r w:rsidRPr="00B242DD">
        <w:t>10</w:t>
      </w:r>
      <w:r w:rsidR="0077644F" w:rsidRPr="0077644F">
        <w:t>1</w:t>
      </w:r>
      <w:r w:rsidRPr="00B242DD">
        <w:t>.</w:t>
      </w:r>
      <w:r w:rsidRPr="00B242DD">
        <w:tab/>
        <w:t>Сторонам следует также сосредоточить внимание на практическом пр</w:t>
      </w:r>
      <w:r w:rsidRPr="00B242DD">
        <w:t>и</w:t>
      </w:r>
      <w:r w:rsidRPr="00B242DD">
        <w:t>менении этого положения в связи с рассмотрением требований конфиденциал</w:t>
      </w:r>
      <w:r w:rsidRPr="00B242DD">
        <w:t>ь</w:t>
      </w:r>
      <w:r w:rsidRPr="00B242DD">
        <w:t>ности и возможных вопросов системного характера. Информирование о закон</w:t>
      </w:r>
      <w:r w:rsidRPr="00B242DD">
        <w:t>о</w:t>
      </w:r>
      <w:r w:rsidRPr="00B242DD">
        <w:t>дательстве и практических мерах, например о построении формата докладов и соответствующих процедурах, является важной, но недостаточной частью и</w:t>
      </w:r>
      <w:r w:rsidRPr="00B242DD">
        <w:t>н</w:t>
      </w:r>
      <w:r w:rsidRPr="00B242DD">
        <w:t>формации, которая должна представляться.</w:t>
      </w:r>
    </w:p>
    <w:p w:rsidR="005C379D" w:rsidRPr="00B242DD" w:rsidRDefault="005C379D" w:rsidP="004E4A67">
      <w:pPr>
        <w:pStyle w:val="SingleTxtGR"/>
      </w:pPr>
      <w:r w:rsidRPr="00B242DD">
        <w:t>10</w:t>
      </w:r>
      <w:r w:rsidR="0077644F" w:rsidRPr="0077644F">
        <w:t>2</w:t>
      </w:r>
      <w:r w:rsidRPr="00B242DD">
        <w:t>.</w:t>
      </w:r>
      <w:r w:rsidRPr="00B242DD">
        <w:tab/>
        <w:t>Особое значение в вопросе имеют слова «в связи с требованиями, изл</w:t>
      </w:r>
      <w:r w:rsidRPr="00B242DD">
        <w:t>о</w:t>
      </w:r>
      <w:r w:rsidRPr="00B242DD">
        <w:t>женными в пункте 2» статьи 12. Следовательно, Сторонам следует более п</w:t>
      </w:r>
      <w:r w:rsidRPr="00B242DD">
        <w:t>о</w:t>
      </w:r>
      <w:r w:rsidRPr="00B242DD">
        <w:t>дробно проинформировать о процедурах рассмотрения вопроса о раскрытии информации.</w:t>
      </w:r>
    </w:p>
    <w:p w:rsidR="004B23F7" w:rsidRDefault="005C379D" w:rsidP="004E4A67">
      <w:pPr>
        <w:pStyle w:val="SingleTxtGR"/>
      </w:pPr>
      <w:r w:rsidRPr="00B242DD">
        <w:t>10</w:t>
      </w:r>
      <w:r w:rsidR="0077644F" w:rsidRPr="0077644F">
        <w:t>3</w:t>
      </w:r>
      <w:r w:rsidRPr="00B242DD">
        <w:t>.</w:t>
      </w:r>
      <w:r w:rsidRPr="00B242DD">
        <w:tab/>
        <w:t xml:space="preserve">В случае изъятия информации Сторонам следует представить конкретную информацию по теме пункта 3 статьи 12, детализирующую характер изъятой информации, а также </w:t>
      </w:r>
      <w:r>
        <w:t xml:space="preserve">информацию </w:t>
      </w:r>
      <w:r w:rsidRPr="00B242DD">
        <w:t>о том, как они осуществляли это положение.</w:t>
      </w:r>
    </w:p>
    <w:p w:rsidR="004B23F7" w:rsidRDefault="005C379D" w:rsidP="004E4A67">
      <w:pPr>
        <w:pStyle w:val="H4GR"/>
      </w:pPr>
      <w:r>
        <w:lastRenderedPageBreak/>
        <w:tab/>
      </w:r>
      <w:r>
        <w:tab/>
      </w:r>
      <w:r w:rsidRPr="00B242DD">
        <w:t>От</w:t>
      </w:r>
      <w:r>
        <w:t>дельные виды</w:t>
      </w:r>
      <w:r w:rsidRPr="00B242DD">
        <w:t xml:space="preserve"> надлежащ</w:t>
      </w:r>
      <w:r>
        <w:t>ей</w:t>
      </w:r>
      <w:r w:rsidRPr="00B242DD">
        <w:t xml:space="preserve"> практик</w:t>
      </w:r>
      <w:r>
        <w:t>и</w:t>
      </w:r>
      <w:r w:rsidRPr="00B242DD">
        <w:t xml:space="preserve"> представления отчетности </w:t>
      </w:r>
    </w:p>
    <w:p w:rsidR="004B23F7" w:rsidRDefault="005C379D" w:rsidP="004E4A67">
      <w:pPr>
        <w:pStyle w:val="SingleTxtGR"/>
      </w:pPr>
      <w:r w:rsidRPr="00B242DD">
        <w:t>10</w:t>
      </w:r>
      <w:r w:rsidR="0077644F" w:rsidRPr="0077644F">
        <w:t>4</w:t>
      </w:r>
      <w:r w:rsidRPr="00B242DD">
        <w:t>.</w:t>
      </w:r>
      <w:r w:rsidRPr="00B242DD">
        <w:tab/>
        <w:t>Лучшей практикой явится отказ от требований о конфиденциальности. Кроме того, лучшей практикой представления отчетности в области конфиде</w:t>
      </w:r>
      <w:r w:rsidRPr="00B242DD">
        <w:t>н</w:t>
      </w:r>
      <w:r w:rsidRPr="00B242DD">
        <w:t>циальности явилось бы представление Сторонами информации о практических мерах, а также информации о законодательных актах, относящихся к вопросу о конфиденциальности (например, см. НДО, представленные Германией или К</w:t>
      </w:r>
      <w:r w:rsidRPr="00B242DD">
        <w:t>и</w:t>
      </w:r>
      <w:r w:rsidRPr="00B242DD">
        <w:t>пром).</w:t>
      </w:r>
    </w:p>
    <w:p w:rsidR="004B23F7" w:rsidRDefault="005C379D" w:rsidP="004E4A67">
      <w:pPr>
        <w:pStyle w:val="H1GR"/>
      </w:pPr>
      <w:r>
        <w:tab/>
      </w:r>
      <w:r w:rsidRPr="00B242DD">
        <w:rPr>
          <w:lang w:val="en-US"/>
        </w:rPr>
        <w:t>H</w:t>
      </w:r>
      <w:r w:rsidRPr="00B242DD">
        <w:t>.</w:t>
      </w:r>
      <w:r w:rsidRPr="00B242DD">
        <w:tab/>
        <w:t>Участие общественности в создании и совершенствовании национальных регистров выбросов и переноса загрязнителей</w:t>
      </w:r>
      <w:r w:rsidR="004C5E1E">
        <w:t> – статья 13</w:t>
      </w:r>
    </w:p>
    <w:p w:rsidR="004B23F7" w:rsidRDefault="005C379D" w:rsidP="004E4A67">
      <w:pPr>
        <w:pStyle w:val="SingleTxtGR"/>
      </w:pPr>
      <w:r w:rsidRPr="00B242DD">
        <w:t>10</w:t>
      </w:r>
      <w:r w:rsidR="0077644F" w:rsidRPr="0077644F">
        <w:t>5</w:t>
      </w:r>
      <w:r w:rsidRPr="00B242DD">
        <w:t>.</w:t>
      </w:r>
      <w:r w:rsidRPr="00B242DD">
        <w:tab/>
        <w:t>Хотя вопрос по статье 13 имеет четкую формулировку, которая не допу</w:t>
      </w:r>
      <w:r w:rsidRPr="00B242DD">
        <w:t>с</w:t>
      </w:r>
      <w:r w:rsidRPr="00B242DD">
        <w:t>кает его неверного понимания, связанные с ним последствия охватывают шир</w:t>
      </w:r>
      <w:r w:rsidRPr="00B242DD">
        <w:t>о</w:t>
      </w:r>
      <w:r w:rsidRPr="00B242DD">
        <w:t>кий круг возможных мер. Ответы, полученные в ходе цикла представления о</w:t>
      </w:r>
      <w:r w:rsidRPr="00B242DD">
        <w:t>т</w:t>
      </w:r>
      <w:r w:rsidRPr="00B242DD">
        <w:t>четности 2014 года, не всегда в полном объеме отражают положение дел с ос</w:t>
      </w:r>
      <w:r w:rsidRPr="00B242DD">
        <w:t>у</w:t>
      </w:r>
      <w:r w:rsidRPr="00B242DD">
        <w:t>ществлением Сторонами. Приводимые ниже рекомендации направлены на по</w:t>
      </w:r>
      <w:r w:rsidRPr="00B242DD">
        <w:t>д</w:t>
      </w:r>
      <w:r w:rsidRPr="00B242DD">
        <w:t xml:space="preserve">готовку более полного списка </w:t>
      </w:r>
      <w:proofErr w:type="gramStart"/>
      <w:r w:rsidRPr="00B242DD">
        <w:t>соответствующих</w:t>
      </w:r>
      <w:proofErr w:type="gramEnd"/>
      <w:r w:rsidRPr="00B242DD">
        <w:t xml:space="preserve"> </w:t>
      </w:r>
      <w:proofErr w:type="spellStart"/>
      <w:r w:rsidRPr="00B242DD">
        <w:t>подвопросов</w:t>
      </w:r>
      <w:proofErr w:type="spellEnd"/>
      <w:r w:rsidRPr="00B242DD">
        <w:t>, которые помогли бы обеспечить полноту информации, представляемой в отношении осущест</w:t>
      </w:r>
      <w:r w:rsidRPr="00B242DD">
        <w:t>в</w:t>
      </w:r>
      <w:r w:rsidRPr="00B242DD">
        <w:t>ления статьи 13.</w:t>
      </w:r>
    </w:p>
    <w:p w:rsidR="004B23F7" w:rsidRDefault="005C379D" w:rsidP="004E4A67">
      <w:pPr>
        <w:pStyle w:val="H4GR"/>
      </w:pPr>
      <w:r>
        <w:tab/>
      </w:r>
      <w:r w:rsidRPr="00B242DD">
        <w:tab/>
        <w:t>Рекомендации</w:t>
      </w:r>
    </w:p>
    <w:p w:rsidR="005C379D" w:rsidRPr="00B242DD" w:rsidRDefault="005C379D" w:rsidP="004E4A67">
      <w:pPr>
        <w:pStyle w:val="SingleTxtGR"/>
      </w:pPr>
      <w:r w:rsidRPr="00B242DD">
        <w:t>10</w:t>
      </w:r>
      <w:r w:rsidR="0077644F" w:rsidRPr="0077644F">
        <w:t>6</w:t>
      </w:r>
      <w:r w:rsidRPr="00B242DD">
        <w:t>.</w:t>
      </w:r>
      <w:r w:rsidRPr="00B242DD">
        <w:tab/>
        <w:t>Странам следует указать, предоставляет ли их законодательство соотве</w:t>
      </w:r>
      <w:r w:rsidRPr="00B242DD">
        <w:t>т</w:t>
      </w:r>
      <w:r w:rsidRPr="00B242DD">
        <w:t>ствующие возможности для бесплатного доступа общественности к информ</w:t>
      </w:r>
      <w:r w:rsidRPr="00B242DD">
        <w:t>а</w:t>
      </w:r>
      <w:r w:rsidRPr="00B242DD">
        <w:t>ции о предлагаемых мерах по созданию и совершенствованию национального РВПЗ. В этой связи следует четко указать соответствующий (соответствующие) закон (законы), нормативный акт (нормативные акты) и/или привести примеры надлежащей практики.</w:t>
      </w:r>
    </w:p>
    <w:p w:rsidR="005C379D" w:rsidRPr="00B242DD" w:rsidRDefault="005C379D" w:rsidP="004E4A67">
      <w:pPr>
        <w:pStyle w:val="SingleTxtGR"/>
      </w:pPr>
      <w:r w:rsidRPr="00B242DD">
        <w:t>10</w:t>
      </w:r>
      <w:r w:rsidR="0077644F" w:rsidRPr="0077644F">
        <w:t>7</w:t>
      </w:r>
      <w:r w:rsidRPr="00B242DD">
        <w:t>.</w:t>
      </w:r>
      <w:r w:rsidRPr="00B242DD">
        <w:tab/>
        <w:t>Сторонам следует подробно проинформировать о возможных огранич</w:t>
      </w:r>
      <w:r w:rsidRPr="00B242DD">
        <w:t>е</w:t>
      </w:r>
      <w:r w:rsidRPr="00B242DD">
        <w:t>ниях доступа общественности к информации о мерах по созданию и соверше</w:t>
      </w:r>
      <w:r w:rsidRPr="00B242DD">
        <w:t>н</w:t>
      </w:r>
      <w:r w:rsidRPr="00B242DD">
        <w:t xml:space="preserve">ствованию РВПЗ. Сторонам следует, среди прочего, пояснить: </w:t>
      </w:r>
    </w:p>
    <w:p w:rsidR="005C379D" w:rsidRPr="00B242DD" w:rsidRDefault="005C379D" w:rsidP="004E4A67">
      <w:pPr>
        <w:pStyle w:val="SingleTxtGR"/>
      </w:pPr>
      <w:r w:rsidRPr="00B242DD">
        <w:tab/>
        <w:t>а)</w:t>
      </w:r>
      <w:r w:rsidRPr="00B242DD">
        <w:tab/>
        <w:t>существуют ли какие-либо сборы, взимаемые с общественности за доступ к информации?</w:t>
      </w:r>
    </w:p>
    <w:p w:rsidR="005C379D" w:rsidRPr="00B242DD" w:rsidRDefault="005C379D" w:rsidP="004E4A67">
      <w:pPr>
        <w:pStyle w:val="SingleTxtGR"/>
      </w:pPr>
      <w:r w:rsidRPr="00B242DD">
        <w:tab/>
      </w:r>
      <w:r w:rsidRPr="00B242DD">
        <w:rPr>
          <w:lang w:val="en-US"/>
        </w:rPr>
        <w:t>b</w:t>
      </w:r>
      <w:r w:rsidRPr="00B242DD">
        <w:t>)</w:t>
      </w:r>
      <w:r w:rsidRPr="00B242DD">
        <w:tab/>
      </w:r>
      <w:proofErr w:type="gramStart"/>
      <w:r w:rsidRPr="00B242DD">
        <w:t>какие</w:t>
      </w:r>
      <w:proofErr w:type="gramEnd"/>
      <w:r w:rsidRPr="00B242DD">
        <w:t xml:space="preserve"> </w:t>
      </w:r>
      <w:proofErr w:type="spellStart"/>
      <w:r w:rsidRPr="00B242DD">
        <w:t>временны</w:t>
      </w:r>
      <w:r>
        <w:t>́</w:t>
      </w:r>
      <w:r w:rsidRPr="00B242DD">
        <w:t>е</w:t>
      </w:r>
      <w:proofErr w:type="spellEnd"/>
      <w:r w:rsidRPr="00B242DD">
        <w:t xml:space="preserve"> рамки установлены для уведомления обществе</w:t>
      </w:r>
      <w:r w:rsidRPr="00B242DD">
        <w:t>н</w:t>
      </w:r>
      <w:r w:rsidRPr="00B242DD">
        <w:t>ности о наличии соответствующей информации и для предоставления общ</w:t>
      </w:r>
      <w:r w:rsidRPr="00B242DD">
        <w:t>е</w:t>
      </w:r>
      <w:r w:rsidRPr="00B242DD">
        <w:t>ственности доступ</w:t>
      </w:r>
      <w:r>
        <w:t>а к соответствующей информации?</w:t>
      </w:r>
    </w:p>
    <w:p w:rsidR="005C379D" w:rsidRPr="00B242DD" w:rsidRDefault="005C379D" w:rsidP="004E4A67">
      <w:pPr>
        <w:pStyle w:val="SingleTxtGR"/>
      </w:pPr>
      <w:r w:rsidRPr="00B242DD">
        <w:tab/>
        <w:t>с)</w:t>
      </w:r>
      <w:r w:rsidRPr="00B242DD">
        <w:tab/>
        <w:t>каковы правовые последствия неоправданного отказа в предоста</w:t>
      </w:r>
      <w:r w:rsidRPr="00B242DD">
        <w:t>в</w:t>
      </w:r>
      <w:r w:rsidRPr="00B242DD">
        <w:t>лении общественности бесплатного доступа к информации о предлагаемых м</w:t>
      </w:r>
      <w:r w:rsidRPr="00B242DD">
        <w:t>е</w:t>
      </w:r>
      <w:r w:rsidRPr="00B242DD">
        <w:t>рах по созданию и соверш</w:t>
      </w:r>
      <w:r>
        <w:t>енствованию национального РВПЗ?</w:t>
      </w:r>
    </w:p>
    <w:p w:rsidR="005C379D" w:rsidRPr="00B242DD" w:rsidRDefault="005C379D" w:rsidP="004E4A67">
      <w:pPr>
        <w:pStyle w:val="SingleTxtGR"/>
      </w:pPr>
      <w:r w:rsidRPr="00B242DD">
        <w:t>1</w:t>
      </w:r>
      <w:r w:rsidR="0077644F" w:rsidRPr="0077644F">
        <w:t>08</w:t>
      </w:r>
      <w:r w:rsidRPr="00B242DD">
        <w:t>.</w:t>
      </w:r>
      <w:r w:rsidRPr="00B242DD">
        <w:tab/>
        <w:t>Сторонам следует указать, создает ли законодательство надлежащие во</w:t>
      </w:r>
      <w:r w:rsidRPr="00B242DD">
        <w:t>з</w:t>
      </w:r>
      <w:r w:rsidRPr="00B242DD">
        <w:t>можности для представления общественностью любых замечаний, информ</w:t>
      </w:r>
      <w:r w:rsidRPr="00B242DD">
        <w:t>а</w:t>
      </w:r>
      <w:r w:rsidRPr="00B242DD">
        <w:t>ции, аналитических материалов или мнений, которые имеют отношение к пр</w:t>
      </w:r>
      <w:r w:rsidRPr="00B242DD">
        <w:t>о</w:t>
      </w:r>
      <w:r w:rsidRPr="00B242DD">
        <w:t xml:space="preserve">цессу принятия решений, </w:t>
      </w:r>
      <w:r>
        <w:t>касающихся</w:t>
      </w:r>
      <w:r w:rsidRPr="00B242DD">
        <w:t xml:space="preserve"> к РВПЗ. Они должны назвать конкре</w:t>
      </w:r>
      <w:r w:rsidRPr="00B242DD">
        <w:t>т</w:t>
      </w:r>
      <w:r w:rsidRPr="00B242DD">
        <w:t>ный (конкретные) закон (законы), нормативный акт (нормативные акты) и/или указать примеры существующей в этой связи надлежащей практики. Им также следует, среди прочего, пояснить:</w:t>
      </w:r>
    </w:p>
    <w:p w:rsidR="005C379D" w:rsidRPr="00B242DD" w:rsidRDefault="005C379D" w:rsidP="004E4A67">
      <w:pPr>
        <w:pStyle w:val="SingleTxtGR"/>
      </w:pPr>
      <w:r w:rsidRPr="00B242DD">
        <w:tab/>
        <w:t>а)</w:t>
      </w:r>
      <w:r w:rsidRPr="00B242DD">
        <w:tab/>
        <w:t>на каком этапе принятия решений допускается вовлечение общ</w:t>
      </w:r>
      <w:r w:rsidRPr="00B242DD">
        <w:t>е</w:t>
      </w:r>
      <w:r w:rsidRPr="00B242DD">
        <w:t>ственности?</w:t>
      </w:r>
    </w:p>
    <w:p w:rsidR="005C379D" w:rsidRPr="00B242DD" w:rsidRDefault="005C379D" w:rsidP="004E4A67">
      <w:pPr>
        <w:pStyle w:val="SingleTxtGR"/>
      </w:pPr>
      <w:r w:rsidRPr="00B242DD">
        <w:lastRenderedPageBreak/>
        <w:tab/>
      </w:r>
      <w:proofErr w:type="gramStart"/>
      <w:r w:rsidRPr="00B242DD">
        <w:rPr>
          <w:lang w:val="en-US"/>
        </w:rPr>
        <w:t>b</w:t>
      </w:r>
      <w:r w:rsidRPr="00B242DD">
        <w:t>)</w:t>
      </w:r>
      <w:r w:rsidRPr="00B242DD">
        <w:tab/>
        <w:t>в случае необходимости принятия ряда последовательных реш</w:t>
      </w:r>
      <w:r w:rsidRPr="00B242DD">
        <w:t>е</w:t>
      </w:r>
      <w:r w:rsidRPr="00B242DD">
        <w:t>ний, предоставляет ли национальное законодательство общественности во</w:t>
      </w:r>
      <w:r w:rsidRPr="00B242DD">
        <w:t>з</w:t>
      </w:r>
      <w:r w:rsidRPr="00B242DD">
        <w:t xml:space="preserve">можность внести свой вклад в: </w:t>
      </w:r>
      <w:proofErr w:type="spellStart"/>
      <w:r w:rsidRPr="00B242DD">
        <w:rPr>
          <w:lang w:val="en-US"/>
        </w:rPr>
        <w:t>i</w:t>
      </w:r>
      <w:proofErr w:type="spellEnd"/>
      <w:r w:rsidRPr="00B242DD">
        <w:t xml:space="preserve">) одно из этих решений (какое?), </w:t>
      </w:r>
      <w:r w:rsidRPr="00B242DD">
        <w:rPr>
          <w:lang w:val="en-US"/>
        </w:rPr>
        <w:t>ii</w:t>
      </w:r>
      <w:r w:rsidRPr="00B242DD">
        <w:t xml:space="preserve">) некоторые из них (какие?) или </w:t>
      </w:r>
      <w:r w:rsidRPr="00B242DD">
        <w:rPr>
          <w:lang w:val="en-US"/>
        </w:rPr>
        <w:t>ii</w:t>
      </w:r>
      <w:r w:rsidRPr="00B242DD">
        <w:t>) все решения?</w:t>
      </w:r>
      <w:proofErr w:type="gramEnd"/>
    </w:p>
    <w:p w:rsidR="005C379D" w:rsidRPr="00B242DD" w:rsidRDefault="005C379D" w:rsidP="004E4A67">
      <w:pPr>
        <w:pStyle w:val="SingleTxtGR"/>
      </w:pPr>
      <w:r w:rsidRPr="00B242DD">
        <w:tab/>
      </w:r>
      <w:r w:rsidRPr="00B242DD">
        <w:rPr>
          <w:lang w:val="en-US"/>
        </w:rPr>
        <w:t>c</w:t>
      </w:r>
      <w:r w:rsidRPr="00B242DD">
        <w:t>)</w:t>
      </w:r>
      <w:r w:rsidRPr="00B242DD">
        <w:tab/>
      </w:r>
      <w:proofErr w:type="gramStart"/>
      <w:r w:rsidRPr="00B242DD">
        <w:t>сколько</w:t>
      </w:r>
      <w:proofErr w:type="gramEnd"/>
      <w:r w:rsidRPr="00B242DD">
        <w:t xml:space="preserve"> времени обычно выделяется для участия общественности? Существует ли соответствующий минимальный период, предписываемый зак</w:t>
      </w:r>
      <w:r w:rsidRPr="00B242DD">
        <w:t>о</w:t>
      </w:r>
      <w:r w:rsidRPr="00B242DD">
        <w:t xml:space="preserve">ном? Каковы </w:t>
      </w:r>
      <w:proofErr w:type="spellStart"/>
      <w:r w:rsidRPr="00B242DD">
        <w:t>временны́е</w:t>
      </w:r>
      <w:proofErr w:type="spellEnd"/>
      <w:r w:rsidRPr="00B242DD">
        <w:t xml:space="preserve"> рамки для представления общественностью любых з</w:t>
      </w:r>
      <w:r w:rsidRPr="00B242DD">
        <w:t>а</w:t>
      </w:r>
      <w:r w:rsidRPr="00B242DD">
        <w:t>мечаний, информации, аналитических материалов или мнений?</w:t>
      </w:r>
    </w:p>
    <w:p w:rsidR="005C379D" w:rsidRPr="00B242DD" w:rsidRDefault="005C379D" w:rsidP="004E4A67">
      <w:pPr>
        <w:pStyle w:val="SingleTxtGR"/>
      </w:pPr>
      <w:r w:rsidRPr="00B242DD">
        <w:tab/>
        <w:t>d)</w:t>
      </w:r>
      <w:r w:rsidRPr="00B242DD">
        <w:tab/>
        <w:t>какую роль в процедуре принятия решений играет прямой эле</w:t>
      </w:r>
      <w:r w:rsidRPr="00B242DD">
        <w:t>к</w:t>
      </w:r>
      <w:r w:rsidRPr="00B242DD">
        <w:t>тронный доступ через телекоммуникационные сети общего доступа?</w:t>
      </w:r>
    </w:p>
    <w:p w:rsidR="005C379D" w:rsidRPr="00B242DD" w:rsidRDefault="005C379D" w:rsidP="004E4A67">
      <w:pPr>
        <w:pStyle w:val="SingleTxtGR"/>
      </w:pPr>
      <w:r w:rsidRPr="00B242DD">
        <w:tab/>
        <w:t>е)</w:t>
      </w:r>
      <w:r w:rsidRPr="00B242DD">
        <w:tab/>
        <w:t>игра</w:t>
      </w:r>
      <w:r>
        <w:t>ю</w:t>
      </w:r>
      <w:r w:rsidRPr="00B242DD">
        <w:t>т ли какую-либо роль в процедурах принятия решений, кас</w:t>
      </w:r>
      <w:r w:rsidRPr="00B242DD">
        <w:t>а</w:t>
      </w:r>
      <w:r w:rsidRPr="00B242DD">
        <w:t>ющихся окружающей среды, методы многостороннего обсуждения (например, общественные слушания, информационные совещания)?</w:t>
      </w:r>
    </w:p>
    <w:p w:rsidR="005C379D" w:rsidRPr="00B242DD" w:rsidRDefault="005C379D" w:rsidP="004E4A67">
      <w:pPr>
        <w:pStyle w:val="SingleTxtGR"/>
      </w:pPr>
      <w:r w:rsidRPr="00B242DD">
        <w:tab/>
      </w:r>
      <w:r w:rsidRPr="00B242DD">
        <w:rPr>
          <w:lang w:val="en-US"/>
        </w:rPr>
        <w:t>f</w:t>
      </w:r>
      <w:r w:rsidRPr="00B242DD">
        <w:t>)</w:t>
      </w:r>
      <w:r w:rsidRPr="00B242DD">
        <w:tab/>
      </w:r>
      <w:proofErr w:type="gramStart"/>
      <w:r w:rsidRPr="00B242DD">
        <w:t>могут</w:t>
      </w:r>
      <w:proofErr w:type="gramEnd"/>
      <w:r w:rsidRPr="00B242DD">
        <w:t xml:space="preserve"> ли замечания, представленные общественностью, рассматр</w:t>
      </w:r>
      <w:r w:rsidRPr="00B242DD">
        <w:t>и</w:t>
      </w:r>
      <w:r w:rsidRPr="00B242DD">
        <w:t>ваться другими представителями общественности в рамках процедуры пре</w:t>
      </w:r>
      <w:r w:rsidRPr="00B242DD">
        <w:t>д</w:t>
      </w:r>
      <w:r w:rsidRPr="00B242DD">
        <w:t>ставления замечаний?</w:t>
      </w:r>
    </w:p>
    <w:p w:rsidR="005C379D" w:rsidRPr="00B242DD" w:rsidRDefault="005C379D" w:rsidP="004E4A67">
      <w:pPr>
        <w:pStyle w:val="SingleTxtGR"/>
      </w:pPr>
      <w:r w:rsidRPr="00B242DD">
        <w:t>1</w:t>
      </w:r>
      <w:r w:rsidR="0077644F" w:rsidRPr="0077644F">
        <w:t>09</w:t>
      </w:r>
      <w:r w:rsidRPr="00B242DD">
        <w:t>.</w:t>
      </w:r>
      <w:r w:rsidRPr="00B242DD">
        <w:tab/>
        <w:t>Сторонам следует указать, включены ли в их законодательство конкре</w:t>
      </w:r>
      <w:r w:rsidRPr="00B242DD">
        <w:t>т</w:t>
      </w:r>
      <w:r w:rsidRPr="00B242DD">
        <w:t xml:space="preserve">ные </w:t>
      </w:r>
      <w:r>
        <w:t xml:space="preserve">положения, </w:t>
      </w:r>
      <w:r w:rsidRPr="00B242DD">
        <w:t>треб</w:t>
      </w:r>
      <w:r>
        <w:t>ующие от</w:t>
      </w:r>
      <w:r w:rsidRPr="00B242DD">
        <w:t xml:space="preserve"> соответствующе</w:t>
      </w:r>
      <w:r>
        <w:t>го</w:t>
      </w:r>
      <w:r w:rsidRPr="00B242DD">
        <w:t xml:space="preserve"> орган</w:t>
      </w:r>
      <w:r>
        <w:t>а</w:t>
      </w:r>
      <w:r w:rsidRPr="00B242DD">
        <w:t xml:space="preserve"> должным образом учитывать вклад общественности (представленные общественностью замеч</w:t>
      </w:r>
      <w:r w:rsidRPr="00B242DD">
        <w:t>а</w:t>
      </w:r>
      <w:r w:rsidRPr="00B242DD">
        <w:t>ния, информацию, аналитические материалы или мнения, которые имеют о</w:t>
      </w:r>
      <w:r w:rsidRPr="00B242DD">
        <w:t>т</w:t>
      </w:r>
      <w:r w:rsidRPr="00B242DD">
        <w:t>ношение к процессу принятия решений, связанных с РВПЗ). Сторонам следует назвать конкретный закон (конкретные законы), нормативный акт (нормативные акты) и/или представить примеры имеющейся в этой связи надлежащей пра</w:t>
      </w:r>
      <w:r w:rsidRPr="00B242DD">
        <w:t>к</w:t>
      </w:r>
      <w:r w:rsidRPr="00B242DD">
        <w:t>тики. Сторонам среди прочего следует пояснить:</w:t>
      </w:r>
    </w:p>
    <w:p w:rsidR="005C379D" w:rsidRPr="00B242DD" w:rsidRDefault="005C379D" w:rsidP="004E4A67">
      <w:pPr>
        <w:pStyle w:val="SingleTxtGR"/>
      </w:pPr>
      <w:r w:rsidRPr="00B242DD">
        <w:tab/>
        <w:t>а)</w:t>
      </w:r>
      <w:r w:rsidRPr="00B242DD">
        <w:tab/>
        <w:t>существуют ли применяемые на практике методы должного учета вклада общественности в случаях получения большого количества замечаний или большого объема информации? Принято ли с этой целью правов</w:t>
      </w:r>
      <w:r>
        <w:t>ы</w:t>
      </w:r>
      <w:r w:rsidRPr="00B242DD">
        <w:t xml:space="preserve">е </w:t>
      </w:r>
      <w:r>
        <w:t>нормы</w:t>
      </w:r>
      <w:r w:rsidRPr="00B242DD">
        <w:t>?</w:t>
      </w:r>
    </w:p>
    <w:p w:rsidR="005C379D" w:rsidRPr="00B242DD" w:rsidRDefault="005C379D" w:rsidP="004E4A67">
      <w:pPr>
        <w:pStyle w:val="SingleTxtGR"/>
      </w:pPr>
      <w:r w:rsidRPr="00B242DD">
        <w:tab/>
        <w:t>b)</w:t>
      </w:r>
      <w:r w:rsidRPr="00B242DD">
        <w:tab/>
        <w:t>каковы правовые последствия в случаях, когда такой вклад общ</w:t>
      </w:r>
      <w:r w:rsidRPr="00B242DD">
        <w:t>е</w:t>
      </w:r>
      <w:r w:rsidRPr="00B242DD">
        <w:t>ственности не учитывается должным образом?</w:t>
      </w:r>
    </w:p>
    <w:p w:rsidR="005C379D" w:rsidRPr="00B242DD" w:rsidRDefault="005C379D" w:rsidP="004E4A67">
      <w:pPr>
        <w:pStyle w:val="SingleTxtGR"/>
      </w:pPr>
      <w:r w:rsidRPr="00B242DD">
        <w:t>11</w:t>
      </w:r>
      <w:r w:rsidR="0077644F" w:rsidRPr="0077644F">
        <w:t>0</w:t>
      </w:r>
      <w:r w:rsidRPr="00B242DD">
        <w:t>.</w:t>
      </w:r>
      <w:r w:rsidRPr="00B242DD">
        <w:tab/>
        <w:t>Сторона</w:t>
      </w:r>
      <w:r>
        <w:t>м</w:t>
      </w:r>
      <w:r w:rsidRPr="00B242DD">
        <w:t xml:space="preserve"> следует указать, существует ли законодательство, включающее в себя какие-либо конкретные требования для обеспечения своевременного предоставления общественности информации о решении и соображениях, п</w:t>
      </w:r>
      <w:r w:rsidRPr="00B242DD">
        <w:t>о</w:t>
      </w:r>
      <w:r w:rsidRPr="00B242DD">
        <w:t>ложенных в его основу, в случаях, когда принимается решение о создании рег</w:t>
      </w:r>
      <w:r w:rsidRPr="00B242DD">
        <w:t>и</w:t>
      </w:r>
      <w:r w:rsidRPr="00B242DD">
        <w:t>стра</w:t>
      </w:r>
      <w:r>
        <w:t>,</w:t>
      </w:r>
      <w:r w:rsidRPr="00B242DD">
        <w:t xml:space="preserve"> или </w:t>
      </w:r>
      <w:r>
        <w:t xml:space="preserve">при </w:t>
      </w:r>
      <w:r w:rsidRPr="00B242DD">
        <w:t>внесении в него существенных изменений. В этой связи Стор</w:t>
      </w:r>
      <w:r w:rsidRPr="00B242DD">
        <w:t>о</w:t>
      </w:r>
      <w:r w:rsidRPr="00B242DD">
        <w:t>нам следует указать конкретный (конкретные) закон (законы), нормативный акт (нормативные акты) или представить примеры имеющейся надлежащей пра</w:t>
      </w:r>
      <w:r w:rsidRPr="00B242DD">
        <w:t>к</w:t>
      </w:r>
      <w:r w:rsidRPr="00B242DD">
        <w:t>тики, если они есть. Им следует, среди прочего, пояснить:</w:t>
      </w:r>
    </w:p>
    <w:p w:rsidR="005C379D" w:rsidRPr="00B242DD" w:rsidRDefault="005C379D" w:rsidP="004E4A67">
      <w:pPr>
        <w:pStyle w:val="SingleTxtGR"/>
      </w:pPr>
      <w:r w:rsidRPr="00B242DD">
        <w:tab/>
        <w:t>а)</w:t>
      </w:r>
      <w:r w:rsidRPr="00B242DD">
        <w:tab/>
        <w:t>какие формы и временные рамки предусмотрены законодател</w:t>
      </w:r>
      <w:r w:rsidRPr="00B242DD">
        <w:t>ь</w:t>
      </w:r>
      <w:r w:rsidRPr="00B242DD">
        <w:t>ством и/или применяются на практике в целях обеспечения для общественн</w:t>
      </w:r>
      <w:r w:rsidRPr="00B242DD">
        <w:t>о</w:t>
      </w:r>
      <w:r w:rsidRPr="00B242DD">
        <w:t>сти доступности информации об этих решениях и соображениях, положенных в их основу?</w:t>
      </w:r>
    </w:p>
    <w:p w:rsidR="005C379D" w:rsidRPr="00B242DD" w:rsidRDefault="005C379D" w:rsidP="004E4A67">
      <w:pPr>
        <w:pStyle w:val="SingleTxtGR"/>
      </w:pPr>
      <w:r w:rsidRPr="00B242DD">
        <w:tab/>
        <w:t>b)</w:t>
      </w:r>
      <w:r w:rsidRPr="00B242DD">
        <w:tab/>
        <w:t xml:space="preserve">каковы правовые последствия </w:t>
      </w:r>
      <w:proofErr w:type="spellStart"/>
      <w:r w:rsidRPr="00B242DD">
        <w:t>неуведомления</w:t>
      </w:r>
      <w:proofErr w:type="spellEnd"/>
      <w:r w:rsidRPr="00B242DD">
        <w:t xml:space="preserve"> общественности должным образом о решениях создать регистр или внести в него существенные изменения?</w:t>
      </w:r>
    </w:p>
    <w:p w:rsidR="005C379D" w:rsidRPr="00B242DD" w:rsidRDefault="005C379D" w:rsidP="004E4A67">
      <w:pPr>
        <w:pStyle w:val="SingleTxtGR"/>
      </w:pPr>
      <w:r w:rsidRPr="00B242DD">
        <w:t>11</w:t>
      </w:r>
      <w:r w:rsidR="0077644F" w:rsidRPr="0077644F">
        <w:t>1</w:t>
      </w:r>
      <w:r w:rsidRPr="00B242DD">
        <w:t>.</w:t>
      </w:r>
      <w:r w:rsidRPr="00B242DD">
        <w:tab/>
        <w:t>Сторонам следует указать, были ли разработаны конкретные законы или нормативные акты для осуществления статьи 13 Протокола.</w:t>
      </w:r>
    </w:p>
    <w:p w:rsidR="005C379D" w:rsidRPr="00B242DD" w:rsidRDefault="005C379D" w:rsidP="004E4A67">
      <w:pPr>
        <w:pStyle w:val="SingleTxtGR"/>
      </w:pPr>
      <w:r w:rsidRPr="00B242DD">
        <w:lastRenderedPageBreak/>
        <w:t>11</w:t>
      </w:r>
      <w:r w:rsidR="0077644F" w:rsidRPr="0077644F">
        <w:t>2</w:t>
      </w:r>
      <w:r w:rsidRPr="00B242DD">
        <w:t>.</w:t>
      </w:r>
      <w:r w:rsidRPr="00B242DD">
        <w:tab/>
        <w:t>Сторонам следует указать, разрабатывались ли на время представления их доклада соответствующие законопроекты и/или проекты нормативных актов.</w:t>
      </w:r>
    </w:p>
    <w:p w:rsidR="005C379D" w:rsidRPr="00B242DD" w:rsidRDefault="005C379D" w:rsidP="004E4A67">
      <w:pPr>
        <w:pStyle w:val="SingleTxtGR"/>
      </w:pPr>
      <w:r w:rsidRPr="00B242DD">
        <w:t>11</w:t>
      </w:r>
      <w:r w:rsidR="0077644F" w:rsidRPr="0077644F">
        <w:t>3</w:t>
      </w:r>
      <w:r w:rsidRPr="00B242DD">
        <w:t>.</w:t>
      </w:r>
      <w:r w:rsidRPr="00B242DD">
        <w:tab/>
        <w:t>Сторонам следует указать, принимались ли практические меры, для ос</w:t>
      </w:r>
      <w:r w:rsidRPr="00B242DD">
        <w:t>у</w:t>
      </w:r>
      <w:r w:rsidRPr="00B242DD">
        <w:t>ществления статьи 13 Протокола.</w:t>
      </w:r>
    </w:p>
    <w:p w:rsidR="004B23F7" w:rsidRDefault="005C379D" w:rsidP="004E4A67">
      <w:pPr>
        <w:pStyle w:val="SingleTxtGR"/>
      </w:pPr>
      <w:r w:rsidRPr="00B242DD">
        <w:t>11</w:t>
      </w:r>
      <w:r w:rsidR="0077644F" w:rsidRPr="0077644F">
        <w:t>4</w:t>
      </w:r>
      <w:r w:rsidRPr="00B242DD">
        <w:t>.</w:t>
      </w:r>
      <w:r w:rsidRPr="00B242DD">
        <w:tab/>
        <w:t xml:space="preserve">Сторонам следует перечислить любые особые меры, принятые в целях поощрения участия общественности и повышения </w:t>
      </w:r>
      <w:r>
        <w:t xml:space="preserve">ее </w:t>
      </w:r>
      <w:r w:rsidRPr="00B242DD">
        <w:t>информированности в рамках создания и совершенствования РВПЗ.</w:t>
      </w:r>
    </w:p>
    <w:p w:rsidR="004B23F7" w:rsidRDefault="005C379D" w:rsidP="004E4A67">
      <w:pPr>
        <w:pStyle w:val="H4GR"/>
      </w:pPr>
      <w:r>
        <w:tab/>
      </w:r>
      <w:r w:rsidRPr="00B242DD">
        <w:tab/>
        <w:t>От</w:t>
      </w:r>
      <w:r>
        <w:t>дельные виды</w:t>
      </w:r>
      <w:r w:rsidRPr="00B242DD">
        <w:t xml:space="preserve"> надлежащ</w:t>
      </w:r>
      <w:r>
        <w:t>ей</w:t>
      </w:r>
      <w:r w:rsidRPr="00B242DD">
        <w:t xml:space="preserve"> практик</w:t>
      </w:r>
      <w:r>
        <w:t>и</w:t>
      </w:r>
      <w:r w:rsidRPr="00B242DD">
        <w:t xml:space="preserve"> представления отчетности</w:t>
      </w:r>
    </w:p>
    <w:p w:rsidR="004B23F7" w:rsidRDefault="005C379D" w:rsidP="004E4A67">
      <w:pPr>
        <w:pStyle w:val="SingleTxtGR"/>
      </w:pPr>
      <w:r w:rsidRPr="00B242DD">
        <w:t>11</w:t>
      </w:r>
      <w:r w:rsidR="0077644F" w:rsidRPr="0077644F">
        <w:t>5</w:t>
      </w:r>
      <w:r w:rsidRPr="00B242DD">
        <w:t>.</w:t>
      </w:r>
      <w:r w:rsidRPr="00B242DD">
        <w:tab/>
      </w:r>
      <w:proofErr w:type="gramStart"/>
      <w:r w:rsidRPr="00B242DD">
        <w:t>В отчетности об участии общественности в создании и совершенствов</w:t>
      </w:r>
      <w:r w:rsidRPr="00B242DD">
        <w:t>а</w:t>
      </w:r>
      <w:r w:rsidRPr="00B242DD">
        <w:t>нии национальных РВПЗ, надлежащей практикой для Сторон явилось бы пре</w:t>
      </w:r>
      <w:r w:rsidRPr="00B242DD">
        <w:t>д</w:t>
      </w:r>
      <w:r w:rsidRPr="00B242DD">
        <w:t>ставление краткого описания принятого ими подхода и использование в прив</w:t>
      </w:r>
      <w:r w:rsidRPr="00B242DD">
        <w:t>е</w:t>
      </w:r>
      <w:r w:rsidRPr="00B242DD">
        <w:t xml:space="preserve">денных выше рекомендациях </w:t>
      </w:r>
      <w:proofErr w:type="spellStart"/>
      <w:r w:rsidRPr="00B242DD">
        <w:t>подвопросов</w:t>
      </w:r>
      <w:proofErr w:type="spellEnd"/>
      <w:r w:rsidRPr="00B242DD">
        <w:t xml:space="preserve"> для представления ими соотве</w:t>
      </w:r>
      <w:r w:rsidRPr="00B242DD">
        <w:t>т</w:t>
      </w:r>
      <w:r w:rsidRPr="00B242DD">
        <w:t>ствующей информации.</w:t>
      </w:r>
      <w:proofErr w:type="gramEnd"/>
    </w:p>
    <w:p w:rsidR="004B23F7" w:rsidRDefault="005C379D" w:rsidP="004E4A67">
      <w:pPr>
        <w:pStyle w:val="H1GR"/>
      </w:pPr>
      <w:r w:rsidRPr="00B242DD">
        <w:tab/>
        <w:t>I.</w:t>
      </w:r>
      <w:r w:rsidRPr="00B242DD">
        <w:tab/>
        <w:t>Доступ к правосудию – статья 14</w:t>
      </w:r>
    </w:p>
    <w:p w:rsidR="005C379D" w:rsidRPr="00B242DD" w:rsidRDefault="005C379D" w:rsidP="004E4A67">
      <w:pPr>
        <w:pStyle w:val="SingleTxtGR"/>
      </w:pPr>
      <w:r w:rsidRPr="00B242DD">
        <w:t>11</w:t>
      </w:r>
      <w:r w:rsidR="0077644F" w:rsidRPr="0077644F">
        <w:t>6</w:t>
      </w:r>
      <w:r w:rsidRPr="00B242DD">
        <w:t>.</w:t>
      </w:r>
      <w:r w:rsidRPr="00B242DD">
        <w:tab/>
      </w:r>
      <w:proofErr w:type="gramStart"/>
      <w:r w:rsidRPr="00B242DD">
        <w:t>В пункте 1 статьи 14 Протокола определена сфера охвата процедур пер</w:t>
      </w:r>
      <w:r w:rsidRPr="00B242DD">
        <w:t>е</w:t>
      </w:r>
      <w:r w:rsidRPr="00B242DD">
        <w:t>смотра, которые должны быть предоставлены лицам, считающим, что их просьба в доступе к содержащейся в регистре информации не была принята во внимание или неправомерно отклонена, будь то частично или полностью, что на нее не дано адекватного ответа или что она иным образом не рассмотрена в соответствии с положениями пункта 2</w:t>
      </w:r>
      <w:proofErr w:type="gramEnd"/>
      <w:r w:rsidRPr="00B242DD">
        <w:t xml:space="preserve"> статьи 11. Согласно формулировке ст</w:t>
      </w:r>
      <w:r w:rsidRPr="00B242DD">
        <w:t>а</w:t>
      </w:r>
      <w:r w:rsidRPr="00B242DD">
        <w:t>тьи 14 имеющиеся процедуры пересмотра могут проводиться в суде или в ином независимом и беспристрастном органе, учрежденном в соответствии с законом (например, в</w:t>
      </w:r>
      <w:r w:rsidR="004B23F7">
        <w:t xml:space="preserve"> </w:t>
      </w:r>
      <w:r w:rsidRPr="00B242DD">
        <w:t>трибуналах, комиссиях, бюро уполномоченных лиц, администр</w:t>
      </w:r>
      <w:r w:rsidRPr="00B242DD">
        <w:t>а</w:t>
      </w:r>
      <w:r w:rsidRPr="00B242DD">
        <w:t>тивных органах и т.д.).</w:t>
      </w:r>
    </w:p>
    <w:p w:rsidR="004B23F7" w:rsidRDefault="005C379D" w:rsidP="004E4A67">
      <w:pPr>
        <w:pStyle w:val="SingleTxtGR"/>
      </w:pPr>
      <w:r w:rsidRPr="00B242DD">
        <w:t>1</w:t>
      </w:r>
      <w:r w:rsidR="0077644F" w:rsidRPr="00F5363C">
        <w:t>17</w:t>
      </w:r>
      <w:r w:rsidRPr="00B242DD">
        <w:t>.</w:t>
      </w:r>
      <w:r w:rsidRPr="00B242DD">
        <w:tab/>
        <w:t>За первый отчетный период большинство Сторон представили информ</w:t>
      </w:r>
      <w:r w:rsidRPr="00B242DD">
        <w:t>а</w:t>
      </w:r>
      <w:r w:rsidRPr="00B242DD">
        <w:t xml:space="preserve">цию о </w:t>
      </w:r>
      <w:proofErr w:type="gramStart"/>
      <w:r w:rsidRPr="00B242DD">
        <w:t>доступности</w:t>
      </w:r>
      <w:proofErr w:type="gramEnd"/>
      <w:r w:rsidRPr="00B242DD">
        <w:t xml:space="preserve"> как судов, так и других внесудебных органов либо только судов или только внесудебных органов. Лишь несколько Сторон не представили информацию об имеющихся средствах правовой защиты. Для достижения по</w:t>
      </w:r>
      <w:r w:rsidRPr="00B242DD">
        <w:t>л</w:t>
      </w:r>
      <w:r w:rsidRPr="00B242DD">
        <w:t>ноты описания процедур пересмотра всем Сторонам настоятельно рекоменд</w:t>
      </w:r>
      <w:r w:rsidRPr="00B242DD">
        <w:t>у</w:t>
      </w:r>
      <w:r w:rsidRPr="00B242DD">
        <w:t>ется представить информацию обо всех имеющихся системах пер</w:t>
      </w:r>
      <w:r w:rsidRPr="00B242DD">
        <w:t>е</w:t>
      </w:r>
      <w:r w:rsidRPr="00B242DD">
        <w:t>смотра дел о доступе к данным РВПЗ (доступе к экологической информации), включая вн</w:t>
      </w:r>
      <w:r w:rsidRPr="00B242DD">
        <w:t>е</w:t>
      </w:r>
      <w:r w:rsidRPr="00B242DD">
        <w:t>судебн</w:t>
      </w:r>
      <w:r>
        <w:t>ую</w:t>
      </w:r>
      <w:r w:rsidRPr="00B242DD">
        <w:t xml:space="preserve"> или судебн</w:t>
      </w:r>
      <w:r>
        <w:t>ую</w:t>
      </w:r>
      <w:r w:rsidRPr="00B242DD">
        <w:t xml:space="preserve"> процедуры или обе процедуры, а также об имеющихся в рамках каждой процедуры этапах. Сторонам рекомендовано провести поиск, выявить и прямо указать на наличие или отсутствие каких-либо соответству</w:t>
      </w:r>
      <w:r w:rsidRPr="00B242DD">
        <w:t>ю</w:t>
      </w:r>
      <w:r w:rsidRPr="00B242DD">
        <w:t>щих дел, рассмотренных в этой связи.</w:t>
      </w:r>
    </w:p>
    <w:p w:rsidR="004B23F7" w:rsidRDefault="005C379D" w:rsidP="004E4A67">
      <w:pPr>
        <w:pStyle w:val="H4GR"/>
      </w:pPr>
      <w:r>
        <w:tab/>
      </w:r>
      <w:r w:rsidRPr="00B242DD">
        <w:tab/>
        <w:t>Рекомендации</w:t>
      </w:r>
    </w:p>
    <w:p w:rsidR="005C379D" w:rsidRPr="00B242DD" w:rsidRDefault="005C379D" w:rsidP="004E4A67">
      <w:pPr>
        <w:pStyle w:val="SingleTxtGR"/>
      </w:pPr>
      <w:r w:rsidRPr="00B242DD">
        <w:t>1</w:t>
      </w:r>
      <w:r w:rsidR="00F5363C" w:rsidRPr="00F5363C">
        <w:t>18</w:t>
      </w:r>
      <w:r w:rsidRPr="00B242DD">
        <w:t>.</w:t>
      </w:r>
      <w:r w:rsidRPr="00B242DD">
        <w:tab/>
        <w:t>Сторонам следует представить информацию о наличии внесудебных и судебных процедур пересмотра и возможных этапах прохождения таких проц</w:t>
      </w:r>
      <w:r w:rsidRPr="00B242DD">
        <w:t>е</w:t>
      </w:r>
      <w:r w:rsidRPr="00B242DD">
        <w:t>дур.</w:t>
      </w:r>
    </w:p>
    <w:p w:rsidR="005C379D" w:rsidRPr="00B242DD" w:rsidRDefault="005C379D" w:rsidP="004E4A67">
      <w:pPr>
        <w:pStyle w:val="SingleTxtGR"/>
      </w:pPr>
      <w:r w:rsidRPr="00B242DD">
        <w:t>1</w:t>
      </w:r>
      <w:r w:rsidR="00F5363C" w:rsidRPr="00F5363C">
        <w:t>19</w:t>
      </w:r>
      <w:r w:rsidRPr="00B242DD">
        <w:t>.</w:t>
      </w:r>
      <w:r w:rsidRPr="00B242DD">
        <w:tab/>
        <w:t>Сторонам следует пояснить вопрос о том, необходимо ли исчерпать пр</w:t>
      </w:r>
      <w:r w:rsidRPr="00B242DD">
        <w:t>о</w:t>
      </w:r>
      <w:r w:rsidRPr="00B242DD">
        <w:t>цедуры внесудебного пересмотра до инициирования судебного пересмотра, а также об уровне судебного органа, в который может быть подана апелляцио</w:t>
      </w:r>
      <w:r w:rsidRPr="00B242DD">
        <w:t>н</w:t>
      </w:r>
      <w:r w:rsidRPr="00B242DD">
        <w:t>ная жалоба (например, суд первой инстанции, второй инстанции и т.д.).</w:t>
      </w:r>
    </w:p>
    <w:p w:rsidR="004B23F7" w:rsidRDefault="005C379D" w:rsidP="004E4A67">
      <w:pPr>
        <w:pStyle w:val="SingleTxtGR"/>
      </w:pPr>
      <w:r w:rsidRPr="00B242DD">
        <w:t>12</w:t>
      </w:r>
      <w:r w:rsidR="00F5363C" w:rsidRPr="00F5363C">
        <w:t>0</w:t>
      </w:r>
      <w:r w:rsidRPr="00B242DD">
        <w:t>.</w:t>
      </w:r>
      <w:r w:rsidRPr="00B242DD">
        <w:tab/>
        <w:t>Сторонам следует представить информацию о любых конкретных прец</w:t>
      </w:r>
      <w:r w:rsidRPr="00B242DD">
        <w:t>е</w:t>
      </w:r>
      <w:r w:rsidRPr="00B242DD">
        <w:t>дент</w:t>
      </w:r>
      <w:r>
        <w:t>ах</w:t>
      </w:r>
      <w:r w:rsidRPr="00B242DD">
        <w:t>, связанных с использованием процедур пересмотра.</w:t>
      </w:r>
    </w:p>
    <w:p w:rsidR="004B23F7" w:rsidRDefault="005C379D" w:rsidP="004E4A67">
      <w:pPr>
        <w:pStyle w:val="H4GR"/>
      </w:pPr>
      <w:r>
        <w:lastRenderedPageBreak/>
        <w:tab/>
      </w:r>
      <w:r w:rsidRPr="00B242DD">
        <w:tab/>
        <w:t>От</w:t>
      </w:r>
      <w:r>
        <w:t>дельные виды</w:t>
      </w:r>
      <w:r w:rsidRPr="00B242DD">
        <w:t xml:space="preserve"> надлежащ</w:t>
      </w:r>
      <w:r>
        <w:t>ей</w:t>
      </w:r>
      <w:r w:rsidRPr="00B242DD">
        <w:t xml:space="preserve"> практик</w:t>
      </w:r>
      <w:r>
        <w:t>и</w:t>
      </w:r>
      <w:r w:rsidRPr="00B242DD">
        <w:t xml:space="preserve"> представления отчетности</w:t>
      </w:r>
    </w:p>
    <w:p w:rsidR="005C379D" w:rsidRPr="00B242DD" w:rsidRDefault="005C379D" w:rsidP="004E4A67">
      <w:pPr>
        <w:pStyle w:val="SingleTxtGR"/>
      </w:pPr>
      <w:r w:rsidRPr="00B242DD">
        <w:t>12</w:t>
      </w:r>
      <w:r w:rsidR="00F5363C" w:rsidRPr="00F5363C">
        <w:t>1</w:t>
      </w:r>
      <w:r w:rsidRPr="00B242DD">
        <w:t>.</w:t>
      </w:r>
      <w:r w:rsidRPr="00B242DD">
        <w:tab/>
        <w:t>Надлежащая практика представления отчетности в отношении доступа к правосудию включает в себя:</w:t>
      </w:r>
    </w:p>
    <w:p w:rsidR="005C379D" w:rsidRPr="00B242DD" w:rsidRDefault="005C379D" w:rsidP="004E4A67">
      <w:pPr>
        <w:pStyle w:val="SingleTxtGR"/>
      </w:pPr>
      <w:r w:rsidRPr="00B242DD">
        <w:tab/>
        <w:t>а)</w:t>
      </w:r>
      <w:r w:rsidRPr="00B242DD">
        <w:tab/>
        <w:t>исчерпывающее пояснение процедур пересмотра и использование приведенных выше рекомендаций для обеспечения полноты отчетности (например, см. также НДО, представленные Соединенным Королевством Вел</w:t>
      </w:r>
      <w:r w:rsidRPr="00B242DD">
        <w:t>и</w:t>
      </w:r>
      <w:r w:rsidRPr="00B242DD">
        <w:t>кобритании и Северной Ирландии, Финляндией или Францией);</w:t>
      </w:r>
    </w:p>
    <w:p w:rsidR="004B23F7" w:rsidRDefault="005C379D" w:rsidP="004E4A67">
      <w:pPr>
        <w:pStyle w:val="SingleTxtGR"/>
      </w:pPr>
      <w:r w:rsidRPr="00B242DD">
        <w:tab/>
      </w:r>
      <w:r w:rsidRPr="00B242DD">
        <w:rPr>
          <w:lang w:val="en-US"/>
        </w:rPr>
        <w:t>b</w:t>
      </w:r>
      <w:r w:rsidRPr="00B242DD">
        <w:t>)</w:t>
      </w:r>
      <w:r w:rsidRPr="00B242DD">
        <w:tab/>
      </w:r>
      <w:proofErr w:type="gramStart"/>
      <w:r w:rsidRPr="00B242DD">
        <w:t>прямо</w:t>
      </w:r>
      <w:r>
        <w:t>е</w:t>
      </w:r>
      <w:proofErr w:type="gramEnd"/>
      <w:r w:rsidRPr="00B242DD">
        <w:t xml:space="preserve"> указа</w:t>
      </w:r>
      <w:r>
        <w:t>ние</w:t>
      </w:r>
      <w:r w:rsidRPr="00B242DD">
        <w:t xml:space="preserve"> на отсутствие прецедентов, относящихся к пун</w:t>
      </w:r>
      <w:r w:rsidRPr="00B242DD">
        <w:t>к</w:t>
      </w:r>
      <w:r w:rsidRPr="00B242DD">
        <w:t>ту</w:t>
      </w:r>
      <w:r w:rsidR="00F5363C">
        <w:t> </w:t>
      </w:r>
      <w:r w:rsidRPr="00B242DD">
        <w:t>123 приведенных выше рекомендаций (например, см. НДО, представленные Ирландией, Словакией, Францией, Чешской Республикой или Швейцарией)</w:t>
      </w:r>
      <w:r>
        <w:t>.</w:t>
      </w:r>
    </w:p>
    <w:p w:rsidR="004B23F7" w:rsidRDefault="005C379D" w:rsidP="004E4A67">
      <w:pPr>
        <w:pStyle w:val="H1GR"/>
      </w:pPr>
      <w:r>
        <w:tab/>
      </w:r>
      <w:r w:rsidRPr="00B242DD">
        <w:rPr>
          <w:lang w:val="en-US"/>
        </w:rPr>
        <w:t>J</w:t>
      </w:r>
      <w:r w:rsidRPr="00B242DD">
        <w:t>.</w:t>
      </w:r>
      <w:r w:rsidRPr="00B242DD">
        <w:tab/>
        <w:t xml:space="preserve">Наращивание потенциала </w:t>
      </w:r>
      <w:r w:rsidR="004E4A67" w:rsidRPr="003C1C11">
        <w:t>–</w:t>
      </w:r>
      <w:r w:rsidRPr="00B242DD">
        <w:t xml:space="preserve"> статья 15</w:t>
      </w:r>
    </w:p>
    <w:p w:rsidR="004B23F7" w:rsidRDefault="005C379D" w:rsidP="004E4A67">
      <w:pPr>
        <w:pStyle w:val="SingleTxtGR"/>
      </w:pPr>
      <w:r w:rsidRPr="00B242DD">
        <w:t>12</w:t>
      </w:r>
      <w:r w:rsidR="00F5363C">
        <w:t>2</w:t>
      </w:r>
      <w:r w:rsidRPr="00B242DD">
        <w:t>.</w:t>
      </w:r>
      <w:r w:rsidRPr="00B242DD">
        <w:tab/>
        <w:t>Вопрос по статье 15, посвященной наращиванию потенциала, сформул</w:t>
      </w:r>
      <w:r w:rsidRPr="00B242DD">
        <w:t>и</w:t>
      </w:r>
      <w:r w:rsidRPr="00B242DD">
        <w:t>рован весьма четко и был правильно понят большинством Сторон, которые о</w:t>
      </w:r>
      <w:r w:rsidRPr="00B242DD">
        <w:t>т</w:t>
      </w:r>
      <w:r w:rsidRPr="00B242DD">
        <w:t xml:space="preserve">ветили на него надлежащим образом. Вместе с тем на </w:t>
      </w:r>
      <w:proofErr w:type="spellStart"/>
      <w:r w:rsidRPr="00B242DD">
        <w:t>подвопросы</w:t>
      </w:r>
      <w:proofErr w:type="spellEnd"/>
      <w:r w:rsidRPr="00B242DD">
        <w:t xml:space="preserve"> </w:t>
      </w:r>
      <w:r w:rsidRPr="00B242DD">
        <w:rPr>
          <w:lang w:val="en-US"/>
        </w:rPr>
        <w:t>a</w:t>
      </w:r>
      <w:r w:rsidRPr="00B242DD">
        <w:t xml:space="preserve">) и </w:t>
      </w:r>
      <w:r w:rsidRPr="00B242DD">
        <w:rPr>
          <w:lang w:val="en-US"/>
        </w:rPr>
        <w:t>b</w:t>
      </w:r>
      <w:r w:rsidRPr="00B242DD">
        <w:t>) нек</w:t>
      </w:r>
      <w:r w:rsidRPr="00B242DD">
        <w:t>о</w:t>
      </w:r>
      <w:r w:rsidRPr="00B242DD">
        <w:t xml:space="preserve">торые Стороны дали один ответ. </w:t>
      </w:r>
      <w:r>
        <w:t>В целом</w:t>
      </w:r>
      <w:r w:rsidRPr="00B242DD">
        <w:t xml:space="preserve"> Стороны по-разному интерпретиров</w:t>
      </w:r>
      <w:r w:rsidRPr="00B242DD">
        <w:t>а</w:t>
      </w:r>
      <w:r w:rsidRPr="00B242DD">
        <w:t>ли этот вопрос, что явилось причиной самых разных по содержанию ответов, приведенных в НДО, которые были представлены в отчетном цикле 2014 года. Диапазон принятых Сторонами мер по наращиванию потенциала является весьма широким как по типам, так и по сфере охвата. Некоторые Стороны в</w:t>
      </w:r>
      <w:r w:rsidRPr="00B242DD">
        <w:t>о</w:t>
      </w:r>
      <w:r w:rsidRPr="00B242DD">
        <w:t>обще не ответили на этот вопрос, что, возможно, указывает на непринятие ими мер по наращиванию потенциала. Другие Стороны в своих ответах на вопросы сообщили лишь о координационных центрах, что, как представляется, мо</w:t>
      </w:r>
      <w:r>
        <w:t>жет</w:t>
      </w:r>
      <w:r w:rsidRPr="00B242DD">
        <w:t xml:space="preserve"> означать непринятие ими мер по повышению информированности обществе</w:t>
      </w:r>
      <w:r w:rsidRPr="00B242DD">
        <w:t>н</w:t>
      </w:r>
      <w:r w:rsidRPr="00B242DD">
        <w:t xml:space="preserve">ности. </w:t>
      </w:r>
      <w:r>
        <w:t>В целом</w:t>
      </w:r>
      <w:r w:rsidRPr="00B242DD">
        <w:t xml:space="preserve"> некото</w:t>
      </w:r>
      <w:r>
        <w:t>рые С</w:t>
      </w:r>
      <w:r w:rsidRPr="00B242DD">
        <w:t>тороны, как пр</w:t>
      </w:r>
      <w:r>
        <w:t>едставляется</w:t>
      </w:r>
      <w:r w:rsidRPr="00B242DD">
        <w:t>, основное внимание обращают на наращивание потенциала должностных лиц и операторов, т.е</w:t>
      </w:r>
      <w:r>
        <w:t>.</w:t>
      </w:r>
      <w:r w:rsidRPr="00B242DD">
        <w:t xml:space="preserve"> тех сторон, которые обязан</w:t>
      </w:r>
      <w:r>
        <w:t>ы</w:t>
      </w:r>
      <w:r w:rsidRPr="00B242DD">
        <w:t xml:space="preserve"> создать систему и обеспечить ее функционирование, в то время как другие делают упор на информированность (потенциальных) пользователей.</w:t>
      </w:r>
    </w:p>
    <w:p w:rsidR="004B23F7" w:rsidRDefault="005C379D" w:rsidP="004E4A67">
      <w:pPr>
        <w:pStyle w:val="H4GR"/>
      </w:pPr>
      <w:r>
        <w:tab/>
      </w:r>
      <w:r>
        <w:tab/>
      </w:r>
      <w:r w:rsidRPr="00B242DD">
        <w:t>Рекомендация</w:t>
      </w:r>
    </w:p>
    <w:p w:rsidR="004B23F7" w:rsidRDefault="005C379D" w:rsidP="004E4A67">
      <w:pPr>
        <w:pStyle w:val="SingleTxtGR"/>
      </w:pPr>
      <w:r w:rsidRPr="00B242DD">
        <w:t>12</w:t>
      </w:r>
      <w:r w:rsidR="00F5363C">
        <w:t>3</w:t>
      </w:r>
      <w:r w:rsidRPr="00B242DD">
        <w:t>.</w:t>
      </w:r>
      <w:r w:rsidRPr="00B242DD">
        <w:tab/>
        <w:t xml:space="preserve">В связи с этим вопросом не возникло каких-либо затруднений. Однако Сторонам, не принявшим </w:t>
      </w:r>
      <w:r>
        <w:t>никаких</w:t>
      </w:r>
      <w:r w:rsidRPr="00B242DD">
        <w:t xml:space="preserve"> мер по наращиванию потенциала, следует пояснить соответствующие причины и проинформировать о своих будущих планах. </w:t>
      </w:r>
    </w:p>
    <w:p w:rsidR="004B23F7" w:rsidRDefault="005C379D" w:rsidP="004E4A67">
      <w:pPr>
        <w:pStyle w:val="H4GR"/>
      </w:pPr>
      <w:r>
        <w:tab/>
      </w:r>
      <w:r>
        <w:tab/>
      </w:r>
      <w:r w:rsidRPr="00B242DD">
        <w:t>От</w:t>
      </w:r>
      <w:r>
        <w:t>дельные виды</w:t>
      </w:r>
      <w:r w:rsidRPr="00B242DD">
        <w:t xml:space="preserve"> надлежащ</w:t>
      </w:r>
      <w:r>
        <w:t>ей</w:t>
      </w:r>
      <w:r w:rsidRPr="00B242DD">
        <w:t xml:space="preserve"> практик</w:t>
      </w:r>
      <w:r>
        <w:t>и</w:t>
      </w:r>
      <w:r w:rsidRPr="00B242DD">
        <w:t xml:space="preserve"> представления отчетности</w:t>
      </w:r>
    </w:p>
    <w:p w:rsidR="004B23F7" w:rsidRDefault="005C379D" w:rsidP="00886525">
      <w:pPr>
        <w:pStyle w:val="SingleTxtGR"/>
      </w:pPr>
      <w:r w:rsidRPr="00B242DD">
        <w:t>12</w:t>
      </w:r>
      <w:r w:rsidR="00F5363C">
        <w:t>4</w:t>
      </w:r>
      <w:r w:rsidRPr="00B242DD">
        <w:t>.</w:t>
      </w:r>
      <w:r w:rsidRPr="00B242DD">
        <w:tab/>
        <w:t xml:space="preserve">Пример надлежащей практики в области повышения информированности о РВПЗ среди широкой общественности, которая в этой связи может стать надлежащей практикой представления отчетности, представлен Испанией. В своем НДО Испания конкретно упомянула о том, что </w:t>
      </w:r>
      <w:r w:rsidRPr="00B242DD">
        <w:rPr>
          <w:lang w:val="en-US"/>
        </w:rPr>
        <w:t>a</w:t>
      </w:r>
      <w:r w:rsidRPr="00B242DD">
        <w:t>)</w:t>
      </w:r>
      <w:r w:rsidR="004B23F7">
        <w:t xml:space="preserve"> </w:t>
      </w:r>
      <w:r w:rsidRPr="00B242DD">
        <w:t>за деятельностью РВПЗ-</w:t>
      </w:r>
      <w:proofErr w:type="spellStart"/>
      <w:proofErr w:type="gramStart"/>
      <w:r w:rsidRPr="00B242DD">
        <w:rPr>
          <w:lang w:val="en-GB"/>
        </w:rPr>
        <w:t>Espa</w:t>
      </w:r>
      <w:proofErr w:type="spellEnd"/>
      <w:proofErr w:type="gramEnd"/>
      <w:r w:rsidRPr="00B242DD">
        <w:t>ñ</w:t>
      </w:r>
      <w:r w:rsidRPr="00B242DD">
        <w:rPr>
          <w:lang w:val="en-GB"/>
        </w:rPr>
        <w:t>a</w:t>
      </w:r>
      <w:r w:rsidRPr="00B242DD">
        <w:t xml:space="preserve"> можно следить через социальные сети (</w:t>
      </w:r>
      <w:r w:rsidRPr="00B242DD">
        <w:rPr>
          <w:lang w:val="en-GB"/>
        </w:rPr>
        <w:t>Twitter</w:t>
      </w:r>
      <w:r w:rsidRPr="00B242DD">
        <w:t xml:space="preserve">, </w:t>
      </w:r>
      <w:r w:rsidRPr="00B242DD">
        <w:rPr>
          <w:lang w:val="en-GB"/>
        </w:rPr>
        <w:t>Facebook</w:t>
      </w:r>
      <w:r w:rsidRPr="00B242DD">
        <w:t>), что я</w:t>
      </w:r>
      <w:r w:rsidRPr="00B242DD">
        <w:t>в</w:t>
      </w:r>
      <w:r w:rsidRPr="00B242DD">
        <w:t xml:space="preserve">ляется эффективным способом </w:t>
      </w:r>
      <w:r>
        <w:t>повышения</w:t>
      </w:r>
      <w:r w:rsidRPr="00B242DD">
        <w:t xml:space="preserve"> информированности о РВПЗ; </w:t>
      </w:r>
      <w:r w:rsidRPr="00B242DD">
        <w:rPr>
          <w:lang w:val="en-US"/>
        </w:rPr>
        <w:t>b</w:t>
      </w:r>
      <w:r w:rsidRPr="00B242DD">
        <w:t>)</w:t>
      </w:r>
      <w:r w:rsidR="004B23F7">
        <w:t xml:space="preserve"> </w:t>
      </w:r>
      <w:r w:rsidRPr="00B242DD">
        <w:t>и</w:t>
      </w:r>
      <w:r w:rsidRPr="00B242DD">
        <w:t>н</w:t>
      </w:r>
      <w:r w:rsidRPr="00B242DD">
        <w:t>формация о любых новых мерах, изменениях, новых мнениях, публикуемых ежегодных данных, новых вариантах для поиска и т.д. распространяется по н</w:t>
      </w:r>
      <w:r w:rsidRPr="00B242DD">
        <w:t>е</w:t>
      </w:r>
      <w:r w:rsidRPr="00B242DD">
        <w:t>скольким институциональным и другим каналам среди промышленных орган</w:t>
      </w:r>
      <w:r w:rsidRPr="00B242DD">
        <w:t>и</w:t>
      </w:r>
      <w:r w:rsidRPr="00B242DD">
        <w:t xml:space="preserve">заций, неправительственных организаций, институциональных или частных технологических центров, исследовательских учреждений, городских советов, муниципалитетов, региональных правительств (автономных общин), рабочих </w:t>
      </w:r>
      <w:r w:rsidRPr="00B242DD">
        <w:lastRenderedPageBreak/>
        <w:t>групп, как на национальном, так и международном уровне, а также среди пол</w:t>
      </w:r>
      <w:r w:rsidRPr="00B242DD">
        <w:t>ь</w:t>
      </w:r>
      <w:r w:rsidRPr="00B242DD">
        <w:t xml:space="preserve">зователей и заинтересованных кругов; </w:t>
      </w:r>
      <w:r w:rsidRPr="00B242DD">
        <w:rPr>
          <w:lang w:val="en-US"/>
        </w:rPr>
        <w:t>c</w:t>
      </w:r>
      <w:r w:rsidRPr="00B242DD">
        <w:t>)</w:t>
      </w:r>
      <w:r w:rsidR="004B23F7">
        <w:t xml:space="preserve"> </w:t>
      </w:r>
      <w:r w:rsidRPr="00B242DD">
        <w:t>конкретные меры по распространению информации и повышению информированности также осуществляются по л</w:t>
      </w:r>
      <w:r w:rsidRPr="00B242DD">
        <w:t>и</w:t>
      </w:r>
      <w:r w:rsidRPr="00B242DD">
        <w:t xml:space="preserve">нии национальных и международных конференций. </w:t>
      </w:r>
    </w:p>
    <w:p w:rsidR="004B23F7" w:rsidRDefault="005C379D" w:rsidP="00886525">
      <w:pPr>
        <w:pStyle w:val="H1GR"/>
      </w:pPr>
      <w:r w:rsidRPr="00B242DD">
        <w:tab/>
      </w:r>
      <w:r w:rsidRPr="00B242DD">
        <w:rPr>
          <w:lang w:val="en-US"/>
        </w:rPr>
        <w:t>K</w:t>
      </w:r>
      <w:r w:rsidRPr="00B242DD">
        <w:t>.</w:t>
      </w:r>
      <w:r w:rsidRPr="00B242DD">
        <w:tab/>
        <w:t>Международное сотрудничеств</w:t>
      </w:r>
      <w:r>
        <w:t>о</w:t>
      </w:r>
      <w:r w:rsidRPr="00B242DD">
        <w:t xml:space="preserve"> – статья 16</w:t>
      </w:r>
    </w:p>
    <w:p w:rsidR="005C379D" w:rsidRPr="00B242DD" w:rsidRDefault="005C379D" w:rsidP="00886525">
      <w:pPr>
        <w:pStyle w:val="SingleTxtGR"/>
      </w:pPr>
      <w:r w:rsidRPr="00B242DD">
        <w:t>12</w:t>
      </w:r>
      <w:r w:rsidR="00F5363C">
        <w:t>5</w:t>
      </w:r>
      <w:r w:rsidRPr="00B242DD">
        <w:t>.</w:t>
      </w:r>
      <w:r w:rsidRPr="00B242DD">
        <w:tab/>
        <w:t xml:space="preserve">Урок, извлеченный по итогам цикла представления отчетности 2014 года, заключается в том, что неполное представление отчетности по статье 16 может быть сведено до минимума в случае представления отдельных ответов на </w:t>
      </w:r>
      <w:proofErr w:type="spellStart"/>
      <w:r w:rsidRPr="00B242DD">
        <w:t>подвопросы</w:t>
      </w:r>
      <w:proofErr w:type="spellEnd"/>
      <w:r w:rsidRPr="00B242DD">
        <w:t xml:space="preserve"> а</w:t>
      </w:r>
      <w:proofErr w:type="gramStart"/>
      <w:r w:rsidRPr="00B242DD">
        <w:t>)</w:t>
      </w:r>
      <w:r>
        <w:t>–</w:t>
      </w:r>
      <w:proofErr w:type="gramEnd"/>
      <w:r w:rsidRPr="00B242DD">
        <w:t>е). Ряд Сторон продемонстрировали в этой связи примеры надлежащей практики (например, см. НДО Австрии, Германии, Словакии, С</w:t>
      </w:r>
      <w:r w:rsidRPr="00B242DD">
        <w:t>о</w:t>
      </w:r>
      <w:r w:rsidRPr="00B242DD">
        <w:t xml:space="preserve">единенного Королевства или Чешской Республики). </w:t>
      </w:r>
    </w:p>
    <w:p w:rsidR="004B23F7" w:rsidRDefault="005C379D" w:rsidP="00886525">
      <w:pPr>
        <w:pStyle w:val="SingleTxtGR"/>
      </w:pPr>
      <w:r w:rsidRPr="00B242DD">
        <w:t>12</w:t>
      </w:r>
      <w:r w:rsidR="00F5363C">
        <w:t>6</w:t>
      </w:r>
      <w:r w:rsidRPr="00B242DD">
        <w:t>.</w:t>
      </w:r>
      <w:r w:rsidRPr="00B242DD">
        <w:tab/>
        <w:t xml:space="preserve">Двусторонняя деятельность в докладах 2014 года была упомянута только одной участвующей в ней Стороной, хотя другая Сторона не упомянула об этой двусторонней деятельности. </w:t>
      </w:r>
    </w:p>
    <w:p w:rsidR="004B23F7" w:rsidRDefault="005C379D" w:rsidP="00886525">
      <w:pPr>
        <w:pStyle w:val="H4GR"/>
      </w:pPr>
      <w:r>
        <w:tab/>
      </w:r>
      <w:r>
        <w:tab/>
      </w:r>
      <w:r w:rsidRPr="00B242DD">
        <w:t>Рекомендации</w:t>
      </w:r>
    </w:p>
    <w:p w:rsidR="005C379D" w:rsidRPr="00B242DD" w:rsidRDefault="005C379D" w:rsidP="00886525">
      <w:pPr>
        <w:pStyle w:val="SingleTxtGR"/>
      </w:pPr>
      <w:r w:rsidRPr="00B242DD">
        <w:t>1</w:t>
      </w:r>
      <w:r w:rsidR="00F5363C">
        <w:t>27</w:t>
      </w:r>
      <w:r w:rsidRPr="00B242DD">
        <w:t>.</w:t>
      </w:r>
      <w:r w:rsidRPr="00B242DD">
        <w:tab/>
        <w:t>Если Стороны считают, что у них нет информации для представления о</w:t>
      </w:r>
      <w:r w:rsidRPr="00B242DD">
        <w:t>т</w:t>
      </w:r>
      <w:r w:rsidRPr="00B242DD">
        <w:t>четности о деятельности, относящейся к статье 16, им в той или иной форме следует разъяснить причины этого и предложить решения в этой связи.</w:t>
      </w:r>
    </w:p>
    <w:p w:rsidR="004B23F7" w:rsidRDefault="005C379D" w:rsidP="00886525">
      <w:pPr>
        <w:pStyle w:val="SingleTxtGR"/>
      </w:pPr>
      <w:r w:rsidRPr="00B242DD">
        <w:t>1</w:t>
      </w:r>
      <w:r w:rsidR="00F5363C">
        <w:t>28</w:t>
      </w:r>
      <w:r w:rsidRPr="00B242DD">
        <w:t>.</w:t>
      </w:r>
      <w:r w:rsidRPr="00B242DD">
        <w:tab/>
        <w:t>При подготовке доклада Сторонам, при необходимости, следует обр</w:t>
      </w:r>
      <w:r w:rsidRPr="00B242DD">
        <w:t>а</w:t>
      </w:r>
      <w:r w:rsidRPr="00B242DD">
        <w:t>титься к координационным центрам других Сторон, с которыми они проводят общую деятельность в целях повышения информированности об осуществля</w:t>
      </w:r>
      <w:r w:rsidRPr="00B242DD">
        <w:t>в</w:t>
      </w:r>
      <w:r w:rsidRPr="00B242DD">
        <w:t>шемся и осуществляемом сотрудничестве. Как правило, национальные коорд</w:t>
      </w:r>
      <w:r w:rsidRPr="00B242DD">
        <w:t>и</w:t>
      </w:r>
      <w:r w:rsidRPr="00B242DD">
        <w:t>национные центры во всех случаях обязаны информировать своих соотве</w:t>
      </w:r>
      <w:r w:rsidRPr="00B242DD">
        <w:t>т</w:t>
      </w:r>
      <w:r w:rsidRPr="00B242DD">
        <w:t>ствующих партнеров о запланированных и осуществляемых проектах, связа</w:t>
      </w:r>
      <w:r w:rsidRPr="00B242DD">
        <w:t>н</w:t>
      </w:r>
      <w:r w:rsidRPr="00B242DD">
        <w:t xml:space="preserve">ных с РВПЗ, в соответствующих областях их компетенции. </w:t>
      </w:r>
    </w:p>
    <w:p w:rsidR="004B23F7" w:rsidRDefault="005C379D" w:rsidP="00886525">
      <w:pPr>
        <w:pStyle w:val="H4GR"/>
      </w:pPr>
      <w:r>
        <w:tab/>
      </w:r>
      <w:r>
        <w:tab/>
      </w:r>
      <w:r w:rsidRPr="00B242DD">
        <w:t>От</w:t>
      </w:r>
      <w:r>
        <w:t>дельные виды</w:t>
      </w:r>
      <w:r w:rsidRPr="00B242DD">
        <w:t xml:space="preserve"> надлежащ</w:t>
      </w:r>
      <w:r>
        <w:t>ей</w:t>
      </w:r>
      <w:r w:rsidRPr="00B242DD">
        <w:t xml:space="preserve"> практик</w:t>
      </w:r>
      <w:r>
        <w:t>и</w:t>
      </w:r>
      <w:r w:rsidRPr="00B242DD">
        <w:t xml:space="preserve"> представления отчетности</w:t>
      </w:r>
    </w:p>
    <w:p w:rsidR="005C379D" w:rsidRPr="00B242DD" w:rsidRDefault="005C379D" w:rsidP="00886525">
      <w:pPr>
        <w:pStyle w:val="SingleTxtGR"/>
      </w:pPr>
      <w:r w:rsidRPr="00B242DD">
        <w:t>1</w:t>
      </w:r>
      <w:r w:rsidR="00F5363C">
        <w:t>29</w:t>
      </w:r>
      <w:r w:rsidRPr="00B242DD">
        <w:t>.</w:t>
      </w:r>
      <w:r w:rsidRPr="00B242DD">
        <w:tab/>
        <w:t>Некоторые примеры надлежащей практики представления отчетности в отношении международного сотрудничества включают в себя:</w:t>
      </w:r>
    </w:p>
    <w:p w:rsidR="005C379D" w:rsidRPr="00B242DD" w:rsidRDefault="005C379D" w:rsidP="00886525">
      <w:pPr>
        <w:pStyle w:val="SingleTxtGR"/>
      </w:pPr>
      <w:r w:rsidRPr="00B242DD">
        <w:tab/>
      </w:r>
      <w:r w:rsidRPr="00B242DD">
        <w:rPr>
          <w:lang w:val="en-US"/>
        </w:rPr>
        <w:t>a</w:t>
      </w:r>
      <w:r w:rsidRPr="00B242DD">
        <w:t>)</w:t>
      </w:r>
      <w:r w:rsidRPr="00B242DD">
        <w:tab/>
      </w:r>
      <w:proofErr w:type="gramStart"/>
      <w:r w:rsidRPr="00B242DD">
        <w:t>с</w:t>
      </w:r>
      <w:proofErr w:type="gramEnd"/>
      <w:r w:rsidRPr="00B242DD">
        <w:t xml:space="preserve"> учетом проявляемого во всем мире интереса к этому вопросу Сторонам следует представить информацию о деятельности по пропаганде Протокола, проведенной в регионе ЕЭК и за его пределами (например, см. </w:t>
      </w:r>
      <w:proofErr w:type="gramStart"/>
      <w:r w:rsidRPr="00B242DD">
        <w:t>НДО, представленный Испанией);</w:t>
      </w:r>
      <w:proofErr w:type="gramEnd"/>
    </w:p>
    <w:p w:rsidR="005C379D" w:rsidRPr="00B242DD" w:rsidRDefault="005C379D" w:rsidP="00886525">
      <w:pPr>
        <w:pStyle w:val="SingleTxtGR"/>
      </w:pPr>
      <w:r w:rsidRPr="00B242DD">
        <w:tab/>
      </w:r>
      <w:r w:rsidRPr="00B242DD">
        <w:rPr>
          <w:lang w:val="en-US"/>
        </w:rPr>
        <w:t>b</w:t>
      </w:r>
      <w:r w:rsidRPr="00B242DD">
        <w:t>)</w:t>
      </w:r>
      <w:r w:rsidRPr="00B242DD">
        <w:tab/>
      </w:r>
      <w:proofErr w:type="gramStart"/>
      <w:r w:rsidRPr="00B242DD">
        <w:t>для</w:t>
      </w:r>
      <w:proofErr w:type="gramEnd"/>
      <w:r w:rsidRPr="00B242DD">
        <w:t xml:space="preserve"> представления отчетности об осуществлении большинства в</w:t>
      </w:r>
      <w:r w:rsidRPr="00B242DD">
        <w:t>и</w:t>
      </w:r>
      <w:r w:rsidRPr="00B242DD">
        <w:t>дов деятельности, указанных в статье 16, Сторонам следует использовать в к</w:t>
      </w:r>
      <w:r w:rsidRPr="00B242DD">
        <w:t>а</w:t>
      </w:r>
      <w:r w:rsidRPr="00B242DD">
        <w:t>честве контрольного перечня приведенные ниже вопросы, а также представить соответствующую информацию в случае, если ответ на вопрос является утве</w:t>
      </w:r>
      <w:r w:rsidRPr="00B242DD">
        <w:t>р</w:t>
      </w:r>
      <w:r w:rsidRPr="00B242DD">
        <w:t>дительным:</w:t>
      </w:r>
    </w:p>
    <w:p w:rsidR="005C379D" w:rsidRPr="00B242DD" w:rsidRDefault="005C379D" w:rsidP="00886525">
      <w:pPr>
        <w:pStyle w:val="SingleTxtGR"/>
        <w:ind w:left="1701" w:hanging="567"/>
      </w:pPr>
      <w:r w:rsidRPr="00B242DD">
        <w:tab/>
      </w:r>
      <w:proofErr w:type="spellStart"/>
      <w:r w:rsidRPr="00B242DD">
        <w:rPr>
          <w:lang w:val="en-US"/>
        </w:rPr>
        <w:t>i</w:t>
      </w:r>
      <w:proofErr w:type="spellEnd"/>
      <w:r w:rsidRPr="00B242DD">
        <w:t>)</w:t>
      </w:r>
      <w:r w:rsidRPr="00B242DD">
        <w:tab/>
      </w:r>
      <w:proofErr w:type="gramStart"/>
      <w:r w:rsidRPr="00B242DD">
        <w:t>является</w:t>
      </w:r>
      <w:proofErr w:type="gramEnd"/>
      <w:r w:rsidRPr="00B242DD">
        <w:t xml:space="preserve"> ли Сторона членом международных групп или комитетов, имеющих отношение к РВПЗ?</w:t>
      </w:r>
    </w:p>
    <w:p w:rsidR="005C379D" w:rsidRPr="00B242DD" w:rsidRDefault="005C379D" w:rsidP="00886525">
      <w:pPr>
        <w:pStyle w:val="SingleTxtGR"/>
        <w:ind w:left="1701" w:hanging="567"/>
      </w:pPr>
      <w:r w:rsidRPr="00B242DD">
        <w:tab/>
      </w:r>
      <w:r w:rsidRPr="00B242DD">
        <w:rPr>
          <w:lang w:val="en-US"/>
        </w:rPr>
        <w:t>ii</w:t>
      </w:r>
      <w:r w:rsidRPr="00B242DD">
        <w:t>)</w:t>
      </w:r>
      <w:r w:rsidRPr="00B242DD">
        <w:tab/>
      </w:r>
      <w:proofErr w:type="gramStart"/>
      <w:r w:rsidRPr="00B242DD">
        <w:t>какие</w:t>
      </w:r>
      <w:proofErr w:type="gramEnd"/>
      <w:r w:rsidRPr="00B242DD">
        <w:t xml:space="preserve"> двусторонние или многосторонние мероприятия или проекты по наращиванию потенциала в области РВПЗ были профинансированы?</w:t>
      </w:r>
    </w:p>
    <w:p w:rsidR="005C379D" w:rsidRPr="00B242DD" w:rsidRDefault="005C379D" w:rsidP="00886525">
      <w:pPr>
        <w:pStyle w:val="SingleTxtGR"/>
        <w:ind w:left="1701" w:hanging="567"/>
      </w:pPr>
      <w:r w:rsidRPr="00B242DD">
        <w:tab/>
      </w:r>
      <w:r w:rsidRPr="00B242DD">
        <w:rPr>
          <w:lang w:val="en-US"/>
        </w:rPr>
        <w:t>iii</w:t>
      </w:r>
      <w:r w:rsidRPr="00B242DD">
        <w:t>)</w:t>
      </w:r>
      <w:r w:rsidRPr="00B242DD">
        <w:tab/>
      </w:r>
      <w:proofErr w:type="gramStart"/>
      <w:r w:rsidRPr="00B242DD">
        <w:t>каким</w:t>
      </w:r>
      <w:proofErr w:type="gramEnd"/>
      <w:r w:rsidRPr="00B242DD">
        <w:t xml:space="preserve"> двусторонним или многосторонним проектам и мероприят</w:t>
      </w:r>
      <w:r w:rsidRPr="00B242DD">
        <w:t>и</w:t>
      </w:r>
      <w:r w:rsidRPr="00B242DD">
        <w:t>ям по наращиванию потенциала была оказана техническая поддержка?</w:t>
      </w:r>
    </w:p>
    <w:p w:rsidR="005D1E6A" w:rsidRPr="003C1C11" w:rsidRDefault="005C379D" w:rsidP="00886525">
      <w:pPr>
        <w:pStyle w:val="SingleTxtGR"/>
        <w:ind w:left="1701" w:hanging="567"/>
      </w:pPr>
      <w:r w:rsidRPr="00B242DD">
        <w:lastRenderedPageBreak/>
        <w:tab/>
      </w:r>
      <w:r w:rsidRPr="00B242DD">
        <w:rPr>
          <w:lang w:val="en-US"/>
        </w:rPr>
        <w:t>iv</w:t>
      </w:r>
      <w:r w:rsidRPr="00B242DD">
        <w:t>)</w:t>
      </w:r>
      <w:r w:rsidRPr="00B242DD">
        <w:tab/>
      </w:r>
      <w:proofErr w:type="gramStart"/>
      <w:r w:rsidRPr="00B242DD">
        <w:t>в</w:t>
      </w:r>
      <w:proofErr w:type="gramEnd"/>
      <w:r w:rsidRPr="00B242DD">
        <w:t xml:space="preserve"> каких других инициативах и международных проектах, в рамках которых проводились мероприятия по повышению инфор</w:t>
      </w:r>
      <w:r>
        <w:t>мированности и пропаганде в этой связи, приняла участие Сторона?</w:t>
      </w:r>
    </w:p>
    <w:p w:rsidR="00886525" w:rsidRPr="003C1C11" w:rsidRDefault="00886525" w:rsidP="00886525">
      <w:pPr>
        <w:spacing w:before="240"/>
        <w:jc w:val="center"/>
        <w:rPr>
          <w:u w:val="single"/>
        </w:rPr>
      </w:pPr>
      <w:r w:rsidRPr="003C1C11">
        <w:rPr>
          <w:u w:val="single"/>
        </w:rPr>
        <w:tab/>
      </w:r>
      <w:r w:rsidRPr="003C1C11">
        <w:rPr>
          <w:u w:val="single"/>
        </w:rPr>
        <w:tab/>
      </w:r>
      <w:r w:rsidRPr="003C1C11">
        <w:rPr>
          <w:u w:val="single"/>
        </w:rPr>
        <w:tab/>
      </w:r>
    </w:p>
    <w:sectPr w:rsidR="00886525" w:rsidRPr="003C1C11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11" w:rsidRDefault="003C1C11" w:rsidP="00B471C5">
      <w:r>
        <w:separator/>
      </w:r>
    </w:p>
  </w:endnote>
  <w:endnote w:type="continuationSeparator" w:id="0">
    <w:p w:rsidR="003C1C11" w:rsidRDefault="003C1C1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11" w:rsidRPr="009A6F4A" w:rsidRDefault="003C1C11" w:rsidP="007005EE">
    <w:pPr>
      <w:pStyle w:val="a8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23354">
      <w:rPr>
        <w:b/>
        <w:noProof/>
        <w:sz w:val="18"/>
        <w:szCs w:val="18"/>
      </w:rPr>
      <w:t>26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GE.16-14847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11" w:rsidRPr="009A6F4A" w:rsidRDefault="003C1C11" w:rsidP="007005EE">
    <w:pPr>
      <w:pStyle w:val="a8"/>
      <w:rPr>
        <w:lang w:val="en-US"/>
      </w:rPr>
    </w:pPr>
    <w:r>
      <w:rPr>
        <w:lang w:val="en-US"/>
      </w:rPr>
      <w:t>GE.16-14847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23354">
      <w:rPr>
        <w:b/>
        <w:noProof/>
        <w:sz w:val="18"/>
        <w:szCs w:val="18"/>
      </w:rPr>
      <w:t>25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C1C11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C1C11" w:rsidRPr="005D1E6A" w:rsidRDefault="003C1C11" w:rsidP="0082335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5D1E6A">
            <w:rPr>
              <w:lang w:val="en-US"/>
            </w:rPr>
            <w:t>GE.16-14847 (R)  290816  3</w:t>
          </w:r>
          <w:r w:rsidR="00823354">
            <w:t>1</w:t>
          </w:r>
          <w:r w:rsidRPr="005D1E6A">
            <w:rPr>
              <w:lang w:val="en-US"/>
            </w:rPr>
            <w:t>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C1C11" w:rsidRDefault="003C1C11" w:rsidP="005C37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8AE3428" wp14:editId="3E13ABE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C1C11" w:rsidRDefault="003C1C11" w:rsidP="005C37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3B5F6A3" wp14:editId="46C39685">
                <wp:extent cx="579755" cy="579755"/>
                <wp:effectExtent l="0" t="0" r="0" b="0"/>
                <wp:docPr id="3" name="Рисунок 3" descr="http://undocs.org/m2/QRCode.ashx?DS=ECE/MP.PRTR/WG.1/2016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RTR/WG.1/2016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1C11" w:rsidRPr="00797A78" w:rsidTr="005C37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C1C11" w:rsidRPr="005D1E6A" w:rsidRDefault="003C1C11" w:rsidP="005C37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D1E6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D1E6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D1E6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D1E6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D1E6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D1E6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D1E6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D1E6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D1E6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C1C11" w:rsidRDefault="003C1C11" w:rsidP="005C37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C1C11" w:rsidRDefault="003C1C11" w:rsidP="005C379D"/>
      </w:tc>
    </w:tr>
  </w:tbl>
  <w:p w:rsidR="003C1C11" w:rsidRPr="007005EE" w:rsidRDefault="003C1C11" w:rsidP="004D639B">
    <w:pPr>
      <w:pStyle w:val="a8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11" w:rsidRPr="009141DC" w:rsidRDefault="003C1C1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C1C11" w:rsidRPr="00D1261C" w:rsidRDefault="003C1C1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C1C11" w:rsidRPr="00D61BC7" w:rsidRDefault="007B360F" w:rsidP="007B360F">
      <w:pPr>
        <w:pStyle w:val="ab"/>
        <w:rPr>
          <w:lang w:val="ru-RU"/>
        </w:rPr>
      </w:pPr>
      <w:r>
        <w:rPr>
          <w:lang w:val="ru-RU"/>
        </w:rPr>
        <w:tab/>
      </w:r>
      <w:r w:rsidR="003C1C11" w:rsidRPr="00D61BC7">
        <w:rPr>
          <w:rStyle w:val="a7"/>
        </w:rPr>
        <w:footnoteRef/>
      </w:r>
      <w:r w:rsidR="003C1C11" w:rsidRPr="00D61BC7">
        <w:rPr>
          <w:lang w:val="ru-RU"/>
        </w:rPr>
        <w:tab/>
        <w:t xml:space="preserve">Можно </w:t>
      </w:r>
      <w:r>
        <w:rPr>
          <w:lang w:val="ru-RU"/>
        </w:rPr>
        <w:t>о</w:t>
      </w:r>
      <w:r w:rsidR="003C1C11" w:rsidRPr="00D61BC7">
        <w:rPr>
          <w:lang w:val="ru-RU"/>
        </w:rPr>
        <w:t xml:space="preserve">знакомиться по </w:t>
      </w:r>
      <w:r w:rsidR="003C1C11" w:rsidRPr="007B360F">
        <w:rPr>
          <w:lang w:val="ru-RU"/>
        </w:rPr>
        <w:t>адресу</w:t>
      </w:r>
      <w:r w:rsidR="003C1C11" w:rsidRPr="00D61BC7">
        <w:rPr>
          <w:lang w:val="ru-RU"/>
        </w:rPr>
        <w:t xml:space="preserve"> </w:t>
      </w:r>
      <w:hyperlink r:id="rId1" w:anchor="/" w:history="1">
        <w:r w:rsidR="003C1C11" w:rsidRPr="00D61BC7">
          <w:rPr>
            <w:rStyle w:val="af5"/>
            <w:color w:val="auto"/>
            <w:u w:val="none"/>
          </w:rPr>
          <w:t>http</w:t>
        </w:r>
        <w:r w:rsidR="003C1C11" w:rsidRPr="00D61BC7">
          <w:rPr>
            <w:rStyle w:val="af5"/>
            <w:color w:val="auto"/>
            <w:u w:val="none"/>
            <w:lang w:val="ru-RU"/>
          </w:rPr>
          <w:t>://</w:t>
        </w:r>
        <w:r w:rsidR="003C1C11" w:rsidRPr="00D61BC7">
          <w:rPr>
            <w:rStyle w:val="af5"/>
            <w:color w:val="auto"/>
            <w:u w:val="none"/>
          </w:rPr>
          <w:t>www</w:t>
        </w:r>
        <w:r w:rsidR="003C1C11" w:rsidRPr="00D61BC7">
          <w:rPr>
            <w:rStyle w:val="af5"/>
            <w:color w:val="auto"/>
            <w:u w:val="none"/>
            <w:lang w:val="ru-RU"/>
          </w:rPr>
          <w:t>.</w:t>
        </w:r>
        <w:r w:rsidR="003C1C11" w:rsidRPr="00D61BC7">
          <w:rPr>
            <w:rStyle w:val="af5"/>
            <w:color w:val="auto"/>
            <w:u w:val="none"/>
          </w:rPr>
          <w:t>unece</w:t>
        </w:r>
        <w:r w:rsidR="003C1C11" w:rsidRPr="00D61BC7">
          <w:rPr>
            <w:rStyle w:val="af5"/>
            <w:color w:val="auto"/>
            <w:u w:val="none"/>
            <w:lang w:val="ru-RU"/>
          </w:rPr>
          <w:t>.</w:t>
        </w:r>
        <w:r w:rsidR="003C1C11" w:rsidRPr="00D61BC7">
          <w:rPr>
            <w:rStyle w:val="af5"/>
            <w:color w:val="auto"/>
            <w:u w:val="none"/>
          </w:rPr>
          <w:t>org</w:t>
        </w:r>
        <w:r w:rsidR="003C1C11" w:rsidRPr="00D61BC7">
          <w:rPr>
            <w:rStyle w:val="af5"/>
            <w:color w:val="auto"/>
            <w:u w:val="none"/>
            <w:lang w:val="ru-RU"/>
          </w:rPr>
          <w:t>/</w:t>
        </w:r>
        <w:r w:rsidR="003C1C11" w:rsidRPr="00D61BC7">
          <w:rPr>
            <w:rStyle w:val="af5"/>
            <w:color w:val="auto"/>
            <w:u w:val="none"/>
          </w:rPr>
          <w:t>env</w:t>
        </w:r>
        <w:r w:rsidR="003C1C11" w:rsidRPr="00D61BC7">
          <w:rPr>
            <w:rStyle w:val="af5"/>
            <w:color w:val="auto"/>
            <w:u w:val="none"/>
            <w:lang w:val="ru-RU"/>
          </w:rPr>
          <w:t>/</w:t>
        </w:r>
        <w:r w:rsidR="003C1C11" w:rsidRPr="00D61BC7">
          <w:rPr>
            <w:rStyle w:val="af5"/>
            <w:color w:val="auto"/>
            <w:u w:val="none"/>
          </w:rPr>
          <w:t>pp</w:t>
        </w:r>
        <w:r w:rsidR="003C1C11" w:rsidRPr="00D61BC7">
          <w:rPr>
            <w:rStyle w:val="af5"/>
            <w:color w:val="auto"/>
            <w:u w:val="none"/>
            <w:lang w:val="ru-RU"/>
          </w:rPr>
          <w:t>/</w:t>
        </w:r>
        <w:r w:rsidR="003C1C11" w:rsidRPr="00D61BC7">
          <w:rPr>
            <w:rStyle w:val="af5"/>
            <w:color w:val="auto"/>
            <w:u w:val="none"/>
          </w:rPr>
          <w:t>mopp</w:t>
        </w:r>
        <w:r w:rsidR="003C1C11" w:rsidRPr="00D61BC7">
          <w:rPr>
            <w:rStyle w:val="af5"/>
            <w:color w:val="auto"/>
            <w:u w:val="none"/>
            <w:lang w:val="ru-RU"/>
          </w:rPr>
          <w:t>1.</w:t>
        </w:r>
        <w:r w:rsidR="003C1C11" w:rsidRPr="00D61BC7">
          <w:rPr>
            <w:rStyle w:val="af5"/>
            <w:color w:val="auto"/>
            <w:u w:val="none"/>
          </w:rPr>
          <w:t>html</w:t>
        </w:r>
        <w:r w:rsidR="003C1C11" w:rsidRPr="00D61BC7">
          <w:rPr>
            <w:rStyle w:val="af5"/>
            <w:color w:val="auto"/>
            <w:u w:val="none"/>
            <w:lang w:val="ru-RU"/>
          </w:rPr>
          <w:t>#/</w:t>
        </w:r>
      </w:hyperlink>
      <w:r>
        <w:rPr>
          <w:rStyle w:val="af5"/>
          <w:color w:val="auto"/>
          <w:u w:val="none"/>
          <w:lang w:val="ru-RU"/>
        </w:rPr>
        <w:t xml:space="preserve"> и</w:t>
      </w:r>
      <w:r w:rsidRPr="007B360F">
        <w:rPr>
          <w:lang w:val="ru-RU"/>
        </w:rPr>
        <w:t xml:space="preserve"> </w:t>
      </w:r>
      <w:hyperlink r:id="rId2" w:anchor="/" w:history="1">
        <w:r w:rsidRPr="007B360F">
          <w:rPr>
            <w:rStyle w:val="af5"/>
            <w:color w:val="auto"/>
            <w:u w:val="none"/>
          </w:rPr>
          <w:t>http</w:t>
        </w:r>
        <w:r w:rsidRPr="007B360F">
          <w:rPr>
            <w:rStyle w:val="af5"/>
            <w:color w:val="auto"/>
            <w:u w:val="none"/>
            <w:lang w:val="ru-RU"/>
          </w:rPr>
          <w:t>://</w:t>
        </w:r>
        <w:r w:rsidRPr="007B360F">
          <w:rPr>
            <w:rStyle w:val="af5"/>
            <w:color w:val="auto"/>
            <w:u w:val="none"/>
          </w:rPr>
          <w:t>www</w:t>
        </w:r>
        <w:r w:rsidRPr="007B360F">
          <w:rPr>
            <w:rStyle w:val="af5"/>
            <w:color w:val="auto"/>
            <w:u w:val="none"/>
            <w:lang w:val="ru-RU"/>
          </w:rPr>
          <w:t>.</w:t>
        </w:r>
        <w:r w:rsidRPr="007B360F">
          <w:rPr>
            <w:rStyle w:val="af5"/>
            <w:color w:val="auto"/>
            <w:u w:val="none"/>
          </w:rPr>
          <w:t>unece</w:t>
        </w:r>
        <w:r w:rsidRPr="007B360F">
          <w:rPr>
            <w:rStyle w:val="af5"/>
            <w:color w:val="auto"/>
            <w:u w:val="none"/>
            <w:lang w:val="ru-RU"/>
          </w:rPr>
          <w:t>.</w:t>
        </w:r>
        <w:r w:rsidRPr="007B360F">
          <w:rPr>
            <w:rStyle w:val="af5"/>
            <w:color w:val="auto"/>
            <w:u w:val="none"/>
          </w:rPr>
          <w:t>org</w:t>
        </w:r>
        <w:r w:rsidRPr="007B360F">
          <w:rPr>
            <w:rStyle w:val="af5"/>
            <w:color w:val="auto"/>
            <w:u w:val="none"/>
            <w:lang w:val="ru-RU"/>
          </w:rPr>
          <w:t>/</w:t>
        </w:r>
        <w:r w:rsidRPr="007B360F">
          <w:rPr>
            <w:rStyle w:val="af5"/>
            <w:color w:val="auto"/>
            <w:u w:val="none"/>
          </w:rPr>
          <w:t>prtrmopp</w:t>
        </w:r>
        <w:r w:rsidRPr="007B360F">
          <w:rPr>
            <w:rStyle w:val="af5"/>
            <w:color w:val="auto"/>
            <w:u w:val="none"/>
            <w:lang w:val="ru-RU"/>
          </w:rPr>
          <w:t>2_</w:t>
        </w:r>
        <w:r w:rsidRPr="007B360F">
          <w:rPr>
            <w:rStyle w:val="af5"/>
            <w:color w:val="auto"/>
            <w:u w:val="none"/>
          </w:rPr>
          <w:t>docs</w:t>
        </w:r>
        <w:r w:rsidRPr="007B360F">
          <w:rPr>
            <w:rStyle w:val="af5"/>
            <w:color w:val="auto"/>
            <w:u w:val="none"/>
            <w:lang w:val="ru-RU"/>
          </w:rPr>
          <w:t>.</w:t>
        </w:r>
        <w:r w:rsidRPr="007B360F">
          <w:rPr>
            <w:rStyle w:val="af5"/>
            <w:color w:val="auto"/>
            <w:u w:val="none"/>
          </w:rPr>
          <w:t>html</w:t>
        </w:r>
        <w:r w:rsidRPr="007B360F">
          <w:rPr>
            <w:rStyle w:val="af5"/>
            <w:color w:val="auto"/>
            <w:u w:val="none"/>
            <w:lang w:val="ru-RU"/>
          </w:rPr>
          <w:t>#/</w:t>
        </w:r>
      </w:hyperlink>
      <w:r w:rsidR="003C1C11" w:rsidRPr="00D61BC7">
        <w:rPr>
          <w:lang w:val="ru-RU"/>
        </w:rPr>
        <w:t>.</w:t>
      </w:r>
    </w:p>
  </w:footnote>
  <w:footnote w:id="2">
    <w:p w:rsidR="003C1C11" w:rsidRPr="00D61BC7" w:rsidRDefault="007B360F" w:rsidP="007B360F">
      <w:pPr>
        <w:pStyle w:val="ab"/>
        <w:rPr>
          <w:lang w:val="ru-RU"/>
        </w:rPr>
      </w:pPr>
      <w:r>
        <w:rPr>
          <w:lang w:val="ru-RU"/>
        </w:rPr>
        <w:tab/>
      </w:r>
      <w:r w:rsidR="003C1C11" w:rsidRPr="00D61BC7">
        <w:rPr>
          <w:rStyle w:val="a7"/>
        </w:rPr>
        <w:footnoteRef/>
      </w:r>
      <w:r w:rsidR="003C1C11" w:rsidRPr="00D61BC7">
        <w:rPr>
          <w:lang w:val="ru-RU"/>
        </w:rPr>
        <w:tab/>
        <w:t xml:space="preserve">Со всеми НДО можно ознакомиться по адресу </w:t>
      </w:r>
      <w:hyperlink r:id="rId3" w:history="1">
        <w:r w:rsidR="003C1C11" w:rsidRPr="00D61BC7">
          <w:rPr>
            <w:rStyle w:val="af5"/>
            <w:color w:val="auto"/>
            <w:u w:val="none"/>
          </w:rPr>
          <w:t>http</w:t>
        </w:r>
        <w:r w:rsidR="003C1C11" w:rsidRPr="00D61BC7">
          <w:rPr>
            <w:rStyle w:val="af5"/>
            <w:color w:val="auto"/>
            <w:u w:val="none"/>
            <w:lang w:val="ru-RU"/>
          </w:rPr>
          <w:t>://</w:t>
        </w:r>
        <w:r w:rsidR="003C1C11" w:rsidRPr="00D61BC7">
          <w:rPr>
            <w:rStyle w:val="af5"/>
            <w:color w:val="auto"/>
            <w:u w:val="none"/>
          </w:rPr>
          <w:t>www</w:t>
        </w:r>
        <w:r w:rsidR="003C1C11" w:rsidRPr="00D61BC7">
          <w:rPr>
            <w:rStyle w:val="af5"/>
            <w:color w:val="auto"/>
            <w:u w:val="none"/>
            <w:lang w:val="ru-RU"/>
          </w:rPr>
          <w:t>.</w:t>
        </w:r>
        <w:proofErr w:type="spellStart"/>
        <w:r w:rsidR="003C1C11" w:rsidRPr="00D61BC7">
          <w:rPr>
            <w:rStyle w:val="af5"/>
            <w:color w:val="auto"/>
            <w:u w:val="none"/>
          </w:rPr>
          <w:t>unece</w:t>
        </w:r>
        <w:proofErr w:type="spellEnd"/>
        <w:r w:rsidR="003C1C11" w:rsidRPr="00D61BC7">
          <w:rPr>
            <w:rStyle w:val="af5"/>
            <w:color w:val="auto"/>
            <w:u w:val="none"/>
            <w:lang w:val="ru-RU"/>
          </w:rPr>
          <w:t>.</w:t>
        </w:r>
        <w:r w:rsidR="003C1C11" w:rsidRPr="00D61BC7">
          <w:rPr>
            <w:rStyle w:val="af5"/>
            <w:color w:val="auto"/>
            <w:u w:val="none"/>
          </w:rPr>
          <w:t>org</w:t>
        </w:r>
        <w:r w:rsidR="003C1C11" w:rsidRPr="00D61BC7">
          <w:rPr>
            <w:rStyle w:val="af5"/>
            <w:color w:val="auto"/>
            <w:u w:val="none"/>
            <w:lang w:val="ru-RU"/>
          </w:rPr>
          <w:t>/</w:t>
        </w:r>
        <w:proofErr w:type="spellStart"/>
        <w:r w:rsidR="003C1C11" w:rsidRPr="00D61BC7">
          <w:rPr>
            <w:rStyle w:val="af5"/>
            <w:color w:val="auto"/>
            <w:u w:val="none"/>
          </w:rPr>
          <w:t>env</w:t>
        </w:r>
        <w:proofErr w:type="spellEnd"/>
        <w:r w:rsidR="003C1C11" w:rsidRPr="00D61BC7">
          <w:rPr>
            <w:rStyle w:val="af5"/>
            <w:color w:val="auto"/>
            <w:u w:val="none"/>
            <w:lang w:val="ru-RU"/>
          </w:rPr>
          <w:t>/</w:t>
        </w:r>
        <w:r w:rsidR="003C1C11" w:rsidRPr="00D61BC7">
          <w:rPr>
            <w:rStyle w:val="af5"/>
            <w:color w:val="auto"/>
            <w:u w:val="none"/>
          </w:rPr>
          <w:t>pp</w:t>
        </w:r>
        <w:r w:rsidR="003C1C11" w:rsidRPr="00D61BC7">
          <w:rPr>
            <w:rStyle w:val="af5"/>
            <w:color w:val="auto"/>
            <w:u w:val="none"/>
            <w:lang w:val="ru-RU"/>
          </w:rPr>
          <w:t xml:space="preserve">/ </w:t>
        </w:r>
        <w:proofErr w:type="spellStart"/>
        <w:r w:rsidR="003C1C11" w:rsidRPr="00D61BC7">
          <w:rPr>
            <w:rStyle w:val="af5"/>
            <w:color w:val="auto"/>
            <w:u w:val="none"/>
          </w:rPr>
          <w:t>prtr</w:t>
        </w:r>
        <w:proofErr w:type="spellEnd"/>
        <w:r w:rsidR="003C1C11" w:rsidRPr="00D61BC7">
          <w:rPr>
            <w:rStyle w:val="af5"/>
            <w:color w:val="auto"/>
            <w:u w:val="none"/>
            <w:lang w:val="ru-RU"/>
          </w:rPr>
          <w:t>_</w:t>
        </w:r>
        <w:r w:rsidR="003C1C11" w:rsidRPr="00D61BC7">
          <w:rPr>
            <w:rStyle w:val="af5"/>
            <w:color w:val="auto"/>
            <w:u w:val="none"/>
          </w:rPr>
          <w:t>reports</w:t>
        </w:r>
        <w:r w:rsidR="003C1C11" w:rsidRPr="00D61BC7">
          <w:rPr>
            <w:rStyle w:val="af5"/>
            <w:color w:val="auto"/>
            <w:u w:val="none"/>
            <w:lang w:val="ru-RU"/>
          </w:rPr>
          <w:t>_</w:t>
        </w:r>
        <w:r w:rsidR="003C1C11" w:rsidRPr="00D61BC7">
          <w:rPr>
            <w:rStyle w:val="af5"/>
            <w:color w:val="auto"/>
            <w:u w:val="none"/>
          </w:rPr>
          <w:t>implementation</w:t>
        </w:r>
        <w:r w:rsidR="003C1C11" w:rsidRPr="00D61BC7">
          <w:rPr>
            <w:rStyle w:val="af5"/>
            <w:color w:val="auto"/>
            <w:u w:val="none"/>
            <w:lang w:val="ru-RU"/>
          </w:rPr>
          <w:t>_2014.</w:t>
        </w:r>
        <w:r w:rsidR="003C1C11" w:rsidRPr="00D61BC7">
          <w:rPr>
            <w:rStyle w:val="af5"/>
            <w:color w:val="auto"/>
            <w:u w:val="none"/>
          </w:rPr>
          <w:t>html</w:t>
        </w:r>
      </w:hyperlink>
      <w:r w:rsidR="003C1C11" w:rsidRPr="00D61BC7">
        <w:rPr>
          <w:lang w:val="ru-RU"/>
        </w:rPr>
        <w:t>.</w:t>
      </w:r>
    </w:p>
  </w:footnote>
  <w:footnote w:id="3">
    <w:p w:rsidR="003C1C11" w:rsidRPr="00D61BC7" w:rsidRDefault="007B360F" w:rsidP="007B360F">
      <w:pPr>
        <w:pStyle w:val="ab"/>
        <w:rPr>
          <w:lang w:val="ru-RU"/>
        </w:rPr>
      </w:pPr>
      <w:r>
        <w:rPr>
          <w:lang w:val="ru-RU"/>
        </w:rPr>
        <w:tab/>
      </w:r>
      <w:r w:rsidR="003C1C11" w:rsidRPr="00D61BC7">
        <w:rPr>
          <w:rStyle w:val="a7"/>
        </w:rPr>
        <w:footnoteRef/>
      </w:r>
      <w:r w:rsidR="003C1C11">
        <w:rPr>
          <w:lang w:val="ru-RU"/>
        </w:rPr>
        <w:tab/>
      </w:r>
      <w:r w:rsidR="003C1C11" w:rsidRPr="00D61BC7">
        <w:rPr>
          <w:lang w:val="ru-RU"/>
        </w:rPr>
        <w:t xml:space="preserve">См. </w:t>
      </w:r>
      <w:hyperlink r:id="rId4" w:history="1">
        <w:r w:rsidR="003C1C11" w:rsidRPr="00D61BC7">
          <w:rPr>
            <w:rStyle w:val="af5"/>
            <w:color w:val="auto"/>
            <w:u w:val="none"/>
          </w:rPr>
          <w:t>http</w:t>
        </w:r>
        <w:r w:rsidR="003C1C11" w:rsidRPr="00D61BC7">
          <w:rPr>
            <w:rStyle w:val="af5"/>
            <w:color w:val="auto"/>
            <w:u w:val="none"/>
            <w:lang w:val="ru-RU"/>
          </w:rPr>
          <w:t>://</w:t>
        </w:r>
        <w:r w:rsidR="003C1C11" w:rsidRPr="00D61BC7">
          <w:rPr>
            <w:rStyle w:val="af5"/>
            <w:color w:val="auto"/>
            <w:u w:val="none"/>
          </w:rPr>
          <w:t>www</w:t>
        </w:r>
        <w:r w:rsidR="003C1C11" w:rsidRPr="00D61BC7">
          <w:rPr>
            <w:rStyle w:val="af5"/>
            <w:color w:val="auto"/>
            <w:u w:val="none"/>
            <w:lang w:val="ru-RU"/>
          </w:rPr>
          <w:t>2.</w:t>
        </w:r>
        <w:proofErr w:type="spellStart"/>
        <w:r w:rsidR="003C1C11" w:rsidRPr="00D61BC7">
          <w:rPr>
            <w:rStyle w:val="af5"/>
            <w:color w:val="auto"/>
            <w:u w:val="none"/>
          </w:rPr>
          <w:t>unece</w:t>
        </w:r>
        <w:proofErr w:type="spellEnd"/>
        <w:r w:rsidR="003C1C11" w:rsidRPr="00D61BC7">
          <w:rPr>
            <w:rStyle w:val="af5"/>
            <w:color w:val="auto"/>
            <w:u w:val="none"/>
            <w:lang w:val="ru-RU"/>
          </w:rPr>
          <w:t>.</w:t>
        </w:r>
        <w:r w:rsidR="003C1C11" w:rsidRPr="00D61BC7">
          <w:rPr>
            <w:rStyle w:val="af5"/>
            <w:color w:val="auto"/>
            <w:u w:val="none"/>
          </w:rPr>
          <w:t>org</w:t>
        </w:r>
        <w:r w:rsidR="003C1C11" w:rsidRPr="00D61BC7">
          <w:rPr>
            <w:rStyle w:val="af5"/>
            <w:color w:val="auto"/>
            <w:u w:val="none"/>
            <w:lang w:val="ru-RU"/>
          </w:rPr>
          <w:t>/</w:t>
        </w:r>
        <w:proofErr w:type="spellStart"/>
        <w:r w:rsidR="003C1C11" w:rsidRPr="00D61BC7">
          <w:rPr>
            <w:rStyle w:val="af5"/>
            <w:color w:val="auto"/>
            <w:u w:val="none"/>
          </w:rPr>
          <w:t>prtr</w:t>
        </w:r>
        <w:proofErr w:type="spellEnd"/>
        <w:r w:rsidR="003C1C11" w:rsidRPr="00D61BC7">
          <w:rPr>
            <w:rStyle w:val="af5"/>
            <w:color w:val="auto"/>
            <w:u w:val="none"/>
            <w:lang w:val="ru-RU"/>
          </w:rPr>
          <w:t>-</w:t>
        </w:r>
        <w:proofErr w:type="spellStart"/>
        <w:r w:rsidR="003C1C11" w:rsidRPr="00D61BC7">
          <w:rPr>
            <w:rStyle w:val="af5"/>
            <w:color w:val="auto"/>
            <w:u w:val="none"/>
          </w:rPr>
          <w:t>nir</w:t>
        </w:r>
        <w:proofErr w:type="spellEnd"/>
        <w:r w:rsidR="003C1C11" w:rsidRPr="00D61BC7">
          <w:rPr>
            <w:rStyle w:val="af5"/>
            <w:color w:val="auto"/>
            <w:u w:val="none"/>
            <w:lang w:val="ru-RU"/>
          </w:rPr>
          <w:t>/</w:t>
        </w:r>
      </w:hyperlink>
      <w:r w:rsidR="003C1C11" w:rsidRPr="00D61BC7">
        <w:rPr>
          <w:lang w:val="ru-RU"/>
        </w:rPr>
        <w:t>.</w:t>
      </w:r>
    </w:p>
  </w:footnote>
  <w:footnote w:id="4">
    <w:p w:rsidR="003C1C11" w:rsidRPr="00D61BC7" w:rsidRDefault="007B360F" w:rsidP="007B360F">
      <w:pPr>
        <w:pStyle w:val="ab"/>
        <w:rPr>
          <w:lang w:val="ru-RU"/>
        </w:rPr>
      </w:pPr>
      <w:r>
        <w:rPr>
          <w:lang w:val="ru-RU"/>
        </w:rPr>
        <w:tab/>
      </w:r>
      <w:r w:rsidR="003C1C11" w:rsidRPr="00D61BC7">
        <w:rPr>
          <w:rStyle w:val="a7"/>
        </w:rPr>
        <w:footnoteRef/>
      </w:r>
      <w:r w:rsidR="003C1C11">
        <w:rPr>
          <w:lang w:val="ru-RU"/>
        </w:rPr>
        <w:tab/>
      </w:r>
      <w:r w:rsidR="003C1C11" w:rsidRPr="00AC4167">
        <w:rPr>
          <w:lang w:val="ru-RU"/>
        </w:rPr>
        <w:t>Можно</w:t>
      </w:r>
      <w:r w:rsidR="003C1C11" w:rsidRPr="00D61BC7">
        <w:rPr>
          <w:lang w:val="ru-RU"/>
        </w:rPr>
        <w:t xml:space="preserve"> ознакомиться по адресу </w:t>
      </w:r>
      <w:hyperlink r:id="rId5" w:anchor="/" w:history="1">
        <w:r w:rsidR="003C1C11" w:rsidRPr="00D61BC7">
          <w:rPr>
            <w:rStyle w:val="af5"/>
            <w:color w:val="auto"/>
            <w:u w:val="none"/>
          </w:rPr>
          <w:t>http</w:t>
        </w:r>
        <w:r w:rsidR="003C1C11" w:rsidRPr="00D61BC7">
          <w:rPr>
            <w:rStyle w:val="af5"/>
            <w:color w:val="auto"/>
            <w:u w:val="none"/>
            <w:lang w:val="ru-RU"/>
          </w:rPr>
          <w:t>://</w:t>
        </w:r>
        <w:r w:rsidR="003C1C11" w:rsidRPr="00D61BC7">
          <w:rPr>
            <w:rStyle w:val="af5"/>
            <w:color w:val="auto"/>
            <w:u w:val="none"/>
          </w:rPr>
          <w:t>www</w:t>
        </w:r>
        <w:r w:rsidR="003C1C11" w:rsidRPr="00D61BC7">
          <w:rPr>
            <w:rStyle w:val="af5"/>
            <w:color w:val="auto"/>
            <w:u w:val="none"/>
            <w:lang w:val="ru-RU"/>
          </w:rPr>
          <w:t>.</w:t>
        </w:r>
        <w:proofErr w:type="spellStart"/>
        <w:r w:rsidR="003C1C11" w:rsidRPr="00D61BC7">
          <w:rPr>
            <w:rStyle w:val="af5"/>
            <w:color w:val="auto"/>
            <w:u w:val="none"/>
          </w:rPr>
          <w:t>unece</w:t>
        </w:r>
        <w:proofErr w:type="spellEnd"/>
        <w:r w:rsidR="003C1C11" w:rsidRPr="00D61BC7">
          <w:rPr>
            <w:rStyle w:val="af5"/>
            <w:color w:val="auto"/>
            <w:u w:val="none"/>
            <w:lang w:val="ru-RU"/>
          </w:rPr>
          <w:t>.</w:t>
        </w:r>
        <w:r w:rsidR="003C1C11" w:rsidRPr="00D61BC7">
          <w:rPr>
            <w:rStyle w:val="af5"/>
            <w:color w:val="auto"/>
            <w:u w:val="none"/>
          </w:rPr>
          <w:t>org</w:t>
        </w:r>
        <w:r w:rsidR="003C1C11" w:rsidRPr="00D61BC7">
          <w:rPr>
            <w:rStyle w:val="af5"/>
            <w:color w:val="auto"/>
            <w:u w:val="none"/>
            <w:lang w:val="ru-RU"/>
          </w:rPr>
          <w:t>/</w:t>
        </w:r>
        <w:proofErr w:type="spellStart"/>
        <w:r w:rsidR="003C1C11" w:rsidRPr="00D61BC7">
          <w:rPr>
            <w:rStyle w:val="af5"/>
            <w:color w:val="auto"/>
            <w:u w:val="none"/>
          </w:rPr>
          <w:t>prtrmopp</w:t>
        </w:r>
        <w:proofErr w:type="spellEnd"/>
        <w:r w:rsidR="003C1C11" w:rsidRPr="00D61BC7">
          <w:rPr>
            <w:rStyle w:val="af5"/>
            <w:color w:val="auto"/>
            <w:u w:val="none"/>
            <w:lang w:val="ru-RU"/>
          </w:rPr>
          <w:t>2_</w:t>
        </w:r>
        <w:r w:rsidR="003C1C11" w:rsidRPr="00D61BC7">
          <w:rPr>
            <w:rStyle w:val="af5"/>
            <w:color w:val="auto"/>
            <w:u w:val="none"/>
          </w:rPr>
          <w:t>docs</w:t>
        </w:r>
        <w:r w:rsidR="003C1C11" w:rsidRPr="00D61BC7">
          <w:rPr>
            <w:rStyle w:val="af5"/>
            <w:color w:val="auto"/>
            <w:u w:val="none"/>
            <w:lang w:val="ru-RU"/>
          </w:rPr>
          <w:t>.</w:t>
        </w:r>
        <w:r w:rsidR="003C1C11" w:rsidRPr="00D61BC7">
          <w:rPr>
            <w:rStyle w:val="af5"/>
            <w:color w:val="auto"/>
            <w:u w:val="none"/>
          </w:rPr>
          <w:t>html</w:t>
        </w:r>
        <w:r w:rsidR="003C1C11" w:rsidRPr="00D61BC7">
          <w:rPr>
            <w:rStyle w:val="af5"/>
            <w:color w:val="auto"/>
            <w:u w:val="none"/>
            <w:lang w:val="ru-RU"/>
          </w:rPr>
          <w:t>#/</w:t>
        </w:r>
      </w:hyperlink>
      <w:r w:rsidR="003C1C11" w:rsidRPr="00D61BC7">
        <w:rPr>
          <w:lang w:val="ru-RU"/>
        </w:rPr>
        <w:t>.</w:t>
      </w:r>
    </w:p>
  </w:footnote>
  <w:footnote w:id="5">
    <w:p w:rsidR="003C1C11" w:rsidRPr="00D61BC7" w:rsidRDefault="00AC4167" w:rsidP="00AC4167">
      <w:pPr>
        <w:pStyle w:val="ab"/>
        <w:rPr>
          <w:lang w:val="ru-RU"/>
        </w:rPr>
      </w:pPr>
      <w:r>
        <w:rPr>
          <w:lang w:val="ru-RU"/>
        </w:rPr>
        <w:tab/>
      </w:r>
      <w:r w:rsidR="003C1C11" w:rsidRPr="00D61BC7">
        <w:rPr>
          <w:rStyle w:val="a7"/>
        </w:rPr>
        <w:footnoteRef/>
      </w:r>
      <w:r w:rsidR="003C1C11">
        <w:rPr>
          <w:lang w:val="ru-RU"/>
        </w:rPr>
        <w:tab/>
      </w:r>
      <w:r w:rsidR="003C1C11" w:rsidRPr="00AC4167">
        <w:rPr>
          <w:lang w:val="ru-RU"/>
        </w:rPr>
        <w:t>Директива</w:t>
      </w:r>
      <w:r w:rsidR="003C1C11" w:rsidRPr="00D61BC7">
        <w:rPr>
          <w:lang w:val="ru-RU"/>
        </w:rPr>
        <w:t xml:space="preserve"> № 166/2006 Европейского парламента и Совета от 18 января 2006</w:t>
      </w:r>
      <w:r w:rsidR="003C1C11" w:rsidRPr="00D61BC7">
        <w:t> </w:t>
      </w:r>
      <w:r w:rsidR="003C1C11" w:rsidRPr="00D61BC7">
        <w:rPr>
          <w:lang w:val="ru-RU"/>
        </w:rPr>
        <w:t xml:space="preserve">года </w:t>
      </w:r>
      <w:r w:rsidR="003C1C11">
        <w:rPr>
          <w:lang w:val="ru-RU"/>
        </w:rPr>
        <w:br/>
      </w:r>
      <w:r w:rsidR="003C1C11" w:rsidRPr="00D61BC7">
        <w:rPr>
          <w:lang w:val="ru-RU"/>
        </w:rPr>
        <w:t>о создании Европейского регистра выбросов и переноса загрязнителей и о внесении поправок в Директивы Совета 91/689/</w:t>
      </w:r>
      <w:r w:rsidR="003C1C11" w:rsidRPr="00D61BC7">
        <w:t>EEC</w:t>
      </w:r>
      <w:r w:rsidR="003C1C11" w:rsidRPr="00D61BC7">
        <w:rPr>
          <w:lang w:val="ru-RU"/>
        </w:rPr>
        <w:t xml:space="preserve"> и 96/61/</w:t>
      </w:r>
      <w:r w:rsidR="003C1C11" w:rsidRPr="00D61BC7">
        <w:t>EC</w:t>
      </w:r>
      <w:r w:rsidR="003C1C11" w:rsidRPr="00D61BC7">
        <w:rPr>
          <w:lang w:val="ru-RU"/>
        </w:rPr>
        <w:t xml:space="preserve">, 2006 </w:t>
      </w:r>
      <w:r w:rsidR="003C1C11" w:rsidRPr="00D61BC7">
        <w:t>O</w:t>
      </w:r>
      <w:r w:rsidR="003C1C11" w:rsidRPr="00D61BC7">
        <w:rPr>
          <w:lang w:val="ru-RU"/>
        </w:rPr>
        <w:t>.</w:t>
      </w:r>
      <w:r w:rsidR="003C1C11" w:rsidRPr="00D61BC7">
        <w:t>J</w:t>
      </w:r>
      <w:r w:rsidR="003C1C11" w:rsidRPr="00D61BC7">
        <w:rPr>
          <w:lang w:val="ru-RU"/>
        </w:rPr>
        <w:t>. (</w:t>
      </w:r>
      <w:r w:rsidR="003C1C11" w:rsidRPr="00D61BC7">
        <w:t>L</w:t>
      </w:r>
      <w:r w:rsidR="003C1C11" w:rsidRPr="00D61BC7">
        <w:rPr>
          <w:lang w:val="ru-RU"/>
        </w:rPr>
        <w:t xml:space="preserve"> 33), </w:t>
      </w:r>
      <w:r w:rsidR="003C1C11" w:rsidRPr="00D61BC7">
        <w:t>pp</w:t>
      </w:r>
      <w:r w:rsidR="003C1C11" w:rsidRPr="00D61BC7">
        <w:rPr>
          <w:lang w:val="ru-RU"/>
        </w:rPr>
        <w:t>. 1–17.</w:t>
      </w:r>
    </w:p>
  </w:footnote>
  <w:footnote w:id="6">
    <w:p w:rsidR="003C1C11" w:rsidRPr="00D61BC7" w:rsidRDefault="00AD220A" w:rsidP="00AD220A">
      <w:pPr>
        <w:pStyle w:val="ab"/>
        <w:rPr>
          <w:lang w:val="ru-RU"/>
        </w:rPr>
      </w:pPr>
      <w:r>
        <w:rPr>
          <w:lang w:val="ru-RU"/>
        </w:rPr>
        <w:tab/>
      </w:r>
      <w:r w:rsidR="003C1C11" w:rsidRPr="00D61BC7">
        <w:rPr>
          <w:rStyle w:val="a7"/>
        </w:rPr>
        <w:footnoteRef/>
      </w:r>
      <w:r w:rsidR="003C1C11">
        <w:rPr>
          <w:lang w:val="ru-RU"/>
        </w:rPr>
        <w:tab/>
      </w:r>
      <w:r w:rsidR="003C1C11" w:rsidRPr="00D61BC7">
        <w:rPr>
          <w:lang w:val="fr-CH"/>
        </w:rPr>
        <w:t>NACE</w:t>
      </w:r>
      <w:r w:rsidR="003C1C11" w:rsidRPr="00D61BC7">
        <w:rPr>
          <w:lang w:val="ru-RU"/>
        </w:rPr>
        <w:t xml:space="preserve"> является «</w:t>
      </w:r>
      <w:r w:rsidR="003C1C11" w:rsidRPr="00AD220A">
        <w:rPr>
          <w:lang w:val="ru-RU"/>
        </w:rPr>
        <w:t>статистической</w:t>
      </w:r>
      <w:r w:rsidR="003C1C11" w:rsidRPr="00D61BC7">
        <w:rPr>
          <w:lang w:val="ru-RU"/>
        </w:rPr>
        <w:t xml:space="preserve"> классификацией видов экономической деятельности Европейского сообщества» («</w:t>
      </w:r>
      <w:r w:rsidRPr="006A1D15">
        <w:rPr>
          <w:b/>
          <w:lang w:val="fr-CH"/>
        </w:rPr>
        <w:t>n</w:t>
      </w:r>
      <w:r w:rsidRPr="006A1D15">
        <w:rPr>
          <w:lang w:val="fr-CH"/>
        </w:rPr>
        <w:t>omenclature</w:t>
      </w:r>
      <w:r w:rsidRPr="00AD220A">
        <w:rPr>
          <w:lang w:val="ru-RU"/>
        </w:rPr>
        <w:t xml:space="preserve"> </w:t>
      </w:r>
      <w:r w:rsidRPr="006A1D15">
        <w:rPr>
          <w:lang w:val="fr-CH"/>
        </w:rPr>
        <w:t>statistique</w:t>
      </w:r>
      <w:r w:rsidRPr="00AD220A">
        <w:rPr>
          <w:lang w:val="ru-RU"/>
        </w:rPr>
        <w:t xml:space="preserve"> </w:t>
      </w:r>
      <w:r w:rsidRPr="006A1D15">
        <w:rPr>
          <w:lang w:val="fr-CH"/>
        </w:rPr>
        <w:t>des</w:t>
      </w:r>
      <w:r w:rsidRPr="00AD220A">
        <w:rPr>
          <w:lang w:val="ru-RU"/>
        </w:rPr>
        <w:t xml:space="preserve"> </w:t>
      </w:r>
      <w:proofErr w:type="spellStart"/>
      <w:r w:rsidRPr="006A1D15">
        <w:rPr>
          <w:b/>
          <w:lang w:val="fr-CH"/>
        </w:rPr>
        <w:t>a</w:t>
      </w:r>
      <w:r w:rsidRPr="006A1D15">
        <w:rPr>
          <w:lang w:val="fr-CH"/>
        </w:rPr>
        <w:t>ctivit</w:t>
      </w:r>
      <w:proofErr w:type="spellEnd"/>
      <w:r w:rsidRPr="00AD220A">
        <w:rPr>
          <w:lang w:val="ru-RU"/>
        </w:rPr>
        <w:t>é</w:t>
      </w:r>
      <w:r w:rsidRPr="006A1D15">
        <w:rPr>
          <w:lang w:val="fr-CH"/>
        </w:rPr>
        <w:t>s</w:t>
      </w:r>
      <w:r w:rsidRPr="00AD220A">
        <w:rPr>
          <w:lang w:val="ru-RU"/>
        </w:rPr>
        <w:t xml:space="preserve"> é</w:t>
      </w:r>
      <w:proofErr w:type="spellStart"/>
      <w:r w:rsidRPr="006A1D15">
        <w:rPr>
          <w:lang w:val="fr-CH"/>
        </w:rPr>
        <w:t>conomiques</w:t>
      </w:r>
      <w:proofErr w:type="spellEnd"/>
      <w:r w:rsidRPr="00AD220A">
        <w:rPr>
          <w:lang w:val="ru-RU"/>
        </w:rPr>
        <w:t xml:space="preserve"> </w:t>
      </w:r>
      <w:r w:rsidRPr="006A1D15">
        <w:rPr>
          <w:lang w:val="fr-CH"/>
        </w:rPr>
        <w:t>dans</w:t>
      </w:r>
      <w:r w:rsidRPr="00AD220A">
        <w:rPr>
          <w:lang w:val="ru-RU"/>
        </w:rPr>
        <w:t xml:space="preserve"> </w:t>
      </w:r>
      <w:r w:rsidRPr="006A1D15">
        <w:rPr>
          <w:lang w:val="fr-CH"/>
        </w:rPr>
        <w:t>la</w:t>
      </w:r>
      <w:r w:rsidRPr="00AD220A">
        <w:rPr>
          <w:lang w:val="ru-RU"/>
        </w:rPr>
        <w:t xml:space="preserve"> </w:t>
      </w:r>
      <w:proofErr w:type="spellStart"/>
      <w:r w:rsidRPr="006A1D15">
        <w:rPr>
          <w:b/>
          <w:lang w:val="fr-CH"/>
        </w:rPr>
        <w:t>C</w:t>
      </w:r>
      <w:r w:rsidRPr="006A1D15">
        <w:rPr>
          <w:lang w:val="fr-CH"/>
        </w:rPr>
        <w:t>ommunaut</w:t>
      </w:r>
      <w:proofErr w:type="spellEnd"/>
      <w:r w:rsidRPr="00AD220A">
        <w:rPr>
          <w:lang w:val="ru-RU"/>
        </w:rPr>
        <w:t xml:space="preserve">é </w:t>
      </w:r>
      <w:proofErr w:type="spellStart"/>
      <w:r w:rsidRPr="006A1D15">
        <w:rPr>
          <w:b/>
          <w:lang w:val="fr-CH"/>
        </w:rPr>
        <w:t>e</w:t>
      </w:r>
      <w:r w:rsidRPr="006A1D15">
        <w:rPr>
          <w:lang w:val="fr-CH"/>
        </w:rPr>
        <w:t>urop</w:t>
      </w:r>
      <w:proofErr w:type="spellEnd"/>
      <w:r w:rsidRPr="00AD220A">
        <w:rPr>
          <w:lang w:val="ru-RU"/>
        </w:rPr>
        <w:t>é</w:t>
      </w:r>
      <w:proofErr w:type="spellStart"/>
      <w:r w:rsidRPr="006A1D15">
        <w:rPr>
          <w:lang w:val="fr-CH"/>
        </w:rPr>
        <w:t>enne</w:t>
      </w:r>
      <w:proofErr w:type="spellEnd"/>
      <w:r w:rsidR="003C1C11" w:rsidRPr="00D61BC7">
        <w:rPr>
          <w:lang w:val="ru-RU"/>
        </w:rPr>
        <w:t>»).</w:t>
      </w:r>
    </w:p>
  </w:footnote>
  <w:footnote w:id="7">
    <w:p w:rsidR="003C1C11" w:rsidRPr="00D61BC7" w:rsidRDefault="00AD220A" w:rsidP="00AD220A">
      <w:pPr>
        <w:pStyle w:val="ab"/>
        <w:rPr>
          <w:lang w:val="ru-RU"/>
        </w:rPr>
      </w:pPr>
      <w:r>
        <w:rPr>
          <w:lang w:val="ru-RU"/>
        </w:rPr>
        <w:tab/>
      </w:r>
      <w:r w:rsidR="003C1C11" w:rsidRPr="00D61BC7">
        <w:rPr>
          <w:rStyle w:val="a7"/>
        </w:rPr>
        <w:footnoteRef/>
      </w:r>
      <w:r w:rsidR="003C1C11">
        <w:rPr>
          <w:lang w:val="ru-RU"/>
        </w:rPr>
        <w:tab/>
      </w:r>
      <w:proofErr w:type="spellStart"/>
      <w:proofErr w:type="gramStart"/>
      <w:r w:rsidR="003C1C11" w:rsidRPr="00AD220A">
        <w:t>См</w:t>
      </w:r>
      <w:proofErr w:type="spellEnd"/>
      <w:r w:rsidR="003C1C11" w:rsidRPr="00D61BC7">
        <w:rPr>
          <w:lang w:val="ru-RU"/>
        </w:rPr>
        <w:t xml:space="preserve">. </w:t>
      </w:r>
      <w:hyperlink r:id="rId6" w:history="1">
        <w:r w:rsidR="003C1C11" w:rsidRPr="00D61BC7">
          <w:rPr>
            <w:rStyle w:val="af5"/>
            <w:color w:val="auto"/>
            <w:u w:val="none"/>
          </w:rPr>
          <w:t>http</w:t>
        </w:r>
        <w:r w:rsidR="003C1C11" w:rsidRPr="00D61BC7">
          <w:rPr>
            <w:rStyle w:val="af5"/>
            <w:color w:val="auto"/>
            <w:u w:val="none"/>
            <w:lang w:val="ru-RU"/>
          </w:rPr>
          <w:t>://</w:t>
        </w:r>
        <w:r w:rsidR="003C1C11" w:rsidRPr="00D61BC7">
          <w:rPr>
            <w:rStyle w:val="af5"/>
            <w:color w:val="auto"/>
            <w:u w:val="none"/>
          </w:rPr>
          <w:t>www</w:t>
        </w:r>
        <w:r w:rsidR="003C1C11" w:rsidRPr="00D61BC7">
          <w:rPr>
            <w:rStyle w:val="af5"/>
            <w:color w:val="auto"/>
            <w:u w:val="none"/>
            <w:lang w:val="ru-RU"/>
          </w:rPr>
          <w:t>.</w:t>
        </w:r>
        <w:proofErr w:type="spellStart"/>
        <w:r w:rsidR="003C1C11" w:rsidRPr="00D61BC7">
          <w:rPr>
            <w:rStyle w:val="af5"/>
            <w:color w:val="auto"/>
            <w:u w:val="none"/>
          </w:rPr>
          <w:t>ceip</w:t>
        </w:r>
        <w:proofErr w:type="spellEnd"/>
        <w:r w:rsidR="003C1C11" w:rsidRPr="00D61BC7">
          <w:rPr>
            <w:rStyle w:val="af5"/>
            <w:color w:val="auto"/>
            <w:u w:val="none"/>
            <w:lang w:val="ru-RU"/>
          </w:rPr>
          <w:t>.</w:t>
        </w:r>
        <w:r w:rsidR="003C1C11" w:rsidRPr="00D61BC7">
          <w:rPr>
            <w:rStyle w:val="af5"/>
            <w:color w:val="auto"/>
            <w:u w:val="none"/>
          </w:rPr>
          <w:t>at</w:t>
        </w:r>
        <w:r w:rsidR="003C1C11" w:rsidRPr="00D61BC7">
          <w:rPr>
            <w:rStyle w:val="af5"/>
            <w:color w:val="auto"/>
            <w:u w:val="none"/>
            <w:lang w:val="ru-RU"/>
          </w:rPr>
          <w:t>/</w:t>
        </w:r>
        <w:r w:rsidR="003C1C11" w:rsidRPr="00D61BC7">
          <w:rPr>
            <w:rStyle w:val="af5"/>
            <w:color w:val="auto"/>
            <w:u w:val="none"/>
          </w:rPr>
          <w:t>emission</w:t>
        </w:r>
        <w:r w:rsidR="003C1C11" w:rsidRPr="00D61BC7">
          <w:rPr>
            <w:rStyle w:val="af5"/>
            <w:color w:val="auto"/>
            <w:u w:val="none"/>
            <w:lang w:val="ru-RU"/>
          </w:rPr>
          <w:t>-</w:t>
        </w:r>
        <w:r w:rsidR="003C1C11" w:rsidRPr="00D61BC7">
          <w:rPr>
            <w:rStyle w:val="af5"/>
            <w:color w:val="auto"/>
            <w:u w:val="none"/>
          </w:rPr>
          <w:t>data</w:t>
        </w:r>
        <w:r w:rsidR="003C1C11" w:rsidRPr="00D61BC7">
          <w:rPr>
            <w:rStyle w:val="af5"/>
            <w:color w:val="auto"/>
            <w:u w:val="none"/>
            <w:lang w:val="ru-RU"/>
          </w:rPr>
          <w:t>-</w:t>
        </w:r>
        <w:proofErr w:type="spellStart"/>
        <w:r w:rsidR="003C1C11" w:rsidRPr="00D61BC7">
          <w:rPr>
            <w:rStyle w:val="af5"/>
            <w:color w:val="auto"/>
            <w:u w:val="none"/>
          </w:rPr>
          <w:t>webdab</w:t>
        </w:r>
        <w:proofErr w:type="spellEnd"/>
        <w:r w:rsidR="003C1C11" w:rsidRPr="00D61BC7">
          <w:rPr>
            <w:rStyle w:val="af5"/>
            <w:color w:val="auto"/>
            <w:u w:val="none"/>
            <w:lang w:val="ru-RU"/>
          </w:rPr>
          <w:t>/</w:t>
        </w:r>
      </w:hyperlink>
      <w:r w:rsidR="003C1C11" w:rsidRPr="00D61BC7">
        <w:rPr>
          <w:lang w:val="ru-RU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11" w:rsidRPr="007005EE" w:rsidRDefault="003C1C11">
    <w:pPr>
      <w:pStyle w:val="a4"/>
      <w:rPr>
        <w:lang w:val="en-US"/>
      </w:rPr>
    </w:pPr>
    <w:r>
      <w:rPr>
        <w:lang w:val="en-US"/>
      </w:rPr>
      <w:t>ECE/</w:t>
    </w:r>
    <w:r w:rsidRPr="00065339">
      <w:t>MP.PRTR/WG.1/2016/6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11" w:rsidRPr="004D639B" w:rsidRDefault="003C1C11" w:rsidP="007005EE">
    <w:pPr>
      <w:pStyle w:val="a4"/>
      <w:jc w:val="right"/>
      <w:rPr>
        <w:lang w:val="en-US"/>
      </w:rPr>
    </w:pPr>
    <w:r>
      <w:rPr>
        <w:lang w:val="en-US"/>
      </w:rPr>
      <w:t>ECE/</w:t>
    </w:r>
    <w:r w:rsidRPr="00065339">
      <w:t>MP.PRTR/WG.1/2016/6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90B1C93"/>
    <w:multiLevelType w:val="multilevel"/>
    <w:tmpl w:val="3166A04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20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2FC2"/>
    <w:multiLevelType w:val="multilevel"/>
    <w:tmpl w:val="6E705BEA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6A"/>
    <w:rsid w:val="000450D1"/>
    <w:rsid w:val="000B1FD5"/>
    <w:rsid w:val="000F2A4F"/>
    <w:rsid w:val="00152EB4"/>
    <w:rsid w:val="00192304"/>
    <w:rsid w:val="001A1844"/>
    <w:rsid w:val="001A5297"/>
    <w:rsid w:val="00203F84"/>
    <w:rsid w:val="0023247F"/>
    <w:rsid w:val="00275188"/>
    <w:rsid w:val="0028687D"/>
    <w:rsid w:val="002B091C"/>
    <w:rsid w:val="002B3D40"/>
    <w:rsid w:val="002D0CCB"/>
    <w:rsid w:val="002F71B4"/>
    <w:rsid w:val="00331322"/>
    <w:rsid w:val="00345C79"/>
    <w:rsid w:val="00366A39"/>
    <w:rsid w:val="003C1C11"/>
    <w:rsid w:val="00414BFD"/>
    <w:rsid w:val="0048005C"/>
    <w:rsid w:val="004B23F7"/>
    <w:rsid w:val="004C5E1E"/>
    <w:rsid w:val="004D639B"/>
    <w:rsid w:val="004E242B"/>
    <w:rsid w:val="004E4A67"/>
    <w:rsid w:val="004E5234"/>
    <w:rsid w:val="00544379"/>
    <w:rsid w:val="00566944"/>
    <w:rsid w:val="005C379D"/>
    <w:rsid w:val="005D1E6A"/>
    <w:rsid w:val="005D56BF"/>
    <w:rsid w:val="005E4FFE"/>
    <w:rsid w:val="0062027E"/>
    <w:rsid w:val="00643644"/>
    <w:rsid w:val="00665D8D"/>
    <w:rsid w:val="006A7A3B"/>
    <w:rsid w:val="006B6B57"/>
    <w:rsid w:val="006F49F1"/>
    <w:rsid w:val="007005EE"/>
    <w:rsid w:val="00705394"/>
    <w:rsid w:val="00730569"/>
    <w:rsid w:val="00743F62"/>
    <w:rsid w:val="00760D3A"/>
    <w:rsid w:val="00773BA8"/>
    <w:rsid w:val="0077644F"/>
    <w:rsid w:val="007A1F42"/>
    <w:rsid w:val="007B360F"/>
    <w:rsid w:val="007D76DD"/>
    <w:rsid w:val="007E243B"/>
    <w:rsid w:val="007F55BA"/>
    <w:rsid w:val="008067C6"/>
    <w:rsid w:val="00823354"/>
    <w:rsid w:val="008717E8"/>
    <w:rsid w:val="00884887"/>
    <w:rsid w:val="00886525"/>
    <w:rsid w:val="008D01AE"/>
    <w:rsid w:val="008E0423"/>
    <w:rsid w:val="009141DC"/>
    <w:rsid w:val="009174A1"/>
    <w:rsid w:val="009213DA"/>
    <w:rsid w:val="00926E68"/>
    <w:rsid w:val="0098674D"/>
    <w:rsid w:val="00997ACA"/>
    <w:rsid w:val="00A03FB7"/>
    <w:rsid w:val="00A55C56"/>
    <w:rsid w:val="00A658DB"/>
    <w:rsid w:val="00A75A11"/>
    <w:rsid w:val="00A9606E"/>
    <w:rsid w:val="00AC4167"/>
    <w:rsid w:val="00AD220A"/>
    <w:rsid w:val="00AD7EAD"/>
    <w:rsid w:val="00B13249"/>
    <w:rsid w:val="00B35A32"/>
    <w:rsid w:val="00B37172"/>
    <w:rsid w:val="00B432C6"/>
    <w:rsid w:val="00B471C5"/>
    <w:rsid w:val="00B6474A"/>
    <w:rsid w:val="00BE1742"/>
    <w:rsid w:val="00C754F7"/>
    <w:rsid w:val="00CE21C6"/>
    <w:rsid w:val="00D1261C"/>
    <w:rsid w:val="00D25045"/>
    <w:rsid w:val="00D26030"/>
    <w:rsid w:val="00D36F5D"/>
    <w:rsid w:val="00D61BC7"/>
    <w:rsid w:val="00D75DCE"/>
    <w:rsid w:val="00DD35AC"/>
    <w:rsid w:val="00DD479F"/>
    <w:rsid w:val="00E15E48"/>
    <w:rsid w:val="00EB0723"/>
    <w:rsid w:val="00EB2957"/>
    <w:rsid w:val="00EE6F37"/>
    <w:rsid w:val="00F1599F"/>
    <w:rsid w:val="00F275C3"/>
    <w:rsid w:val="00F31EF2"/>
    <w:rsid w:val="00F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2" w:qFormat="1"/>
    <w:lsdException w:name="footer" w:uiPriority="2" w:qFormat="1"/>
    <w:lsdException w:name="caption" w:uiPriority="35" w:qFormat="1"/>
    <w:lsdException w:name="footnote reference" w:uiPriority="0" w:qFormat="1"/>
    <w:lsdException w:name="annotation reference" w:uiPriority="1"/>
    <w:lsdException w:name="page number" w:uiPriority="0" w:qFormat="1"/>
    <w:lsdException w:name="endnote reference" w:uiPriority="1" w:qFormat="1"/>
    <w:lsdException w:name="endnote text" w:uiPriority="1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0"/>
    <w:next w:val="a0"/>
    <w:link w:val="10"/>
    <w:uiPriority w:val="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rsid w:val="005C379D"/>
    <w:pPr>
      <w:keepNext/>
      <w:spacing w:before="240" w:after="60" w:line="240" w:lineRule="exact"/>
      <w:outlineLvl w:val="1"/>
    </w:pPr>
    <w:rPr>
      <w:rFonts w:ascii="Arial" w:eastAsiaTheme="majorEastAsia" w:hAnsi="Arial" w:cstheme="majorBidi"/>
      <w:b/>
      <w:bCs/>
      <w:i/>
      <w:sz w:val="28"/>
      <w:szCs w:val="26"/>
      <w:lang w:eastAsia="zh-CN"/>
    </w:rPr>
  </w:style>
  <w:style w:type="paragraph" w:styleId="30">
    <w:name w:val="heading 3"/>
    <w:basedOn w:val="a0"/>
    <w:next w:val="a0"/>
    <w:link w:val="31"/>
    <w:uiPriority w:val="9"/>
    <w:qFormat/>
    <w:rsid w:val="005C379D"/>
    <w:pPr>
      <w:keepNext/>
      <w:spacing w:before="240" w:after="60" w:line="240" w:lineRule="exact"/>
      <w:outlineLvl w:val="2"/>
    </w:pPr>
    <w:rPr>
      <w:rFonts w:ascii="Arial" w:eastAsiaTheme="majorEastAsia" w:hAnsi="Arial" w:cstheme="majorBidi"/>
      <w:b/>
      <w:bCs/>
      <w:sz w:val="26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1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5C379D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eastAsia="zh-CN"/>
    </w:rPr>
  </w:style>
  <w:style w:type="character" w:customStyle="1" w:styleId="31">
    <w:name w:val="Заголовок 3 Знак"/>
    <w:basedOn w:val="a1"/>
    <w:link w:val="30"/>
    <w:uiPriority w:val="9"/>
    <w:rsid w:val="005C379D"/>
    <w:rPr>
      <w:rFonts w:ascii="Arial" w:eastAsiaTheme="majorEastAsia" w:hAnsi="Arial" w:cstheme="majorBidi"/>
      <w:b/>
      <w:bCs/>
      <w:spacing w:val="4"/>
      <w:w w:val="103"/>
      <w:kern w:val="14"/>
      <w:sz w:val="26"/>
      <w:lang w:eastAsia="zh-CN"/>
    </w:rPr>
  </w:style>
  <w:style w:type="paragraph" w:customStyle="1" w:styleId="HMGR">
    <w:name w:val="_ H __M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0"/>
    <w:next w:val="a0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0"/>
    <w:next w:val="a0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0"/>
    <w:next w:val="a0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0"/>
    <w:next w:val="a0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0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0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0"/>
    <w:next w:val="a0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2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aliases w:val="6_GR"/>
    <w:basedOn w:val="a0"/>
    <w:next w:val="a0"/>
    <w:link w:val="a5"/>
    <w:uiPriority w:val="2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5">
    <w:name w:val="Верхний колонтитул Знак"/>
    <w:aliases w:val="6_GR Знак"/>
    <w:basedOn w:val="a1"/>
    <w:link w:val="a4"/>
    <w:uiPriority w:val="2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6">
    <w:name w:val="endnote reference"/>
    <w:aliases w:val="1_GR"/>
    <w:basedOn w:val="a7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7">
    <w:name w:val="footnote reference"/>
    <w:aliases w:val="4_GR,4_G,Ref,de nota al pie"/>
    <w:basedOn w:val="a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8">
    <w:name w:val="footer"/>
    <w:aliases w:val="3_GR"/>
    <w:basedOn w:val="a0"/>
    <w:link w:val="a9"/>
    <w:uiPriority w:val="2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9">
    <w:name w:val="Нижний колонтитул Знак"/>
    <w:aliases w:val="3_GR Знак"/>
    <w:basedOn w:val="a1"/>
    <w:link w:val="a8"/>
    <w:uiPriority w:val="2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a">
    <w:name w:val="page number"/>
    <w:aliases w:val="7_GR"/>
    <w:basedOn w:val="a1"/>
    <w:qFormat/>
    <w:rsid w:val="00BE1742"/>
    <w:rPr>
      <w:rFonts w:ascii="Times New Roman" w:hAnsi="Times New Roman"/>
      <w:b/>
      <w:sz w:val="18"/>
    </w:rPr>
  </w:style>
  <w:style w:type="paragraph" w:styleId="ab">
    <w:name w:val="footnote text"/>
    <w:aliases w:val="5_GR,5_G,fn,footnote text,Footnotes,Footnote ak"/>
    <w:basedOn w:val="a0"/>
    <w:link w:val="ac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c">
    <w:name w:val="Текст сноски Знак"/>
    <w:aliases w:val="5_GR Знак,5_G Знак,fn Знак,footnote text Знак,Footnotes Знак,Footnote ak Знак"/>
    <w:basedOn w:val="a1"/>
    <w:link w:val="ab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d">
    <w:name w:val="endnote text"/>
    <w:aliases w:val="2_GR"/>
    <w:basedOn w:val="ab"/>
    <w:link w:val="ae"/>
    <w:uiPriority w:val="1"/>
    <w:qFormat/>
    <w:rsid w:val="00BE1742"/>
  </w:style>
  <w:style w:type="character" w:customStyle="1" w:styleId="ae">
    <w:name w:val="Текст концевой сноски Знак"/>
    <w:aliases w:val="2_GR Знак"/>
    <w:basedOn w:val="a1"/>
    <w:link w:val="ad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f">
    <w:name w:val="Table Grid"/>
    <w:basedOn w:val="a2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_ H_1"/>
    <w:basedOn w:val="a0"/>
    <w:next w:val="SingleTxt"/>
    <w:qFormat/>
    <w:rsid w:val="007E243B"/>
    <w:pPr>
      <w:suppressAutoHyphens/>
      <w:spacing w:line="270" w:lineRule="exact"/>
      <w:outlineLvl w:val="0"/>
    </w:pPr>
    <w:rPr>
      <w:rFonts w:eastAsiaTheme="minorEastAsia"/>
      <w:b/>
      <w:sz w:val="24"/>
      <w:szCs w:val="22"/>
      <w:lang w:eastAsia="zh-CN"/>
    </w:rPr>
  </w:style>
  <w:style w:type="paragraph" w:customStyle="1" w:styleId="SingleTxt">
    <w:name w:val="__Single Txt"/>
    <w:basedOn w:val="a0"/>
    <w:qFormat/>
    <w:rsid w:val="007E24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customStyle="1" w:styleId="HCh">
    <w:name w:val="_ H _Ch"/>
    <w:basedOn w:val="H1"/>
    <w:next w:val="SingleTxt"/>
    <w:qFormat/>
    <w:rsid w:val="007E243B"/>
    <w:pPr>
      <w:keepNext/>
      <w:keepLines/>
      <w:spacing w:line="300" w:lineRule="exact"/>
    </w:pPr>
    <w:rPr>
      <w:spacing w:val="-2"/>
      <w:sz w:val="28"/>
    </w:rPr>
  </w:style>
  <w:style w:type="paragraph" w:styleId="af0">
    <w:name w:val="No Spacing"/>
    <w:uiPriority w:val="1"/>
    <w:rsid w:val="005C379D"/>
    <w:rPr>
      <w:rFonts w:ascii="Times New Roman" w:eastAsiaTheme="minorEastAsia" w:hAnsi="Times New Roman"/>
      <w:spacing w:val="4"/>
      <w:w w:val="103"/>
      <w:kern w:val="14"/>
      <w:sz w:val="20"/>
      <w:lang w:val="en-US" w:eastAsia="zh-CN"/>
    </w:rPr>
  </w:style>
  <w:style w:type="paragraph" w:customStyle="1" w:styleId="HM">
    <w:name w:val="_ H __M"/>
    <w:basedOn w:val="a0"/>
    <w:next w:val="a0"/>
    <w:qFormat/>
    <w:rsid w:val="005C379D"/>
    <w:pPr>
      <w:keepNext/>
      <w:keepLines/>
      <w:suppressAutoHyphens/>
      <w:spacing w:line="360" w:lineRule="exact"/>
      <w:outlineLvl w:val="0"/>
    </w:pPr>
    <w:rPr>
      <w:rFonts w:eastAsiaTheme="minorEastAsia"/>
      <w:b/>
      <w:spacing w:val="-3"/>
      <w:w w:val="99"/>
      <w:sz w:val="34"/>
      <w:szCs w:val="22"/>
      <w:lang w:eastAsia="zh-CN"/>
    </w:rPr>
  </w:style>
  <w:style w:type="paragraph" w:customStyle="1" w:styleId="H23">
    <w:name w:val="_ H_2/3"/>
    <w:basedOn w:val="H1"/>
    <w:next w:val="SingleTxt"/>
    <w:qFormat/>
    <w:rsid w:val="005C379D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a0"/>
    <w:next w:val="SingleTxt"/>
    <w:qFormat/>
    <w:rsid w:val="005C379D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EastAsia"/>
      <w:i/>
      <w:spacing w:val="3"/>
      <w:szCs w:val="22"/>
      <w:lang w:eastAsia="zh-CN"/>
    </w:rPr>
  </w:style>
  <w:style w:type="paragraph" w:customStyle="1" w:styleId="H56">
    <w:name w:val="_ H_5/6"/>
    <w:basedOn w:val="a0"/>
    <w:next w:val="a0"/>
    <w:qFormat/>
    <w:rsid w:val="005C379D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EastAsia"/>
      <w:szCs w:val="22"/>
      <w:lang w:eastAsia="zh-CN"/>
    </w:rPr>
  </w:style>
  <w:style w:type="paragraph" w:customStyle="1" w:styleId="DualTxt">
    <w:name w:val="__Dual Txt"/>
    <w:basedOn w:val="a0"/>
    <w:qFormat/>
    <w:rsid w:val="005C379D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zCs w:val="22"/>
      <w:lang w:eastAsia="zh-CN"/>
    </w:rPr>
  </w:style>
  <w:style w:type="paragraph" w:customStyle="1" w:styleId="SM">
    <w:name w:val="__S_M"/>
    <w:basedOn w:val="a0"/>
    <w:next w:val="a0"/>
    <w:qFormat/>
    <w:rsid w:val="005C379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sz w:val="40"/>
      <w:szCs w:val="22"/>
      <w:lang w:eastAsia="zh-CN"/>
    </w:rPr>
  </w:style>
  <w:style w:type="paragraph" w:customStyle="1" w:styleId="SL">
    <w:name w:val="__S_L"/>
    <w:basedOn w:val="SM"/>
    <w:next w:val="a0"/>
    <w:qFormat/>
    <w:rsid w:val="005C379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0"/>
    <w:qFormat/>
    <w:rsid w:val="005C379D"/>
    <w:pPr>
      <w:ind w:left="1267" w:right="1267"/>
    </w:pPr>
  </w:style>
  <w:style w:type="paragraph" w:styleId="20">
    <w:name w:val="List Continue 2"/>
    <w:basedOn w:val="a0"/>
    <w:next w:val="a0"/>
    <w:uiPriority w:val="99"/>
    <w:rsid w:val="005C379D"/>
    <w:pPr>
      <w:numPr>
        <w:numId w:val="6"/>
      </w:numPr>
      <w:tabs>
        <w:tab w:val="left" w:pos="792"/>
      </w:tabs>
      <w:spacing w:after="120" w:line="240" w:lineRule="exact"/>
    </w:pPr>
    <w:rPr>
      <w:rFonts w:eastAsiaTheme="minorEastAsia"/>
      <w:szCs w:val="22"/>
      <w:lang w:eastAsia="zh-CN"/>
    </w:rPr>
  </w:style>
  <w:style w:type="paragraph" w:styleId="a">
    <w:name w:val="List Number"/>
    <w:basedOn w:val="H1"/>
    <w:next w:val="a0"/>
    <w:uiPriority w:val="99"/>
    <w:rsid w:val="005C379D"/>
    <w:pPr>
      <w:numPr>
        <w:numId w:val="7"/>
      </w:numPr>
      <w:contextualSpacing/>
    </w:pPr>
  </w:style>
  <w:style w:type="paragraph" w:styleId="2">
    <w:name w:val="List Number 2"/>
    <w:basedOn w:val="H23"/>
    <w:next w:val="a0"/>
    <w:uiPriority w:val="99"/>
    <w:rsid w:val="005C379D"/>
    <w:pPr>
      <w:numPr>
        <w:numId w:val="8"/>
      </w:numPr>
      <w:tabs>
        <w:tab w:val="clear" w:pos="720"/>
        <w:tab w:val="left" w:pos="648"/>
      </w:tabs>
      <w:ind w:left="648"/>
      <w:contextualSpacing/>
    </w:pPr>
  </w:style>
  <w:style w:type="paragraph" w:styleId="3">
    <w:name w:val="List Number 3"/>
    <w:basedOn w:val="H23"/>
    <w:next w:val="a0"/>
    <w:uiPriority w:val="99"/>
    <w:rsid w:val="005C379D"/>
    <w:pPr>
      <w:numPr>
        <w:numId w:val="9"/>
      </w:numPr>
      <w:tabs>
        <w:tab w:val="clear" w:pos="1080"/>
        <w:tab w:val="left" w:pos="922"/>
      </w:tabs>
      <w:ind w:left="922"/>
      <w:contextualSpacing/>
    </w:pPr>
  </w:style>
  <w:style w:type="paragraph" w:styleId="4">
    <w:name w:val="List Number 4"/>
    <w:basedOn w:val="a0"/>
    <w:uiPriority w:val="99"/>
    <w:rsid w:val="005C379D"/>
    <w:pPr>
      <w:keepNext/>
      <w:keepLines/>
      <w:numPr>
        <w:numId w:val="10"/>
      </w:numPr>
      <w:tabs>
        <w:tab w:val="clear" w:pos="1440"/>
        <w:tab w:val="left" w:pos="1210"/>
      </w:tabs>
      <w:suppressAutoHyphens/>
      <w:spacing w:line="240" w:lineRule="exact"/>
      <w:ind w:left="1210"/>
      <w:contextualSpacing/>
      <w:outlineLvl w:val="3"/>
    </w:pPr>
    <w:rPr>
      <w:rFonts w:eastAsiaTheme="minorEastAsia"/>
      <w:i/>
      <w:spacing w:val="3"/>
      <w:szCs w:val="22"/>
      <w:lang w:eastAsia="zh-CN"/>
    </w:rPr>
  </w:style>
  <w:style w:type="paragraph" w:styleId="5">
    <w:name w:val="List Number 5"/>
    <w:basedOn w:val="a0"/>
    <w:next w:val="a0"/>
    <w:uiPriority w:val="99"/>
    <w:rsid w:val="005C379D"/>
    <w:pPr>
      <w:numPr>
        <w:numId w:val="11"/>
      </w:numPr>
      <w:tabs>
        <w:tab w:val="clear" w:pos="1800"/>
        <w:tab w:val="left" w:pos="1498"/>
      </w:tabs>
      <w:spacing w:line="240" w:lineRule="exact"/>
      <w:ind w:left="1498"/>
      <w:contextualSpacing/>
    </w:pPr>
    <w:rPr>
      <w:rFonts w:eastAsiaTheme="minorEastAsia"/>
      <w:szCs w:val="22"/>
      <w:lang w:eastAsia="zh-CN"/>
    </w:rPr>
  </w:style>
  <w:style w:type="paragraph" w:customStyle="1" w:styleId="Small">
    <w:name w:val="Small"/>
    <w:basedOn w:val="a0"/>
    <w:next w:val="a0"/>
    <w:qFormat/>
    <w:rsid w:val="005C379D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sz w:val="17"/>
      <w:szCs w:val="22"/>
      <w:lang w:eastAsia="zh-CN"/>
    </w:rPr>
  </w:style>
  <w:style w:type="paragraph" w:customStyle="1" w:styleId="SmallX">
    <w:name w:val="SmallX"/>
    <w:basedOn w:val="Small"/>
    <w:next w:val="a0"/>
    <w:qFormat/>
    <w:rsid w:val="005C379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5C379D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a0"/>
    <w:next w:val="a0"/>
    <w:autoRedefine/>
    <w:qFormat/>
    <w:rsid w:val="005C379D"/>
    <w:pPr>
      <w:spacing w:before="240" w:line="240" w:lineRule="exact"/>
    </w:pPr>
    <w:rPr>
      <w:rFonts w:eastAsiaTheme="minorEastAsia"/>
      <w:lang w:eastAsia="zh-CN"/>
    </w:rPr>
  </w:style>
  <w:style w:type="paragraph" w:customStyle="1" w:styleId="Publication">
    <w:name w:val="Publication"/>
    <w:basedOn w:val="a0"/>
    <w:next w:val="a0"/>
    <w:qFormat/>
    <w:rsid w:val="005C379D"/>
    <w:pPr>
      <w:spacing w:line="240" w:lineRule="exact"/>
    </w:pPr>
    <w:rPr>
      <w:rFonts w:eastAsiaTheme="minorEastAsia"/>
      <w:szCs w:val="22"/>
      <w:lang w:eastAsia="zh-CN"/>
    </w:rPr>
  </w:style>
  <w:style w:type="paragraph" w:customStyle="1" w:styleId="Original">
    <w:name w:val="Original"/>
    <w:basedOn w:val="a0"/>
    <w:next w:val="a0"/>
    <w:qFormat/>
    <w:rsid w:val="005C379D"/>
    <w:pPr>
      <w:spacing w:line="240" w:lineRule="exact"/>
    </w:pPr>
    <w:rPr>
      <w:rFonts w:eastAsiaTheme="minorEastAsia"/>
      <w:lang w:eastAsia="zh-CN"/>
    </w:rPr>
  </w:style>
  <w:style w:type="paragraph" w:customStyle="1" w:styleId="ReleaseDate">
    <w:name w:val="ReleaseDate"/>
    <w:basedOn w:val="a0"/>
    <w:next w:val="a0"/>
    <w:qFormat/>
    <w:rsid w:val="005C379D"/>
    <w:pPr>
      <w:spacing w:line="240" w:lineRule="exact"/>
    </w:pPr>
    <w:rPr>
      <w:rFonts w:eastAsiaTheme="minorEastAsia"/>
      <w:lang w:eastAsia="zh-CN"/>
    </w:rPr>
  </w:style>
  <w:style w:type="paragraph" w:customStyle="1" w:styleId="Session">
    <w:name w:val="Session"/>
    <w:basedOn w:val="H23"/>
    <w:autoRedefine/>
    <w:qFormat/>
    <w:rsid w:val="005C379D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5C379D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5C379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C379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C379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5C379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a0"/>
    <w:qFormat/>
    <w:rsid w:val="005C379D"/>
    <w:pPr>
      <w:numPr>
        <w:numId w:val="12"/>
      </w:numPr>
      <w:spacing w:after="120" w:line="240" w:lineRule="exact"/>
      <w:ind w:left="1743" w:right="1267" w:hanging="130"/>
      <w:jc w:val="both"/>
    </w:pPr>
    <w:rPr>
      <w:rFonts w:eastAsiaTheme="minorEastAsia"/>
      <w:szCs w:val="22"/>
      <w:lang w:eastAsia="zh-CN"/>
    </w:rPr>
  </w:style>
  <w:style w:type="paragraph" w:customStyle="1" w:styleId="Bullet2">
    <w:name w:val="Bullet 2"/>
    <w:basedOn w:val="a0"/>
    <w:qFormat/>
    <w:rsid w:val="005C379D"/>
    <w:pPr>
      <w:numPr>
        <w:numId w:val="13"/>
      </w:numPr>
      <w:spacing w:after="120" w:line="240" w:lineRule="exact"/>
      <w:ind w:left="2218" w:right="1267" w:hanging="130"/>
      <w:jc w:val="both"/>
    </w:pPr>
    <w:rPr>
      <w:rFonts w:eastAsiaTheme="minorEastAsia"/>
      <w:szCs w:val="22"/>
      <w:lang w:eastAsia="zh-CN"/>
    </w:rPr>
  </w:style>
  <w:style w:type="paragraph" w:customStyle="1" w:styleId="Bullet3">
    <w:name w:val="Bullet 3"/>
    <w:basedOn w:val="SingleTxt"/>
    <w:qFormat/>
    <w:rsid w:val="005C379D"/>
    <w:pPr>
      <w:numPr>
        <w:numId w:val="1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customStyle="1" w:styleId="af1">
    <w:name w:val="Текст примечания Знак"/>
    <w:basedOn w:val="a1"/>
    <w:link w:val="af2"/>
    <w:uiPriority w:val="99"/>
    <w:semiHidden/>
    <w:rsid w:val="005C379D"/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styleId="af2">
    <w:name w:val="annotation text"/>
    <w:basedOn w:val="a0"/>
    <w:link w:val="af1"/>
    <w:uiPriority w:val="99"/>
    <w:semiHidden/>
    <w:unhideWhenUsed/>
    <w:rsid w:val="005C379D"/>
    <w:pPr>
      <w:spacing w:line="240" w:lineRule="auto"/>
    </w:pPr>
    <w:rPr>
      <w:rFonts w:eastAsiaTheme="minorEastAsia"/>
      <w:lang w:eastAsia="zh-CN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5C379D"/>
    <w:rPr>
      <w:rFonts w:ascii="Times New Roman" w:eastAsiaTheme="minorEastAsia" w:hAnsi="Times New Roman" w:cs="Times New Roman"/>
      <w:b/>
      <w:bCs/>
      <w:spacing w:val="4"/>
      <w:w w:val="103"/>
      <w:kern w:val="14"/>
      <w:sz w:val="20"/>
      <w:szCs w:val="20"/>
      <w:lang w:eastAsia="zh-CN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5C379D"/>
    <w:rPr>
      <w:b/>
      <w:bCs/>
    </w:rPr>
  </w:style>
  <w:style w:type="character" w:styleId="af5">
    <w:name w:val="Hyperlink"/>
    <w:basedOn w:val="a1"/>
    <w:uiPriority w:val="99"/>
    <w:unhideWhenUsed/>
    <w:rsid w:val="005C3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2" w:qFormat="1"/>
    <w:lsdException w:name="footer" w:uiPriority="2" w:qFormat="1"/>
    <w:lsdException w:name="caption" w:uiPriority="35" w:qFormat="1"/>
    <w:lsdException w:name="footnote reference" w:uiPriority="0" w:qFormat="1"/>
    <w:lsdException w:name="annotation reference" w:uiPriority="1"/>
    <w:lsdException w:name="page number" w:uiPriority="0" w:qFormat="1"/>
    <w:lsdException w:name="endnote reference" w:uiPriority="1" w:qFormat="1"/>
    <w:lsdException w:name="endnote text" w:uiPriority="1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0"/>
    <w:next w:val="a0"/>
    <w:link w:val="10"/>
    <w:uiPriority w:val="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rsid w:val="005C379D"/>
    <w:pPr>
      <w:keepNext/>
      <w:spacing w:before="240" w:after="60" w:line="240" w:lineRule="exact"/>
      <w:outlineLvl w:val="1"/>
    </w:pPr>
    <w:rPr>
      <w:rFonts w:ascii="Arial" w:eastAsiaTheme="majorEastAsia" w:hAnsi="Arial" w:cstheme="majorBidi"/>
      <w:b/>
      <w:bCs/>
      <w:i/>
      <w:sz w:val="28"/>
      <w:szCs w:val="26"/>
      <w:lang w:eastAsia="zh-CN"/>
    </w:rPr>
  </w:style>
  <w:style w:type="paragraph" w:styleId="30">
    <w:name w:val="heading 3"/>
    <w:basedOn w:val="a0"/>
    <w:next w:val="a0"/>
    <w:link w:val="31"/>
    <w:uiPriority w:val="9"/>
    <w:qFormat/>
    <w:rsid w:val="005C379D"/>
    <w:pPr>
      <w:keepNext/>
      <w:spacing w:before="240" w:after="60" w:line="240" w:lineRule="exact"/>
      <w:outlineLvl w:val="2"/>
    </w:pPr>
    <w:rPr>
      <w:rFonts w:ascii="Arial" w:eastAsiaTheme="majorEastAsia" w:hAnsi="Arial" w:cstheme="majorBidi"/>
      <w:b/>
      <w:bCs/>
      <w:sz w:val="26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1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5C379D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eastAsia="zh-CN"/>
    </w:rPr>
  </w:style>
  <w:style w:type="character" w:customStyle="1" w:styleId="31">
    <w:name w:val="Заголовок 3 Знак"/>
    <w:basedOn w:val="a1"/>
    <w:link w:val="30"/>
    <w:uiPriority w:val="9"/>
    <w:rsid w:val="005C379D"/>
    <w:rPr>
      <w:rFonts w:ascii="Arial" w:eastAsiaTheme="majorEastAsia" w:hAnsi="Arial" w:cstheme="majorBidi"/>
      <w:b/>
      <w:bCs/>
      <w:spacing w:val="4"/>
      <w:w w:val="103"/>
      <w:kern w:val="14"/>
      <w:sz w:val="26"/>
      <w:lang w:eastAsia="zh-CN"/>
    </w:rPr>
  </w:style>
  <w:style w:type="paragraph" w:customStyle="1" w:styleId="HMGR">
    <w:name w:val="_ H __M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0"/>
    <w:next w:val="a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0"/>
    <w:next w:val="a0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0"/>
    <w:next w:val="a0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0"/>
    <w:next w:val="a0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0"/>
    <w:next w:val="a0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0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0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0"/>
    <w:next w:val="a0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2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aliases w:val="6_GR"/>
    <w:basedOn w:val="a0"/>
    <w:next w:val="a0"/>
    <w:link w:val="a5"/>
    <w:uiPriority w:val="2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5">
    <w:name w:val="Верхний колонтитул Знак"/>
    <w:aliases w:val="6_GR Знак"/>
    <w:basedOn w:val="a1"/>
    <w:link w:val="a4"/>
    <w:uiPriority w:val="2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6">
    <w:name w:val="endnote reference"/>
    <w:aliases w:val="1_GR"/>
    <w:basedOn w:val="a7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7">
    <w:name w:val="footnote reference"/>
    <w:aliases w:val="4_GR,4_G,Ref,de nota al pie"/>
    <w:basedOn w:val="a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8">
    <w:name w:val="footer"/>
    <w:aliases w:val="3_GR"/>
    <w:basedOn w:val="a0"/>
    <w:link w:val="a9"/>
    <w:uiPriority w:val="2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9">
    <w:name w:val="Нижний колонтитул Знак"/>
    <w:aliases w:val="3_GR Знак"/>
    <w:basedOn w:val="a1"/>
    <w:link w:val="a8"/>
    <w:uiPriority w:val="2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a">
    <w:name w:val="page number"/>
    <w:aliases w:val="7_GR"/>
    <w:basedOn w:val="a1"/>
    <w:qFormat/>
    <w:rsid w:val="00BE1742"/>
    <w:rPr>
      <w:rFonts w:ascii="Times New Roman" w:hAnsi="Times New Roman"/>
      <w:b/>
      <w:sz w:val="18"/>
    </w:rPr>
  </w:style>
  <w:style w:type="paragraph" w:styleId="ab">
    <w:name w:val="footnote text"/>
    <w:aliases w:val="5_GR,5_G,fn,footnote text,Footnotes,Footnote ak"/>
    <w:basedOn w:val="a0"/>
    <w:link w:val="ac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c">
    <w:name w:val="Текст сноски Знак"/>
    <w:aliases w:val="5_GR Знак,5_G Знак,fn Знак,footnote text Знак,Footnotes Знак,Footnote ak Знак"/>
    <w:basedOn w:val="a1"/>
    <w:link w:val="ab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d">
    <w:name w:val="endnote text"/>
    <w:aliases w:val="2_GR"/>
    <w:basedOn w:val="ab"/>
    <w:link w:val="ae"/>
    <w:uiPriority w:val="1"/>
    <w:qFormat/>
    <w:rsid w:val="00BE1742"/>
  </w:style>
  <w:style w:type="character" w:customStyle="1" w:styleId="ae">
    <w:name w:val="Текст концевой сноски Знак"/>
    <w:aliases w:val="2_GR Знак"/>
    <w:basedOn w:val="a1"/>
    <w:link w:val="ad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f">
    <w:name w:val="Table Grid"/>
    <w:basedOn w:val="a2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_ H_1"/>
    <w:basedOn w:val="a0"/>
    <w:next w:val="SingleTxt"/>
    <w:qFormat/>
    <w:rsid w:val="007E243B"/>
    <w:pPr>
      <w:suppressAutoHyphens/>
      <w:spacing w:line="270" w:lineRule="exact"/>
      <w:outlineLvl w:val="0"/>
    </w:pPr>
    <w:rPr>
      <w:rFonts w:eastAsiaTheme="minorEastAsia"/>
      <w:b/>
      <w:sz w:val="24"/>
      <w:szCs w:val="22"/>
      <w:lang w:eastAsia="zh-CN"/>
    </w:rPr>
  </w:style>
  <w:style w:type="paragraph" w:customStyle="1" w:styleId="SingleTxt">
    <w:name w:val="__Single Txt"/>
    <w:basedOn w:val="a0"/>
    <w:qFormat/>
    <w:rsid w:val="007E24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customStyle="1" w:styleId="HCh">
    <w:name w:val="_ H _Ch"/>
    <w:basedOn w:val="H1"/>
    <w:next w:val="SingleTxt"/>
    <w:qFormat/>
    <w:rsid w:val="007E243B"/>
    <w:pPr>
      <w:keepNext/>
      <w:keepLines/>
      <w:spacing w:line="300" w:lineRule="exact"/>
    </w:pPr>
    <w:rPr>
      <w:spacing w:val="-2"/>
      <w:sz w:val="28"/>
    </w:rPr>
  </w:style>
  <w:style w:type="paragraph" w:styleId="af0">
    <w:name w:val="No Spacing"/>
    <w:uiPriority w:val="1"/>
    <w:rsid w:val="005C379D"/>
    <w:rPr>
      <w:rFonts w:ascii="Times New Roman" w:eastAsiaTheme="minorEastAsia" w:hAnsi="Times New Roman"/>
      <w:spacing w:val="4"/>
      <w:w w:val="103"/>
      <w:kern w:val="14"/>
      <w:sz w:val="20"/>
      <w:lang w:val="en-US" w:eastAsia="zh-CN"/>
    </w:rPr>
  </w:style>
  <w:style w:type="paragraph" w:customStyle="1" w:styleId="HM">
    <w:name w:val="_ H __M"/>
    <w:basedOn w:val="a0"/>
    <w:next w:val="a0"/>
    <w:qFormat/>
    <w:rsid w:val="005C379D"/>
    <w:pPr>
      <w:keepNext/>
      <w:keepLines/>
      <w:suppressAutoHyphens/>
      <w:spacing w:line="360" w:lineRule="exact"/>
      <w:outlineLvl w:val="0"/>
    </w:pPr>
    <w:rPr>
      <w:rFonts w:eastAsiaTheme="minorEastAsia"/>
      <w:b/>
      <w:spacing w:val="-3"/>
      <w:w w:val="99"/>
      <w:sz w:val="34"/>
      <w:szCs w:val="22"/>
      <w:lang w:eastAsia="zh-CN"/>
    </w:rPr>
  </w:style>
  <w:style w:type="paragraph" w:customStyle="1" w:styleId="H23">
    <w:name w:val="_ H_2/3"/>
    <w:basedOn w:val="H1"/>
    <w:next w:val="SingleTxt"/>
    <w:qFormat/>
    <w:rsid w:val="005C379D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a0"/>
    <w:next w:val="SingleTxt"/>
    <w:qFormat/>
    <w:rsid w:val="005C379D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EastAsia"/>
      <w:i/>
      <w:spacing w:val="3"/>
      <w:szCs w:val="22"/>
      <w:lang w:eastAsia="zh-CN"/>
    </w:rPr>
  </w:style>
  <w:style w:type="paragraph" w:customStyle="1" w:styleId="H56">
    <w:name w:val="_ H_5/6"/>
    <w:basedOn w:val="a0"/>
    <w:next w:val="a0"/>
    <w:qFormat/>
    <w:rsid w:val="005C379D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EastAsia"/>
      <w:szCs w:val="22"/>
      <w:lang w:eastAsia="zh-CN"/>
    </w:rPr>
  </w:style>
  <w:style w:type="paragraph" w:customStyle="1" w:styleId="DualTxt">
    <w:name w:val="__Dual Txt"/>
    <w:basedOn w:val="a0"/>
    <w:qFormat/>
    <w:rsid w:val="005C379D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zCs w:val="22"/>
      <w:lang w:eastAsia="zh-CN"/>
    </w:rPr>
  </w:style>
  <w:style w:type="paragraph" w:customStyle="1" w:styleId="SM">
    <w:name w:val="__S_M"/>
    <w:basedOn w:val="a0"/>
    <w:next w:val="a0"/>
    <w:qFormat/>
    <w:rsid w:val="005C379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sz w:val="40"/>
      <w:szCs w:val="22"/>
      <w:lang w:eastAsia="zh-CN"/>
    </w:rPr>
  </w:style>
  <w:style w:type="paragraph" w:customStyle="1" w:styleId="SL">
    <w:name w:val="__S_L"/>
    <w:basedOn w:val="SM"/>
    <w:next w:val="a0"/>
    <w:qFormat/>
    <w:rsid w:val="005C379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0"/>
    <w:qFormat/>
    <w:rsid w:val="005C379D"/>
    <w:pPr>
      <w:ind w:left="1267" w:right="1267"/>
    </w:pPr>
  </w:style>
  <w:style w:type="paragraph" w:styleId="20">
    <w:name w:val="List Continue 2"/>
    <w:basedOn w:val="a0"/>
    <w:next w:val="a0"/>
    <w:uiPriority w:val="99"/>
    <w:rsid w:val="005C379D"/>
    <w:pPr>
      <w:numPr>
        <w:numId w:val="6"/>
      </w:numPr>
      <w:tabs>
        <w:tab w:val="left" w:pos="792"/>
      </w:tabs>
      <w:spacing w:after="120" w:line="240" w:lineRule="exact"/>
    </w:pPr>
    <w:rPr>
      <w:rFonts w:eastAsiaTheme="minorEastAsia"/>
      <w:szCs w:val="22"/>
      <w:lang w:eastAsia="zh-CN"/>
    </w:rPr>
  </w:style>
  <w:style w:type="paragraph" w:styleId="a">
    <w:name w:val="List Number"/>
    <w:basedOn w:val="H1"/>
    <w:next w:val="a0"/>
    <w:uiPriority w:val="99"/>
    <w:rsid w:val="005C379D"/>
    <w:pPr>
      <w:numPr>
        <w:numId w:val="7"/>
      </w:numPr>
      <w:contextualSpacing/>
    </w:pPr>
  </w:style>
  <w:style w:type="paragraph" w:styleId="2">
    <w:name w:val="List Number 2"/>
    <w:basedOn w:val="H23"/>
    <w:next w:val="a0"/>
    <w:uiPriority w:val="99"/>
    <w:rsid w:val="005C379D"/>
    <w:pPr>
      <w:numPr>
        <w:numId w:val="8"/>
      </w:numPr>
      <w:tabs>
        <w:tab w:val="clear" w:pos="720"/>
        <w:tab w:val="left" w:pos="648"/>
      </w:tabs>
      <w:ind w:left="648"/>
      <w:contextualSpacing/>
    </w:pPr>
  </w:style>
  <w:style w:type="paragraph" w:styleId="3">
    <w:name w:val="List Number 3"/>
    <w:basedOn w:val="H23"/>
    <w:next w:val="a0"/>
    <w:uiPriority w:val="99"/>
    <w:rsid w:val="005C379D"/>
    <w:pPr>
      <w:numPr>
        <w:numId w:val="9"/>
      </w:numPr>
      <w:tabs>
        <w:tab w:val="clear" w:pos="1080"/>
        <w:tab w:val="left" w:pos="922"/>
      </w:tabs>
      <w:ind w:left="922"/>
      <w:contextualSpacing/>
    </w:pPr>
  </w:style>
  <w:style w:type="paragraph" w:styleId="4">
    <w:name w:val="List Number 4"/>
    <w:basedOn w:val="a0"/>
    <w:uiPriority w:val="99"/>
    <w:rsid w:val="005C379D"/>
    <w:pPr>
      <w:keepNext/>
      <w:keepLines/>
      <w:numPr>
        <w:numId w:val="10"/>
      </w:numPr>
      <w:tabs>
        <w:tab w:val="clear" w:pos="1440"/>
        <w:tab w:val="left" w:pos="1210"/>
      </w:tabs>
      <w:suppressAutoHyphens/>
      <w:spacing w:line="240" w:lineRule="exact"/>
      <w:ind w:left="1210"/>
      <w:contextualSpacing/>
      <w:outlineLvl w:val="3"/>
    </w:pPr>
    <w:rPr>
      <w:rFonts w:eastAsiaTheme="minorEastAsia"/>
      <w:i/>
      <w:spacing w:val="3"/>
      <w:szCs w:val="22"/>
      <w:lang w:eastAsia="zh-CN"/>
    </w:rPr>
  </w:style>
  <w:style w:type="paragraph" w:styleId="5">
    <w:name w:val="List Number 5"/>
    <w:basedOn w:val="a0"/>
    <w:next w:val="a0"/>
    <w:uiPriority w:val="99"/>
    <w:rsid w:val="005C379D"/>
    <w:pPr>
      <w:numPr>
        <w:numId w:val="11"/>
      </w:numPr>
      <w:tabs>
        <w:tab w:val="clear" w:pos="1800"/>
        <w:tab w:val="left" w:pos="1498"/>
      </w:tabs>
      <w:spacing w:line="240" w:lineRule="exact"/>
      <w:ind w:left="1498"/>
      <w:contextualSpacing/>
    </w:pPr>
    <w:rPr>
      <w:rFonts w:eastAsiaTheme="minorEastAsia"/>
      <w:szCs w:val="22"/>
      <w:lang w:eastAsia="zh-CN"/>
    </w:rPr>
  </w:style>
  <w:style w:type="paragraph" w:customStyle="1" w:styleId="Small">
    <w:name w:val="Small"/>
    <w:basedOn w:val="a0"/>
    <w:next w:val="a0"/>
    <w:qFormat/>
    <w:rsid w:val="005C379D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sz w:val="17"/>
      <w:szCs w:val="22"/>
      <w:lang w:eastAsia="zh-CN"/>
    </w:rPr>
  </w:style>
  <w:style w:type="paragraph" w:customStyle="1" w:styleId="SmallX">
    <w:name w:val="SmallX"/>
    <w:basedOn w:val="Small"/>
    <w:next w:val="a0"/>
    <w:qFormat/>
    <w:rsid w:val="005C379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5C379D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a0"/>
    <w:next w:val="a0"/>
    <w:autoRedefine/>
    <w:qFormat/>
    <w:rsid w:val="005C379D"/>
    <w:pPr>
      <w:spacing w:before="240" w:line="240" w:lineRule="exact"/>
    </w:pPr>
    <w:rPr>
      <w:rFonts w:eastAsiaTheme="minorEastAsia"/>
      <w:lang w:eastAsia="zh-CN"/>
    </w:rPr>
  </w:style>
  <w:style w:type="paragraph" w:customStyle="1" w:styleId="Publication">
    <w:name w:val="Publication"/>
    <w:basedOn w:val="a0"/>
    <w:next w:val="a0"/>
    <w:qFormat/>
    <w:rsid w:val="005C379D"/>
    <w:pPr>
      <w:spacing w:line="240" w:lineRule="exact"/>
    </w:pPr>
    <w:rPr>
      <w:rFonts w:eastAsiaTheme="minorEastAsia"/>
      <w:szCs w:val="22"/>
      <w:lang w:eastAsia="zh-CN"/>
    </w:rPr>
  </w:style>
  <w:style w:type="paragraph" w:customStyle="1" w:styleId="Original">
    <w:name w:val="Original"/>
    <w:basedOn w:val="a0"/>
    <w:next w:val="a0"/>
    <w:qFormat/>
    <w:rsid w:val="005C379D"/>
    <w:pPr>
      <w:spacing w:line="240" w:lineRule="exact"/>
    </w:pPr>
    <w:rPr>
      <w:rFonts w:eastAsiaTheme="minorEastAsia"/>
      <w:lang w:eastAsia="zh-CN"/>
    </w:rPr>
  </w:style>
  <w:style w:type="paragraph" w:customStyle="1" w:styleId="ReleaseDate">
    <w:name w:val="ReleaseDate"/>
    <w:basedOn w:val="a0"/>
    <w:next w:val="a0"/>
    <w:qFormat/>
    <w:rsid w:val="005C379D"/>
    <w:pPr>
      <w:spacing w:line="240" w:lineRule="exact"/>
    </w:pPr>
    <w:rPr>
      <w:rFonts w:eastAsiaTheme="minorEastAsia"/>
      <w:lang w:eastAsia="zh-CN"/>
    </w:rPr>
  </w:style>
  <w:style w:type="paragraph" w:customStyle="1" w:styleId="Session">
    <w:name w:val="Session"/>
    <w:basedOn w:val="H23"/>
    <w:autoRedefine/>
    <w:qFormat/>
    <w:rsid w:val="005C379D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5C379D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5C379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C379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C379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5C379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a0"/>
    <w:qFormat/>
    <w:rsid w:val="005C379D"/>
    <w:pPr>
      <w:numPr>
        <w:numId w:val="12"/>
      </w:numPr>
      <w:spacing w:after="120" w:line="240" w:lineRule="exact"/>
      <w:ind w:left="1743" w:right="1267" w:hanging="130"/>
      <w:jc w:val="both"/>
    </w:pPr>
    <w:rPr>
      <w:rFonts w:eastAsiaTheme="minorEastAsia"/>
      <w:szCs w:val="22"/>
      <w:lang w:eastAsia="zh-CN"/>
    </w:rPr>
  </w:style>
  <w:style w:type="paragraph" w:customStyle="1" w:styleId="Bullet2">
    <w:name w:val="Bullet 2"/>
    <w:basedOn w:val="a0"/>
    <w:qFormat/>
    <w:rsid w:val="005C379D"/>
    <w:pPr>
      <w:numPr>
        <w:numId w:val="13"/>
      </w:numPr>
      <w:spacing w:after="120" w:line="240" w:lineRule="exact"/>
      <w:ind w:left="2218" w:right="1267" w:hanging="130"/>
      <w:jc w:val="both"/>
    </w:pPr>
    <w:rPr>
      <w:rFonts w:eastAsiaTheme="minorEastAsia"/>
      <w:szCs w:val="22"/>
      <w:lang w:eastAsia="zh-CN"/>
    </w:rPr>
  </w:style>
  <w:style w:type="paragraph" w:customStyle="1" w:styleId="Bullet3">
    <w:name w:val="Bullet 3"/>
    <w:basedOn w:val="SingleTxt"/>
    <w:qFormat/>
    <w:rsid w:val="005C379D"/>
    <w:pPr>
      <w:numPr>
        <w:numId w:val="1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customStyle="1" w:styleId="af1">
    <w:name w:val="Текст примечания Знак"/>
    <w:basedOn w:val="a1"/>
    <w:link w:val="af2"/>
    <w:uiPriority w:val="99"/>
    <w:semiHidden/>
    <w:rsid w:val="005C379D"/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styleId="af2">
    <w:name w:val="annotation text"/>
    <w:basedOn w:val="a0"/>
    <w:link w:val="af1"/>
    <w:uiPriority w:val="99"/>
    <w:semiHidden/>
    <w:unhideWhenUsed/>
    <w:rsid w:val="005C379D"/>
    <w:pPr>
      <w:spacing w:line="240" w:lineRule="auto"/>
    </w:pPr>
    <w:rPr>
      <w:rFonts w:eastAsiaTheme="minorEastAsia"/>
      <w:lang w:eastAsia="zh-CN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5C379D"/>
    <w:rPr>
      <w:rFonts w:ascii="Times New Roman" w:eastAsiaTheme="minorEastAsia" w:hAnsi="Times New Roman" w:cs="Times New Roman"/>
      <w:b/>
      <w:bCs/>
      <w:spacing w:val="4"/>
      <w:w w:val="103"/>
      <w:kern w:val="14"/>
      <w:sz w:val="20"/>
      <w:szCs w:val="20"/>
      <w:lang w:eastAsia="zh-CN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5C379D"/>
    <w:rPr>
      <w:b/>
      <w:bCs/>
    </w:rPr>
  </w:style>
  <w:style w:type="character" w:styleId="af5">
    <w:name w:val="Hyperlink"/>
    <w:basedOn w:val="a1"/>
    <w:uiPriority w:val="99"/>
    <w:unhideWhenUsed/>
    <w:rsid w:val="005C3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env/pp/prtr_reports_implementation_2014.html" TargetMode="External"/><Relationship Id="rId2" Type="http://schemas.openxmlformats.org/officeDocument/2006/relationships/hyperlink" Target="http://www.unece.org/prtrmopp2_docs.html" TargetMode="External"/><Relationship Id="rId1" Type="http://schemas.openxmlformats.org/officeDocument/2006/relationships/hyperlink" Target="http://www.unece.org/env/pp/mopp1.html" TargetMode="External"/><Relationship Id="rId6" Type="http://schemas.openxmlformats.org/officeDocument/2006/relationships/hyperlink" Target="http://www.ceip.at/emission-data-webdab/" TargetMode="External"/><Relationship Id="rId5" Type="http://schemas.openxmlformats.org/officeDocument/2006/relationships/hyperlink" Target="http://www.unece.org/prtrmopp2_docs.html" TargetMode="External"/><Relationship Id="rId4" Type="http://schemas.openxmlformats.org/officeDocument/2006/relationships/hyperlink" Target="http://www2.unece.org/prtr-ni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E74A-29B4-425C-8613-60633F34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26</Pages>
  <Words>9168</Words>
  <Characters>52260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Prokoudina S.</cp:lastModifiedBy>
  <cp:revision>2</cp:revision>
  <cp:lastPrinted>2016-08-31T10:03:00Z</cp:lastPrinted>
  <dcterms:created xsi:type="dcterms:W3CDTF">2016-08-31T11:58:00Z</dcterms:created>
  <dcterms:modified xsi:type="dcterms:W3CDTF">2016-08-31T11:58:00Z</dcterms:modified>
</cp:coreProperties>
</file>