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EB1193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EB1193" w:rsidRDefault="00A14420" w:rsidP="00C221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EB1193" w:rsidRDefault="00A14420" w:rsidP="00DF5712">
            <w:pPr>
              <w:spacing w:after="80" w:line="300" w:lineRule="exact"/>
              <w:rPr>
                <w:sz w:val="28"/>
              </w:rPr>
            </w:pPr>
            <w:r w:rsidRPr="00EB119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EB1193" w:rsidRDefault="00C221FB" w:rsidP="00C221FB">
            <w:pPr>
              <w:jc w:val="right"/>
            </w:pPr>
            <w:r w:rsidRPr="00EB1193">
              <w:rPr>
                <w:sz w:val="40"/>
              </w:rPr>
              <w:t>ECE</w:t>
            </w:r>
            <w:r w:rsidRPr="00EB1193">
              <w:t>/MP.PRTR/2017/12</w:t>
            </w:r>
          </w:p>
        </w:tc>
      </w:tr>
      <w:tr w:rsidR="00A14420" w:rsidRPr="00EB1193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EB1193" w:rsidRDefault="00A14420" w:rsidP="00DF5712">
            <w:pPr>
              <w:spacing w:before="120"/>
              <w:jc w:val="center"/>
            </w:pPr>
            <w:r w:rsidRPr="00EB1193"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EB1193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B119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EB1193" w:rsidRDefault="00C221FB" w:rsidP="00DF5712">
            <w:pPr>
              <w:spacing w:before="240"/>
            </w:pPr>
            <w:r w:rsidRPr="00EB1193">
              <w:t>Distr. générale</w:t>
            </w:r>
          </w:p>
          <w:p w:rsidR="00C221FB" w:rsidRPr="00EB1193" w:rsidRDefault="00C221FB" w:rsidP="00C221FB">
            <w:pPr>
              <w:spacing w:line="240" w:lineRule="exact"/>
            </w:pPr>
            <w:r w:rsidRPr="00EB1193">
              <w:t>8 juin 2017</w:t>
            </w:r>
          </w:p>
          <w:p w:rsidR="00C221FB" w:rsidRPr="00EB1193" w:rsidRDefault="00C221FB" w:rsidP="00C221FB">
            <w:pPr>
              <w:spacing w:line="240" w:lineRule="exact"/>
            </w:pPr>
            <w:r w:rsidRPr="00EB1193">
              <w:t>Français</w:t>
            </w:r>
          </w:p>
          <w:p w:rsidR="00C221FB" w:rsidRPr="00EB1193" w:rsidRDefault="00C221FB" w:rsidP="00C221FB">
            <w:pPr>
              <w:spacing w:line="240" w:lineRule="exact"/>
            </w:pPr>
            <w:r w:rsidRPr="00EB1193">
              <w:t>Original</w:t>
            </w:r>
            <w:r w:rsidR="00EB1193">
              <w:t> :</w:t>
            </w:r>
            <w:r w:rsidRPr="00EB1193">
              <w:t xml:space="preserve"> anglais</w:t>
            </w:r>
          </w:p>
        </w:tc>
      </w:tr>
    </w:tbl>
    <w:p w:rsidR="00C554CE" w:rsidRPr="00EB1193" w:rsidRDefault="00C554CE" w:rsidP="00C554CE">
      <w:pPr>
        <w:spacing w:before="120"/>
        <w:rPr>
          <w:b/>
          <w:sz w:val="28"/>
          <w:szCs w:val="28"/>
        </w:rPr>
      </w:pPr>
      <w:r w:rsidRPr="00EB1193">
        <w:rPr>
          <w:b/>
          <w:sz w:val="28"/>
          <w:szCs w:val="28"/>
        </w:rPr>
        <w:t>Commission économique pour l’Europe</w:t>
      </w:r>
    </w:p>
    <w:p w:rsidR="00C221FB" w:rsidRPr="00EB1193" w:rsidRDefault="00C221FB" w:rsidP="00831497">
      <w:pPr>
        <w:widowControl w:val="0"/>
        <w:spacing w:before="120"/>
        <w:rPr>
          <w:sz w:val="28"/>
          <w:szCs w:val="28"/>
        </w:rPr>
      </w:pPr>
      <w:r w:rsidRPr="00EB1193">
        <w:rPr>
          <w:sz w:val="28"/>
          <w:szCs w:val="28"/>
        </w:rPr>
        <w:t>Réunion des Parties au Protocole sur les registres</w:t>
      </w:r>
      <w:r w:rsidR="00964083" w:rsidRPr="00EB1193">
        <w:rPr>
          <w:sz w:val="28"/>
          <w:szCs w:val="28"/>
        </w:rPr>
        <w:br/>
      </w:r>
      <w:r w:rsidRPr="00EB1193">
        <w:rPr>
          <w:sz w:val="28"/>
          <w:szCs w:val="28"/>
        </w:rPr>
        <w:t>des rejets et transferts de polluants à la Convention</w:t>
      </w:r>
      <w:r w:rsidR="00964083" w:rsidRPr="00EB1193">
        <w:rPr>
          <w:sz w:val="28"/>
          <w:szCs w:val="28"/>
        </w:rPr>
        <w:br/>
      </w:r>
      <w:r w:rsidRPr="00EB1193">
        <w:rPr>
          <w:sz w:val="28"/>
          <w:szCs w:val="28"/>
        </w:rPr>
        <w:t>sur l’accès à l’information, la participation du public</w:t>
      </w:r>
      <w:r w:rsidR="00964083" w:rsidRPr="00EB1193">
        <w:rPr>
          <w:sz w:val="28"/>
          <w:szCs w:val="28"/>
        </w:rPr>
        <w:br/>
      </w:r>
      <w:r w:rsidRPr="00EB1193">
        <w:rPr>
          <w:sz w:val="28"/>
          <w:szCs w:val="28"/>
        </w:rPr>
        <w:t>au processus décisionnel et l’accès à la justice</w:t>
      </w:r>
      <w:r w:rsidR="00964083" w:rsidRPr="00EB1193">
        <w:rPr>
          <w:sz w:val="28"/>
          <w:szCs w:val="28"/>
        </w:rPr>
        <w:br/>
      </w:r>
      <w:r w:rsidRPr="00EB1193">
        <w:rPr>
          <w:sz w:val="28"/>
          <w:szCs w:val="28"/>
        </w:rPr>
        <w:t>en matière d’environnement</w:t>
      </w:r>
    </w:p>
    <w:p w:rsidR="00C221FB" w:rsidRPr="00EB1193" w:rsidRDefault="00C221FB" w:rsidP="00831497">
      <w:pPr>
        <w:spacing w:before="120"/>
        <w:rPr>
          <w:b/>
        </w:rPr>
      </w:pPr>
      <w:r w:rsidRPr="00EB1193">
        <w:rPr>
          <w:b/>
        </w:rPr>
        <w:t>Troisième session</w:t>
      </w:r>
    </w:p>
    <w:p w:rsidR="00C221FB" w:rsidRPr="00EB1193" w:rsidRDefault="00C221FB" w:rsidP="00964083">
      <w:r w:rsidRPr="00EB1193">
        <w:t>Budva (Monténégro), 15 septembre 2017</w:t>
      </w:r>
    </w:p>
    <w:p w:rsidR="00C221FB" w:rsidRPr="00EB1193" w:rsidRDefault="00C221FB" w:rsidP="00964083">
      <w:r w:rsidRPr="00EB1193">
        <w:t>Point 4 a) de l’ordre du jour provisoire</w:t>
      </w:r>
    </w:p>
    <w:p w:rsidR="00C221FB" w:rsidRPr="00EB1193" w:rsidRDefault="00C221FB" w:rsidP="00964083">
      <w:pPr>
        <w:rPr>
          <w:b/>
        </w:rPr>
      </w:pPr>
      <w:r w:rsidRPr="00EB1193">
        <w:rPr>
          <w:b/>
        </w:rPr>
        <w:t>Mécanismes de présentation des rapports et d’examen du respect des dispositions</w:t>
      </w:r>
      <w:r w:rsidR="00EB1193">
        <w:rPr>
          <w:b/>
        </w:rPr>
        <w:t> :</w:t>
      </w:r>
      <w:r w:rsidR="00964083" w:rsidRPr="00EB1193">
        <w:rPr>
          <w:b/>
        </w:rPr>
        <w:br/>
      </w:r>
      <w:r w:rsidRPr="00EB1193">
        <w:rPr>
          <w:b/>
        </w:rPr>
        <w:t>mécanisme de présentation des rapports</w:t>
      </w:r>
    </w:p>
    <w:p w:rsidR="00C221FB" w:rsidRDefault="00C221FB" w:rsidP="00964083">
      <w:pPr>
        <w:pStyle w:val="HChG"/>
        <w:rPr>
          <w:b w:val="0"/>
          <w:sz w:val="20"/>
        </w:rPr>
      </w:pPr>
      <w:r w:rsidRPr="00EB1193">
        <w:rPr>
          <w:sz w:val="20"/>
        </w:rPr>
        <w:tab/>
      </w:r>
      <w:r w:rsidRPr="00EB1193">
        <w:rPr>
          <w:sz w:val="20"/>
        </w:rPr>
        <w:tab/>
      </w:r>
      <w:r w:rsidRPr="00EB1193">
        <w:t xml:space="preserve">Projet de décision III/1 sur </w:t>
      </w:r>
      <w:r w:rsidR="006F49B2">
        <w:t>les dispositions relatives à la </w:t>
      </w:r>
      <w:r w:rsidRPr="00EB1193">
        <w:t>présentation des rapports</w:t>
      </w:r>
      <w:r w:rsidRPr="00EB1193">
        <w:rPr>
          <w:rStyle w:val="Appelnotedebasdep"/>
          <w:b w:val="0"/>
          <w:sz w:val="20"/>
          <w:vertAlign w:val="baseline"/>
        </w:rPr>
        <w:footnoteReference w:customMarkFollows="1" w:id="2"/>
        <w:sym w:font="Symbol" w:char="F02A"/>
      </w:r>
    </w:p>
    <w:p w:rsidR="00D502AD" w:rsidRPr="00D502AD" w:rsidRDefault="00D502AD" w:rsidP="00D502AD">
      <w:pPr>
        <w:pStyle w:val="H1G"/>
      </w:pPr>
      <w:r>
        <w:tab/>
      </w:r>
      <w:r>
        <w:tab/>
      </w:r>
      <w:r w:rsidR="00CE6ECC">
        <w:t>Document établi par le Bureau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964083" w:rsidRPr="00EB119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4083" w:rsidRPr="00EB1193" w:rsidRDefault="00964083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EB1193">
              <w:rPr>
                <w:i/>
                <w:sz w:val="24"/>
              </w:rPr>
              <w:t>Résumé</w:t>
            </w:r>
          </w:p>
        </w:tc>
      </w:tr>
      <w:tr w:rsidR="00964083" w:rsidRPr="00EB119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4083" w:rsidRPr="00EB1193" w:rsidRDefault="00233879" w:rsidP="00964083">
            <w:pPr>
              <w:pStyle w:val="SingleTxtG"/>
              <w:ind w:firstLine="567"/>
            </w:pPr>
            <w:r w:rsidRPr="00EB1193">
              <w:t>Le présent document contient le projet de décision sur les dispositions relatives à la présentation des rapports au titre du Protocole sur les registres des rejets et transferts de polluants à la Convention sur l’accès à l’information, la participation du public au processus décisionnel et l’accès à la justice en matière d’environnement. Le projet de texte a été élaboré par le Bureau sur la base des décisions antérieures concernant la présentation des rapports adoptées par la Réunion des Parties à ses première et deuxième sessions (décisions I/5 et II/1), et en ayant à l’esprit la directive du Protocole selon laquelle la Réunion des Parties «</w:t>
            </w:r>
            <w:r w:rsidR="006F49B2">
              <w:t> </w:t>
            </w:r>
            <w:r w:rsidRPr="00EB1193">
              <w:t>suit en permanence l’application et le développement du Protocole sur la base des informations notifiées régulièrement par les Parties</w:t>
            </w:r>
            <w:r w:rsidR="006F49B2">
              <w:t> </w:t>
            </w:r>
            <w:r w:rsidRPr="00EB1193">
              <w:t>» (ar</w:t>
            </w:r>
            <w:r w:rsidR="006F49B2">
              <w:t>t. 17, par. </w:t>
            </w:r>
            <w:r w:rsidRPr="00EB1193">
              <w:t>2).</w:t>
            </w:r>
          </w:p>
        </w:tc>
      </w:tr>
      <w:tr w:rsidR="00233879" w:rsidRPr="00EB119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233879" w:rsidRPr="00EB1193" w:rsidRDefault="00233879" w:rsidP="00964083">
            <w:pPr>
              <w:pStyle w:val="SingleTxtG"/>
              <w:ind w:firstLine="567"/>
            </w:pPr>
            <w:r w:rsidRPr="00EB1193">
              <w:t>Le Bureau a rédigé le projet de décision compte tenu de son mandat, aux termes duquel il est chargé «</w:t>
            </w:r>
            <w:r w:rsidR="006F49B2">
              <w:t> </w:t>
            </w:r>
            <w:r w:rsidRPr="00EB1193">
              <w:t>de suivre en permanence les activités inscrites au programme de travail pour la période 2015-2017, et de faire rapport et formuler des recommandations appropriées à la Réunion des Parties à sa troisième session ordinaire</w:t>
            </w:r>
            <w:r w:rsidR="006F49B2">
              <w:t> </w:t>
            </w:r>
            <w:r w:rsidRPr="00EB1193">
              <w:t>» (ECE/MP.PRTR/</w:t>
            </w:r>
            <w:r w:rsidR="006F49B2">
              <w:t xml:space="preserve"> </w:t>
            </w:r>
            <w:r w:rsidRPr="00EB1193">
              <w:t>20</w:t>
            </w:r>
            <w:r w:rsidR="006F49B2">
              <w:t>14/4/Add.1, décision II/3, par. </w:t>
            </w:r>
            <w:r w:rsidRPr="00EB1193">
              <w:t>5). Le projet de décision est soumis à la Réunion des Parties à sa troisième session pour examen et adoption.</w:t>
            </w:r>
          </w:p>
        </w:tc>
      </w:tr>
      <w:tr w:rsidR="00964083" w:rsidRPr="00EB1193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964083" w:rsidRPr="00EB1193" w:rsidRDefault="00964083" w:rsidP="00216E0F"/>
        </w:tc>
      </w:tr>
    </w:tbl>
    <w:p w:rsidR="00C221FB" w:rsidRPr="00EB1193" w:rsidRDefault="00C221FB" w:rsidP="00EB1193">
      <w:pPr>
        <w:pStyle w:val="SingleTxtG"/>
        <w:ind w:firstLine="567"/>
        <w:rPr>
          <w:i/>
        </w:rPr>
      </w:pPr>
      <w:bookmarkStart w:id="0" w:name="_GoBack"/>
      <w:bookmarkEnd w:id="0"/>
      <w:r w:rsidRPr="00EB1193">
        <w:br w:type="page"/>
      </w:r>
      <w:r w:rsidRPr="00EB1193">
        <w:rPr>
          <w:i/>
        </w:rPr>
        <w:lastRenderedPageBreak/>
        <w:t>La Réunion des Parties</w:t>
      </w:r>
      <w:r w:rsidRPr="006F49B2">
        <w:t>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Rappelant</w:t>
      </w:r>
      <w:r w:rsidRPr="00EB1193">
        <w:t xml:space="preserve"> le paragraphe 2 de l’article 17 du Protocole sur les registres des rejets et</w:t>
      </w:r>
      <w:r w:rsidR="00233879" w:rsidRPr="00EB1193">
        <w:t xml:space="preserve"> </w:t>
      </w:r>
      <w:r w:rsidRPr="00EB1193">
        <w:t>transferts de polluants, qui dispose notamment que la Réunion des Parties au Protocole suit</w:t>
      </w:r>
      <w:r w:rsidR="00233879" w:rsidRPr="00EB1193">
        <w:t xml:space="preserve"> </w:t>
      </w:r>
      <w:r w:rsidR="00EB1193" w:rsidRPr="00EB1193">
        <w:t>e</w:t>
      </w:r>
      <w:r w:rsidRPr="00EB1193">
        <w:t>n permanence l’application et le développement du Protocole sur la base des informations</w:t>
      </w:r>
      <w:r w:rsidR="00233879" w:rsidRPr="00EB1193">
        <w:t xml:space="preserve"> </w:t>
      </w:r>
      <w:r w:rsidRPr="00EB1193">
        <w:t>notifiées régulièrement par les Parties et, dans cette optique, élabore des directives afin de</w:t>
      </w:r>
      <w:r w:rsidR="00A45DAC" w:rsidRPr="00EB1193">
        <w:t xml:space="preserve"> </w:t>
      </w:r>
      <w:r w:rsidRPr="00EB1193">
        <w:t>faciliter la notification des informations que lui adressent les Parties, compte tenu de</w:t>
      </w:r>
      <w:r w:rsidR="00A45DAC" w:rsidRPr="00EB1193">
        <w:t xml:space="preserve"> </w:t>
      </w:r>
      <w:r w:rsidRPr="00EB1193">
        <w:t>l’expérience acquise dans le cadre de la Convention,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Rappelant également</w:t>
      </w:r>
      <w:r w:rsidRPr="00EB1193">
        <w:t xml:space="preserve"> la décision I/5, adoptée à sa première session par la Réunion</w:t>
      </w:r>
      <w:r w:rsidR="00A45DAC" w:rsidRPr="00EB1193">
        <w:t xml:space="preserve"> </w:t>
      </w:r>
      <w:r w:rsidRPr="00EB1193">
        <w:t>des Parties au Protocole, par laquelle les Parties ont créé un mécanisme de notification afin</w:t>
      </w:r>
      <w:r w:rsidR="00A45DAC" w:rsidRPr="00EB1193">
        <w:t xml:space="preserve"> </w:t>
      </w:r>
      <w:r w:rsidRPr="00EB1193">
        <w:t>de suivre les progrès réalisés dans l’application des dispositions du Protocole,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Reconnaissant</w:t>
      </w:r>
      <w:r w:rsidRPr="00EB1193">
        <w:t xml:space="preserve"> qu’en communiquant régulièrement des informations, les Parties</w:t>
      </w:r>
      <w:r w:rsidR="00A45DAC" w:rsidRPr="00EB1193">
        <w:t xml:space="preserve"> </w:t>
      </w:r>
      <w:r w:rsidRPr="00EB1193">
        <w:t>fournissent des éléments de référence importants qui facilitent l’évaluation du respect des</w:t>
      </w:r>
      <w:r w:rsidR="00A45DAC" w:rsidRPr="00EB1193">
        <w:t xml:space="preserve"> </w:t>
      </w:r>
      <w:r w:rsidRPr="00EB1193">
        <w:t>obligations découlant du Protocole et, par-là même, contribuent aux travaux du Comité</w:t>
      </w:r>
      <w:r w:rsidR="00A45DAC" w:rsidRPr="00EB1193">
        <w:t xml:space="preserve"> </w:t>
      </w:r>
      <w:r w:rsidRPr="00EB1193">
        <w:t>d’examen du respect des dispositions,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 xml:space="preserve">Convaincue </w:t>
      </w:r>
      <w:r w:rsidRPr="00EB1193">
        <w:t>que la participation du public à l’élaboration des rapports devrait</w:t>
      </w:r>
      <w:r w:rsidR="00A45DAC" w:rsidRPr="00EB1193">
        <w:t xml:space="preserve"> </w:t>
      </w:r>
      <w:r w:rsidRPr="00EB1193">
        <w:t>contribuer à en améliorer la qualité et la précision et à renforcer la crédibilité du système,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Consciente</w:t>
      </w:r>
      <w:r w:rsidRPr="00EB1193">
        <w:t xml:space="preserve"> de la nécessité d’établir un mécanisme simple, concis et qui ne soit pas</w:t>
      </w:r>
      <w:r w:rsidR="00A45DAC" w:rsidRPr="00EB1193">
        <w:t xml:space="preserve"> </w:t>
      </w:r>
      <w:r w:rsidRPr="00EB1193">
        <w:t>trop contraignant,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Notant</w:t>
      </w:r>
      <w:r w:rsidRPr="00EB1193">
        <w:t xml:space="preserve"> que la présente décision concerne la communication par les Parties</w:t>
      </w:r>
      <w:r w:rsidR="00A45DAC" w:rsidRPr="00EB1193">
        <w:t xml:space="preserve"> </w:t>
      </w:r>
      <w:r w:rsidRPr="00EB1193">
        <w:t>d’informations sur la manière dont elles se sont acquittées des obligations découlant du</w:t>
      </w:r>
      <w:r w:rsidR="00A45DAC" w:rsidRPr="00EB1193">
        <w:t xml:space="preserve"> </w:t>
      </w:r>
      <w:r w:rsidRPr="00EB1193">
        <w:t>Protocole et non pas les informations qui doivent être communiquées au titre de l’article 7</w:t>
      </w:r>
      <w:r w:rsidR="00A45DAC" w:rsidRPr="00EB1193">
        <w:t xml:space="preserve"> </w:t>
      </w:r>
      <w:r w:rsidRPr="00EB1193">
        <w:t>du Protocole,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Considérant</w:t>
      </w:r>
      <w:r w:rsidRPr="00EB1193">
        <w:t xml:space="preserve"> que la procédure de présentation des rapports énoncée dans la</w:t>
      </w:r>
      <w:r w:rsidR="00A45DAC" w:rsidRPr="00EB1193">
        <w:t xml:space="preserve"> </w:t>
      </w:r>
      <w:r w:rsidRPr="00EB1193">
        <w:t>décision I/5 devrait continuer de s’appliquer au cours du prochain cycle de présentation</w:t>
      </w:r>
      <w:r w:rsidR="00A45DAC" w:rsidRPr="00EB1193">
        <w:t xml:space="preserve"> </w:t>
      </w:r>
      <w:r w:rsidRPr="00EB1193">
        <w:t>des rapports,</w:t>
      </w:r>
    </w:p>
    <w:p w:rsidR="00C221FB" w:rsidRPr="00EB1193" w:rsidRDefault="00C221FB" w:rsidP="00EB1193">
      <w:pPr>
        <w:pStyle w:val="SingleTxtG"/>
        <w:ind w:firstLine="567"/>
      </w:pPr>
      <w:r w:rsidRPr="00EB1193">
        <w:rPr>
          <w:i/>
        </w:rPr>
        <w:t>Soulignant</w:t>
      </w:r>
      <w:r w:rsidRPr="00EB1193">
        <w:t xml:space="preserve"> qu’il est essentiel que les rapports soient présentés dans les délais prescrits,</w:t>
      </w:r>
    </w:p>
    <w:p w:rsidR="00C221FB" w:rsidRPr="00621799" w:rsidRDefault="00C221FB" w:rsidP="00EB1193">
      <w:pPr>
        <w:pStyle w:val="SingleTxtG"/>
        <w:ind w:firstLine="567"/>
        <w:rPr>
          <w:spacing w:val="-1"/>
        </w:rPr>
      </w:pPr>
      <w:r w:rsidRPr="00621799">
        <w:rPr>
          <w:spacing w:val="-1"/>
        </w:rPr>
        <w:t>1.</w:t>
      </w:r>
      <w:r w:rsidRPr="00621799">
        <w:rPr>
          <w:spacing w:val="-1"/>
        </w:rPr>
        <w:tab/>
      </w:r>
      <w:r w:rsidRPr="00621799">
        <w:rPr>
          <w:i/>
          <w:spacing w:val="-1"/>
        </w:rPr>
        <w:t>Prend note avec satisfaction</w:t>
      </w:r>
      <w:r w:rsidRPr="00621799">
        <w:rPr>
          <w:spacing w:val="-1"/>
        </w:rPr>
        <w:t xml:space="preserve"> des rapports sur la mise en œuvre présentés par</w:t>
      </w:r>
      <w:r w:rsidR="00A45DAC" w:rsidRPr="00621799">
        <w:rPr>
          <w:spacing w:val="-1"/>
        </w:rPr>
        <w:t xml:space="preserve"> </w:t>
      </w:r>
      <w:r w:rsidRPr="00621799">
        <w:rPr>
          <w:spacing w:val="-1"/>
        </w:rPr>
        <w:t xml:space="preserve">plus </w:t>
      </w:r>
      <w:r w:rsidR="00621799" w:rsidRPr="00621799">
        <w:rPr>
          <w:spacing w:val="-1"/>
        </w:rPr>
        <w:t>de 90 %</w:t>
      </w:r>
      <w:r w:rsidRPr="00621799">
        <w:rPr>
          <w:spacing w:val="-1"/>
        </w:rPr>
        <w:t xml:space="preserve"> des Parties au Protocole sur les registres des rejets et transferts de polluants à la Convention sur l’accès à l’information, la participation du public au processus décisionnel et l’accès à la justice en matière d’environnement conformément à la décision I/5</w:t>
      </w:r>
      <w:r w:rsidR="00EB1193" w:rsidRPr="00621799">
        <w:rPr>
          <w:spacing w:val="-1"/>
        </w:rPr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2.</w:t>
      </w:r>
      <w:r w:rsidRPr="00EB1193">
        <w:tab/>
      </w:r>
      <w:r w:rsidRPr="00EB1193">
        <w:rPr>
          <w:i/>
        </w:rPr>
        <w:t>Accueille avec intérêt</w:t>
      </w:r>
      <w:r w:rsidRPr="00EB1193">
        <w:t xml:space="preserve"> le rapport de synthèse établi par le Bureau et le Comité</w:t>
      </w:r>
      <w:r w:rsidR="00A45DAC" w:rsidRPr="00EB1193">
        <w:t xml:space="preserve"> </w:t>
      </w:r>
      <w:r w:rsidRPr="00EB1193">
        <w:t>d’examen du respect des dispositions (ECE/MP.PRTR/2017/10)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3.</w:t>
      </w:r>
      <w:r w:rsidRPr="00EB1193">
        <w:tab/>
      </w:r>
      <w:r w:rsidRPr="00EB1193">
        <w:rPr>
          <w:i/>
        </w:rPr>
        <w:t>Considère</w:t>
      </w:r>
      <w:r w:rsidRPr="00EB1193">
        <w:t xml:space="preserve"> que ces rapports constituent un aperçu utile de l’état de la mise en</w:t>
      </w:r>
      <w:r w:rsidR="00A45DAC" w:rsidRPr="00EB1193">
        <w:t xml:space="preserve"> </w:t>
      </w:r>
      <w:r w:rsidRPr="00EB1193">
        <w:t>œuvre du Protocole et des principales tendances et difficultés, qui contribuera à orienter les</w:t>
      </w:r>
      <w:r w:rsidR="00A45DAC" w:rsidRPr="00EB1193">
        <w:t xml:space="preserve"> </w:t>
      </w:r>
      <w:r w:rsidRPr="00EB1193">
        <w:t>activités futures</w:t>
      </w:r>
      <w:r w:rsidR="00EB1193">
        <w:t> ;</w:t>
      </w:r>
    </w:p>
    <w:p w:rsidR="00C221FB" w:rsidRPr="00EB1193" w:rsidRDefault="00347C38" w:rsidP="00347C38">
      <w:pPr>
        <w:pStyle w:val="H23G"/>
      </w:pPr>
      <w:r w:rsidRPr="00EB1193">
        <w:tab/>
      </w:r>
      <w:r w:rsidRPr="00EB1193">
        <w:tab/>
      </w:r>
      <w:r w:rsidR="00C221FB" w:rsidRPr="00EB1193">
        <w:t>Présentation des rapports en temps utile</w:t>
      </w:r>
    </w:p>
    <w:p w:rsidR="00C221FB" w:rsidRPr="00EB1193" w:rsidRDefault="00C221FB" w:rsidP="00EB1193">
      <w:pPr>
        <w:pStyle w:val="SingleTxtG"/>
        <w:ind w:firstLine="567"/>
      </w:pPr>
      <w:r w:rsidRPr="00EB1193">
        <w:t>4.</w:t>
      </w:r>
      <w:r w:rsidRPr="00EB1193">
        <w:tab/>
      </w:r>
      <w:r w:rsidRPr="00EB1193">
        <w:rPr>
          <w:i/>
        </w:rPr>
        <w:t xml:space="preserve">Note </w:t>
      </w:r>
      <w:r w:rsidRPr="00EB1193">
        <w:t>que certaines</w:t>
      </w:r>
      <w:r w:rsidR="00EB1193">
        <w:t xml:space="preserve"> </w:t>
      </w:r>
      <w:r w:rsidRPr="00EB1193">
        <w:t>Parties qui ont soumis des rapports l’ont fait après</w:t>
      </w:r>
      <w:r w:rsidR="00A45DAC" w:rsidRPr="00EB1193">
        <w:t xml:space="preserve"> </w:t>
      </w:r>
      <w:r w:rsidRPr="00EB1193">
        <w:t>l’échéance indiquée dans la décision I/5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5.</w:t>
      </w:r>
      <w:r w:rsidRPr="00EB1193">
        <w:tab/>
      </w:r>
      <w:r w:rsidRPr="00EB1193">
        <w:rPr>
          <w:i/>
        </w:rPr>
        <w:t>Encourage à nouveau</w:t>
      </w:r>
      <w:r w:rsidRPr="00EB1193">
        <w:t xml:space="preserve"> les Parties à commencer, lors des prochains cycles de</w:t>
      </w:r>
      <w:r w:rsidR="00A45DAC" w:rsidRPr="00EB1193">
        <w:t xml:space="preserve"> </w:t>
      </w:r>
      <w:r w:rsidRPr="00EB1193">
        <w:t>présentation, d’établir leurs rapports sur la mise en œuvre suffisamment en avance par</w:t>
      </w:r>
      <w:r w:rsidR="00A45DAC" w:rsidRPr="00EB1193">
        <w:t xml:space="preserve"> </w:t>
      </w:r>
      <w:r w:rsidRPr="00EB1193">
        <w:t>rapport à l’échéance prescrite pour la présentation des rapports au secrétariat, telle</w:t>
      </w:r>
      <w:r w:rsidR="00A45DAC" w:rsidRPr="00EB1193">
        <w:t xml:space="preserve"> </w:t>
      </w:r>
      <w:r w:rsidRPr="00EB1193">
        <w:t>qu’indiquée dans la décision I/5, et au plus tard sept mois avant, afin de garantir la tenue de</w:t>
      </w:r>
      <w:r w:rsidR="00347C38" w:rsidRPr="00EB1193">
        <w:t xml:space="preserve"> </w:t>
      </w:r>
      <w:r w:rsidRPr="00EB1193">
        <w:t>véritables consultations publiques sur les rapports au niveau national</w:t>
      </w:r>
      <w:r w:rsidR="00EB1193">
        <w:t> ;</w:t>
      </w:r>
    </w:p>
    <w:p w:rsidR="00C221FB" w:rsidRPr="00EB1193" w:rsidRDefault="00347C38" w:rsidP="00347C38">
      <w:pPr>
        <w:pStyle w:val="H23G"/>
      </w:pPr>
      <w:r w:rsidRPr="00EB1193">
        <w:tab/>
      </w:r>
      <w:r w:rsidR="00C221FB" w:rsidRPr="00EB1193">
        <w:tab/>
        <w:t>Non-présentation des rapports</w:t>
      </w:r>
    </w:p>
    <w:p w:rsidR="00C221FB" w:rsidRPr="00EB1193" w:rsidRDefault="00C221FB" w:rsidP="00EB1193">
      <w:pPr>
        <w:pStyle w:val="SingleTxtG"/>
        <w:ind w:firstLine="567"/>
      </w:pPr>
      <w:r w:rsidRPr="00EB1193">
        <w:t>6.</w:t>
      </w:r>
      <w:r w:rsidRPr="00EB1193">
        <w:tab/>
      </w:r>
      <w:r w:rsidRPr="00EB1193">
        <w:rPr>
          <w:i/>
        </w:rPr>
        <w:t>Note avec regret</w:t>
      </w:r>
      <w:r w:rsidRPr="00EB1193">
        <w:t xml:space="preserve"> que Chypre, la Hongrie, Malte, la Slovénie et l’Ukraine, qui étaient tous Parties au Protocole à l’expiration du délai prévu pour la présentation des rapports sur la mise en œuvre, n’ont pas présenté de rapports</w:t>
      </w:r>
      <w:r w:rsidR="00EB1193">
        <w:t> ;</w:t>
      </w:r>
    </w:p>
    <w:p w:rsidR="00C221FB" w:rsidRPr="00EB1193" w:rsidRDefault="00C221FB" w:rsidP="00621799">
      <w:pPr>
        <w:pStyle w:val="SingleTxtG"/>
        <w:keepLines/>
        <w:ind w:firstLine="567"/>
      </w:pPr>
      <w:r w:rsidRPr="00EB1193">
        <w:lastRenderedPageBreak/>
        <w:t>7.</w:t>
      </w:r>
      <w:r w:rsidRPr="00EB1193">
        <w:tab/>
      </w:r>
      <w:r w:rsidRPr="00EB1193">
        <w:rPr>
          <w:i/>
        </w:rPr>
        <w:t>Demande</w:t>
      </w:r>
      <w:r w:rsidRPr="00EB1193">
        <w:t xml:space="preserve"> aux Parties qui n’ont pas encore soumis leur rapport national sur la</w:t>
      </w:r>
      <w:r w:rsidR="00A45DAC" w:rsidRPr="00EB1193">
        <w:t xml:space="preserve"> </w:t>
      </w:r>
      <w:r w:rsidRPr="00EB1193">
        <w:t>mise en œuvre de le faire parvenir au secrétariat dès que possible mais avant le 15</w:t>
      </w:r>
      <w:r w:rsidR="00621799">
        <w:t> </w:t>
      </w:r>
      <w:r w:rsidRPr="00EB1193">
        <w:t>novembre 2017 au plus tard, en vue de son examen, entre autres par le Comité d’examen du respect des dispositions</w:t>
      </w:r>
      <w:r w:rsidR="00EB1193">
        <w:t> ;</w:t>
      </w:r>
    </w:p>
    <w:p w:rsidR="00C221FB" w:rsidRPr="00EB1193" w:rsidRDefault="00C221FB" w:rsidP="00347C38">
      <w:pPr>
        <w:pStyle w:val="H23G"/>
      </w:pPr>
      <w:r w:rsidRPr="00EB1193">
        <w:tab/>
      </w:r>
      <w:r w:rsidRPr="00EB1193">
        <w:tab/>
      </w:r>
      <w:r w:rsidRPr="00EB1193">
        <w:t>Consultations publiques</w:t>
      </w:r>
    </w:p>
    <w:p w:rsidR="00C221FB" w:rsidRPr="00EB1193" w:rsidRDefault="00C221FB" w:rsidP="00EB1193">
      <w:pPr>
        <w:pStyle w:val="SingleTxtG"/>
        <w:ind w:firstLine="567"/>
      </w:pPr>
      <w:r w:rsidRPr="00EB1193">
        <w:t>8.</w:t>
      </w:r>
      <w:r w:rsidRPr="00EB1193">
        <w:tab/>
      </w:r>
      <w:r w:rsidRPr="00EB1193">
        <w:rPr>
          <w:i/>
        </w:rPr>
        <w:t>Note avec satisfaction</w:t>
      </w:r>
      <w:r w:rsidRPr="00EB1193">
        <w:t xml:space="preserve"> que la plupart des Parties ont établi leurs rapports dans</w:t>
      </w:r>
      <w:r w:rsidR="00A45DAC" w:rsidRPr="00EB1193">
        <w:t xml:space="preserve"> </w:t>
      </w:r>
      <w:r w:rsidRPr="00EB1193">
        <w:t>le cadre d’une procédure ayant comporté des consultations avec divers organismes</w:t>
      </w:r>
      <w:r w:rsidR="00A45DAC" w:rsidRPr="00EB1193">
        <w:t xml:space="preserve"> </w:t>
      </w:r>
      <w:r w:rsidRPr="00EB1193">
        <w:t>gouvernementaux et la société civile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9.</w:t>
      </w:r>
      <w:r w:rsidRPr="00EB1193">
        <w:tab/>
      </w:r>
      <w:r w:rsidRPr="00EB1193">
        <w:rPr>
          <w:i/>
        </w:rPr>
        <w:t>Prie</w:t>
      </w:r>
      <w:r w:rsidRPr="00EB1193">
        <w:t xml:space="preserve"> chaque Partie d’établir ses rapports sur la mise en œuvre du Protocole en suivant un processus transparent et consultatif impliquant le public suffisamment tôt,</w:t>
      </w:r>
      <w:r w:rsidR="00347C38" w:rsidRPr="00EB1193">
        <w:t xml:space="preserve"> </w:t>
      </w:r>
      <w:r w:rsidRPr="00EB1193">
        <w:t>compte tenu des conditions spécifiques aux organisations d’intégration économique régionale</w:t>
      </w:r>
      <w:r w:rsidR="00EB1193">
        <w:t> ;</w:t>
      </w:r>
    </w:p>
    <w:p w:rsidR="00C221FB" w:rsidRPr="00EB1193" w:rsidRDefault="00C221FB" w:rsidP="00347C38">
      <w:pPr>
        <w:pStyle w:val="H23G"/>
      </w:pPr>
      <w:r w:rsidRPr="00EB1193">
        <w:tab/>
      </w:r>
      <w:r w:rsidRPr="00EB1193">
        <w:tab/>
      </w:r>
      <w:r w:rsidRPr="00EB1193">
        <w:t>Directives relatives à la présentation des rapports</w:t>
      </w:r>
    </w:p>
    <w:p w:rsidR="00C221FB" w:rsidRPr="00EB1193" w:rsidRDefault="00C221FB" w:rsidP="00EB1193">
      <w:pPr>
        <w:pStyle w:val="SingleTxtG"/>
        <w:ind w:firstLine="567"/>
      </w:pPr>
      <w:r w:rsidRPr="00EB1193">
        <w:t>10.</w:t>
      </w:r>
      <w:r w:rsidRPr="00EB1193">
        <w:tab/>
      </w:r>
      <w:r w:rsidRPr="00690950">
        <w:rPr>
          <w:i/>
        </w:rPr>
        <w:t>Prie également</w:t>
      </w:r>
      <w:r w:rsidRPr="00EB1193">
        <w:t xml:space="preserve"> chaque Partie d’adresser au secrétariat, dans des délais</w:t>
      </w:r>
      <w:r w:rsidR="00A45DAC" w:rsidRPr="00EB1193">
        <w:t xml:space="preserve"> </w:t>
      </w:r>
      <w:r w:rsidRPr="00EB1193">
        <w:t>suffisants pour qu’il parvienne au moins neuf mois avant la session ordinaire de la Réunion des Parties pour laquelle il est soumis, un rapport sur</w:t>
      </w:r>
      <w:r w:rsidR="00EB1193">
        <w:t> :</w:t>
      </w:r>
    </w:p>
    <w:p w:rsidR="00C221FB" w:rsidRPr="00EB1193" w:rsidRDefault="00C221FB" w:rsidP="00EB1193">
      <w:pPr>
        <w:pStyle w:val="SingleTxtG"/>
        <w:ind w:firstLine="567"/>
      </w:pPr>
      <w:r w:rsidRPr="00EB1193">
        <w:t>a)</w:t>
      </w:r>
      <w:r w:rsidRPr="00EB1193">
        <w:tab/>
        <w:t>Les mesures législatives, réglementaires ou autres qu’elle a dû prendre en vue</w:t>
      </w:r>
      <w:r w:rsidR="00347C38" w:rsidRPr="00EB1193">
        <w:t xml:space="preserve"> </w:t>
      </w:r>
      <w:r w:rsidRPr="00EB1193">
        <w:t>d’appliquer les dispositions du Protocole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b)</w:t>
      </w:r>
      <w:r w:rsidRPr="00EB1193">
        <w:tab/>
        <w:t>L’application pratique de ces mesures au niveau national ou, dans le cas des</w:t>
      </w:r>
      <w:r w:rsidR="00347C38" w:rsidRPr="00EB1193">
        <w:t xml:space="preserve"> </w:t>
      </w:r>
      <w:r w:rsidRPr="00EB1193">
        <w:t>organisations d’intégration économique régionale, au niveau régional, en utilisant le cadre</w:t>
      </w:r>
      <w:r w:rsidR="00347C38" w:rsidRPr="00EB1193">
        <w:t xml:space="preserve"> </w:t>
      </w:r>
      <w:r w:rsidRPr="00EB1193">
        <w:t>de présentation figurant en annexe de la décision I/5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11.</w:t>
      </w:r>
      <w:r w:rsidRPr="00EB1193">
        <w:tab/>
      </w:r>
      <w:r w:rsidRPr="00EB1193">
        <w:rPr>
          <w:i/>
        </w:rPr>
        <w:t>Prie en outre</w:t>
      </w:r>
      <w:r w:rsidRPr="00EB1193">
        <w:t xml:space="preserve"> chaque Partie de réexaminer son rapport avant chaque session</w:t>
      </w:r>
      <w:r w:rsidR="00347C38" w:rsidRPr="00EB1193">
        <w:t xml:space="preserve"> </w:t>
      </w:r>
      <w:r w:rsidRPr="00EB1193">
        <w:t>ordinaire de la Réunion des Parties afin d’établir et de communiquer au secrétariat des</w:t>
      </w:r>
      <w:r w:rsidR="00347C38" w:rsidRPr="00EB1193">
        <w:t xml:space="preserve"> </w:t>
      </w:r>
      <w:r w:rsidRPr="00EB1193">
        <w:t>mises à jour et, dans les cas où elle sera disponible, une version synthétique du rapport</w:t>
      </w:r>
      <w:r w:rsidR="00347C38" w:rsidRPr="00EB1193">
        <w:t xml:space="preserve"> </w:t>
      </w:r>
      <w:r w:rsidRPr="00EB1193">
        <w:t>national sur la mise en œuvre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12.</w:t>
      </w:r>
      <w:r w:rsidRPr="00EB1193">
        <w:tab/>
      </w:r>
      <w:r w:rsidRPr="00EB1193">
        <w:rPr>
          <w:i/>
        </w:rPr>
        <w:t>Encourage</w:t>
      </w:r>
      <w:r w:rsidRPr="00EB1193">
        <w:t xml:space="preserve"> les Parties à prendre en considération les Directives pour l’établissement de rapports sur l’application du Protocole sur les registres des rejets et transferts de polluants (ECE.MP.PRTR/</w:t>
      </w:r>
      <w:r w:rsidR="00A73127">
        <w:t>…</w:t>
      </w:r>
      <w:r w:rsidRPr="00EB1193">
        <w:t>) lorsqu’elles prépareront leurs rapports nationaux</w:t>
      </w:r>
      <w:r w:rsidR="00690950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13.</w:t>
      </w:r>
      <w:r w:rsidRPr="00EB1193">
        <w:tab/>
      </w:r>
      <w:r w:rsidRPr="00EB1193">
        <w:rPr>
          <w:i/>
        </w:rPr>
        <w:t xml:space="preserve">Demande aux </w:t>
      </w:r>
      <w:r w:rsidRPr="00EB1193">
        <w:t>Parties, aux Signataires et aux autres États de soumettre leurs rapports sur la mise en œuvre à l’aide de l’application de notification électronique mise au point par le secrétariat, et en suivant les instructions données par celui-ci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14.</w:t>
      </w:r>
      <w:r w:rsidR="00347C38" w:rsidRPr="00EB1193">
        <w:tab/>
      </w:r>
      <w:r w:rsidRPr="00690950">
        <w:rPr>
          <w:i/>
        </w:rPr>
        <w:t>Décide</w:t>
      </w:r>
      <w:r w:rsidRPr="00EB1193">
        <w:t xml:space="preserve"> que les Parties n’auront plus à transmettre</w:t>
      </w:r>
      <w:r w:rsidR="00EB1193">
        <w:t xml:space="preserve"> </w:t>
      </w:r>
      <w:r w:rsidRPr="00EB1193">
        <w:t>au secrétariat des exemplaires imprimés des rapports</w:t>
      </w:r>
      <w:r w:rsidR="00690950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15.</w:t>
      </w:r>
      <w:r w:rsidRPr="00EB1193">
        <w:tab/>
      </w:r>
      <w:r w:rsidRPr="00EB1193">
        <w:rPr>
          <w:i/>
        </w:rPr>
        <w:t>Demande</w:t>
      </w:r>
      <w:r w:rsidRPr="00EB1193">
        <w:t xml:space="preserve"> au secrétariat de distribuer à toutes les Parties et aux acteurs</w:t>
      </w:r>
      <w:r w:rsidR="00347C38" w:rsidRPr="00EB1193">
        <w:t xml:space="preserve"> </w:t>
      </w:r>
      <w:r w:rsidRPr="00EB1193">
        <w:t>concernés un rappel officiel concernant la présentation des rapports, y compris des</w:t>
      </w:r>
      <w:r w:rsidR="00347C38" w:rsidRPr="00EB1193">
        <w:t xml:space="preserve"> </w:t>
      </w:r>
      <w:r w:rsidRPr="00EB1193">
        <w:t>indications pour leur préparation, le calendrier proposé et la confirmation de la date pour la</w:t>
      </w:r>
      <w:r w:rsidR="00347C38" w:rsidRPr="00EB1193">
        <w:t xml:space="preserve"> </w:t>
      </w:r>
      <w:r w:rsidRPr="00EB1193">
        <w:t>présentation des rapports au secrétariat conformément à la décision I/5, au moins un an</w:t>
      </w:r>
      <w:r w:rsidR="00347C38" w:rsidRPr="00EB1193">
        <w:t xml:space="preserve"> </w:t>
      </w:r>
      <w:r w:rsidRPr="00EB1193">
        <w:t>avant la session suivante de la Réunion des Parties</w:t>
      </w:r>
      <w:r w:rsidR="00EB1193">
        <w:t> ;</w:t>
      </w:r>
      <w:r w:rsidR="00347C38" w:rsidRPr="00EB1193">
        <w:t xml:space="preserve"> </w:t>
      </w:r>
    </w:p>
    <w:p w:rsidR="00347C38" w:rsidRPr="00EB1193" w:rsidRDefault="00C221FB" w:rsidP="00EB1193">
      <w:pPr>
        <w:pStyle w:val="SingleTxtG"/>
        <w:ind w:firstLine="567"/>
      </w:pPr>
      <w:r w:rsidRPr="00EB1193">
        <w:t>16</w:t>
      </w:r>
      <w:r w:rsidR="00347C38" w:rsidRPr="00EB1193">
        <w:t>.</w:t>
      </w:r>
      <w:r w:rsidRPr="00EB1193">
        <w:tab/>
      </w:r>
      <w:r w:rsidRPr="00EB1193">
        <w:rPr>
          <w:i/>
        </w:rPr>
        <w:t>Invite</w:t>
      </w:r>
      <w:r w:rsidRPr="00EB1193">
        <w:t xml:space="preserve"> les Signataires et les autres États qui ne sont pas Parties au Protocole à</w:t>
      </w:r>
      <w:r w:rsidR="00347C38" w:rsidRPr="00EB1193">
        <w:t xml:space="preserve"> </w:t>
      </w:r>
      <w:r w:rsidRPr="00EB1193">
        <w:t>soumettre des rapports sur les mesures prises en vue d’appliquer le Protocole, en attendant</w:t>
      </w:r>
      <w:r w:rsidR="00347C38" w:rsidRPr="00EB1193">
        <w:t xml:space="preserve"> </w:t>
      </w:r>
      <w:r w:rsidRPr="00EB1193">
        <w:t>la ratification et l’accession, selon les procédures susmentionnées</w:t>
      </w:r>
      <w:r w:rsidR="00EB1193">
        <w:t> ;</w:t>
      </w:r>
      <w:r w:rsidR="00347C38" w:rsidRPr="00EB1193">
        <w:t xml:space="preserve"> </w:t>
      </w:r>
    </w:p>
    <w:p w:rsidR="00C221FB" w:rsidRPr="00EB1193" w:rsidRDefault="00C221FB" w:rsidP="00EB1193">
      <w:pPr>
        <w:pStyle w:val="SingleTxtG"/>
        <w:ind w:firstLine="567"/>
      </w:pPr>
      <w:r w:rsidRPr="00EB1193">
        <w:t>17.</w:t>
      </w:r>
      <w:r w:rsidRPr="00EB1193">
        <w:tab/>
      </w:r>
      <w:r w:rsidRPr="00EB1193">
        <w:rPr>
          <w:i/>
        </w:rPr>
        <w:t>Invite également</w:t>
      </w:r>
      <w:r w:rsidRPr="00EB1193">
        <w:t xml:space="preserve"> les organisations internationales, régionales et non</w:t>
      </w:r>
      <w:r w:rsidR="00347C38" w:rsidRPr="00EB1193">
        <w:t xml:space="preserve"> </w:t>
      </w:r>
      <w:r w:rsidRPr="00EB1193">
        <w:t>gouvernementales mettant en œuvre des programmes ou des activités visant à appuyer les</w:t>
      </w:r>
      <w:r w:rsidR="00347C38" w:rsidRPr="00EB1193">
        <w:t xml:space="preserve"> </w:t>
      </w:r>
      <w:r w:rsidRPr="00EB1193">
        <w:t>Parties et/ou les autres États dans l’application du Protocole à soumettre au secrétariat des rapports sur ces programmes et activités et sur les enseignements qui en ont été tirés, ainsi que sur l’application du Protocole lui-même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18</w:t>
      </w:r>
      <w:r w:rsidR="00347C38" w:rsidRPr="00EB1193">
        <w:t>.</w:t>
      </w:r>
      <w:r w:rsidR="00347C38" w:rsidRPr="00EB1193">
        <w:tab/>
      </w:r>
      <w:r w:rsidRPr="00EB1193">
        <w:rPr>
          <w:i/>
        </w:rPr>
        <w:t>Demande</w:t>
      </w:r>
      <w:r w:rsidR="00EB1193">
        <w:t xml:space="preserve"> </w:t>
      </w:r>
      <w:r w:rsidRPr="00EB1193">
        <w:t>au secrétariat d’établir pour chaque session ordinaire de la Réunion</w:t>
      </w:r>
      <w:r w:rsidR="00347C38" w:rsidRPr="00EB1193">
        <w:t xml:space="preserve"> </w:t>
      </w:r>
      <w:r w:rsidRPr="00EB1193">
        <w:t>des Parties un rapport de synthèse résumant les rapports nationaux sur la mise en œuvre</w:t>
      </w:r>
      <w:r w:rsidR="00347C38" w:rsidRPr="00EB1193">
        <w:t xml:space="preserve"> </w:t>
      </w:r>
      <w:r w:rsidRPr="00EB1193">
        <w:t xml:space="preserve">soumis par les Parties et dégageant les grandes tendances ainsi que les principaux défis et </w:t>
      </w:r>
      <w:r w:rsidRPr="00EB1193">
        <w:lastRenderedPageBreak/>
        <w:t>solutions, et de le communiquer aux Parties et aux autres parties prenantes en temps voulu pour que la Réunion des Parties au Protocole puisse l’examiner</w:t>
      </w:r>
      <w:r w:rsidR="00EB1193">
        <w:t> ;</w:t>
      </w:r>
    </w:p>
    <w:p w:rsidR="00C221FB" w:rsidRPr="00EB1193" w:rsidRDefault="00347C38" w:rsidP="00347C38">
      <w:pPr>
        <w:pStyle w:val="H23G"/>
      </w:pPr>
      <w:r w:rsidRPr="00EB1193">
        <w:tab/>
      </w:r>
      <w:r w:rsidRPr="00EB1193">
        <w:tab/>
      </w:r>
      <w:r w:rsidR="00C221FB" w:rsidRPr="00EB1193">
        <w:t>Traduction des rapports</w:t>
      </w:r>
    </w:p>
    <w:p w:rsidR="00C221FB" w:rsidRPr="00EB1193" w:rsidRDefault="00C221FB" w:rsidP="00EB1193">
      <w:pPr>
        <w:pStyle w:val="SingleTxtG"/>
        <w:ind w:firstLine="567"/>
      </w:pPr>
      <w:r w:rsidRPr="00EB1193">
        <w:t>19.</w:t>
      </w:r>
      <w:r w:rsidR="00347C38" w:rsidRPr="00EB1193">
        <w:tab/>
      </w:r>
      <w:r w:rsidRPr="00EB1193">
        <w:rPr>
          <w:i/>
        </w:rPr>
        <w:t xml:space="preserve">Demande </w:t>
      </w:r>
      <w:r w:rsidRPr="00EB1193">
        <w:t>au secrétariat de diffuser les rapports dans les langues dans</w:t>
      </w:r>
      <w:r w:rsidR="00347C38" w:rsidRPr="00EB1193">
        <w:t xml:space="preserve"> </w:t>
      </w:r>
      <w:r w:rsidRPr="00EB1193">
        <w:t>lesquelles ils sont soumis et de publier le rapport de synthèse dans les trois langues</w:t>
      </w:r>
      <w:r w:rsidR="00347C38" w:rsidRPr="00EB1193">
        <w:t xml:space="preserve"> </w:t>
      </w:r>
      <w:r w:rsidRPr="00EB1193">
        <w:t>officielles de la CEE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20.</w:t>
      </w:r>
      <w:r w:rsidRPr="00EB1193">
        <w:tab/>
      </w:r>
      <w:r w:rsidRPr="00EB1193">
        <w:rPr>
          <w:i/>
        </w:rPr>
        <w:t>Encourage</w:t>
      </w:r>
      <w:r w:rsidR="00EB1193">
        <w:rPr>
          <w:i/>
        </w:rPr>
        <w:t xml:space="preserve"> </w:t>
      </w:r>
      <w:r w:rsidRPr="00EB1193">
        <w:t>les Parties qui sont en mesure de le faire à fournir, à leur</w:t>
      </w:r>
      <w:r w:rsidRPr="00EB1193">
        <w:t xml:space="preserve"> </w:t>
      </w:r>
      <w:r w:rsidRPr="00EB1193">
        <w:t>initiative, des traductions de leur rapport dans les deux autres langues officielles de la CEE.</w:t>
      </w:r>
      <w:r w:rsidRPr="00EB1193">
        <w:t xml:space="preserve"> </w:t>
      </w:r>
      <w:r w:rsidRPr="00EB1193">
        <w:t>Le cas échéant, elles sont invitées à les envoyer de préférence un mois au plus tard après la</w:t>
      </w:r>
      <w:r w:rsidRPr="00EB1193">
        <w:t xml:space="preserve"> </w:t>
      </w:r>
      <w:r w:rsidRPr="00EB1193">
        <w:t>date limite pour la soumission du rapport original</w:t>
      </w:r>
      <w:r w:rsidR="00EB1193">
        <w:t> ;</w:t>
      </w:r>
    </w:p>
    <w:p w:rsidR="00C221FB" w:rsidRPr="00EB1193" w:rsidRDefault="00C221FB" w:rsidP="00EB1193">
      <w:pPr>
        <w:pStyle w:val="SingleTxtG"/>
        <w:ind w:firstLine="567"/>
      </w:pPr>
      <w:r w:rsidRPr="00EB1193">
        <w:t>21</w:t>
      </w:r>
      <w:r w:rsidR="00347C38" w:rsidRPr="00EB1193">
        <w:t>.</w:t>
      </w:r>
      <w:r w:rsidR="00347C38" w:rsidRPr="00EB1193">
        <w:tab/>
      </w:r>
      <w:r w:rsidRPr="00EB1193">
        <w:rPr>
          <w:i/>
        </w:rPr>
        <w:t>Demande</w:t>
      </w:r>
      <w:r w:rsidR="00EB1193">
        <w:t xml:space="preserve"> </w:t>
      </w:r>
      <w:r w:rsidRPr="00EB1193">
        <w:t>au secrétariat de mettre en ligne toute traduction officieuse de</w:t>
      </w:r>
      <w:r w:rsidRPr="00EB1193">
        <w:t xml:space="preserve"> </w:t>
      </w:r>
      <w:r w:rsidRPr="00EB1193">
        <w:t>ces</w:t>
      </w:r>
      <w:r w:rsidR="00A73127">
        <w:t> </w:t>
      </w:r>
      <w:r w:rsidRPr="00EB1193">
        <w:t>rapports.</w:t>
      </w:r>
    </w:p>
    <w:p w:rsidR="00E96BD6" w:rsidRPr="00EB1193" w:rsidRDefault="00C221FB" w:rsidP="00C221FB">
      <w:pPr>
        <w:pStyle w:val="SingleTxtG"/>
        <w:spacing w:before="240" w:after="0"/>
        <w:jc w:val="center"/>
        <w:rPr>
          <w:u w:val="single"/>
        </w:rPr>
      </w:pPr>
      <w:r w:rsidRPr="00EB1193">
        <w:rPr>
          <w:u w:val="single"/>
        </w:rPr>
        <w:tab/>
      </w:r>
      <w:r w:rsidRPr="00EB1193">
        <w:rPr>
          <w:u w:val="single"/>
        </w:rPr>
        <w:tab/>
      </w:r>
      <w:r w:rsidRPr="00EB1193">
        <w:rPr>
          <w:u w:val="single"/>
        </w:rPr>
        <w:tab/>
      </w:r>
    </w:p>
    <w:sectPr w:rsidR="00E96BD6" w:rsidRPr="00EB1193" w:rsidSect="00C221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8F" w:rsidRDefault="0011418F" w:rsidP="00F95C08">
      <w:pPr>
        <w:spacing w:line="240" w:lineRule="auto"/>
      </w:pPr>
    </w:p>
  </w:endnote>
  <w:endnote w:type="continuationSeparator" w:id="0">
    <w:p w:rsidR="0011418F" w:rsidRPr="00AC3823" w:rsidRDefault="0011418F" w:rsidP="00AC3823">
      <w:pPr>
        <w:pStyle w:val="Pieddepage"/>
      </w:pPr>
    </w:p>
  </w:endnote>
  <w:endnote w:type="continuationNotice" w:id="1">
    <w:p w:rsidR="0011418F" w:rsidRDefault="001141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FB" w:rsidRPr="00C221FB" w:rsidRDefault="00C221FB" w:rsidP="00C221FB">
    <w:pPr>
      <w:pStyle w:val="Pieddepage"/>
      <w:tabs>
        <w:tab w:val="right" w:pos="9638"/>
      </w:tabs>
    </w:pPr>
    <w:r w:rsidRPr="00C221FB">
      <w:rPr>
        <w:b/>
        <w:sz w:val="18"/>
      </w:rPr>
      <w:fldChar w:fldCharType="begin"/>
    </w:r>
    <w:r w:rsidRPr="00C221FB">
      <w:rPr>
        <w:b/>
        <w:sz w:val="18"/>
      </w:rPr>
      <w:instrText xml:space="preserve"> PAGE  \* MERGEFORMAT </w:instrText>
    </w:r>
    <w:r w:rsidRPr="00C221FB">
      <w:rPr>
        <w:b/>
        <w:sz w:val="18"/>
      </w:rPr>
      <w:fldChar w:fldCharType="separate"/>
    </w:r>
    <w:r w:rsidR="00D05224">
      <w:rPr>
        <w:b/>
        <w:noProof/>
        <w:sz w:val="18"/>
      </w:rPr>
      <w:t>2</w:t>
    </w:r>
    <w:r w:rsidRPr="00C221FB">
      <w:rPr>
        <w:b/>
        <w:sz w:val="18"/>
      </w:rPr>
      <w:fldChar w:fldCharType="end"/>
    </w:r>
    <w:r>
      <w:rPr>
        <w:b/>
        <w:sz w:val="18"/>
      </w:rPr>
      <w:tab/>
    </w:r>
    <w:r>
      <w:t>GE.17-09282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FB" w:rsidRPr="00C221FB" w:rsidRDefault="00C221FB" w:rsidP="00C221FB">
    <w:pPr>
      <w:pStyle w:val="Pieddepage"/>
      <w:tabs>
        <w:tab w:val="right" w:pos="9638"/>
      </w:tabs>
      <w:rPr>
        <w:b/>
        <w:sz w:val="18"/>
      </w:rPr>
    </w:pPr>
    <w:r>
      <w:t>GE.17-09282</w:t>
    </w:r>
    <w:r>
      <w:tab/>
    </w:r>
    <w:r w:rsidRPr="00C221FB">
      <w:rPr>
        <w:b/>
        <w:sz w:val="18"/>
      </w:rPr>
      <w:fldChar w:fldCharType="begin"/>
    </w:r>
    <w:r w:rsidRPr="00C221FB">
      <w:rPr>
        <w:b/>
        <w:sz w:val="18"/>
      </w:rPr>
      <w:instrText xml:space="preserve"> PAGE  \* MERGEFORMAT </w:instrText>
    </w:r>
    <w:r w:rsidRPr="00C221FB">
      <w:rPr>
        <w:b/>
        <w:sz w:val="18"/>
      </w:rPr>
      <w:fldChar w:fldCharType="separate"/>
    </w:r>
    <w:r w:rsidR="00D05224">
      <w:rPr>
        <w:b/>
        <w:noProof/>
        <w:sz w:val="18"/>
      </w:rPr>
      <w:t>3</w:t>
    </w:r>
    <w:r w:rsidRPr="00C221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C221FB" w:rsidRDefault="00C221FB" w:rsidP="00C221FB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17-09282</w:t>
    </w:r>
    <w:r w:rsidR="00EB1193">
      <w:rPr>
        <w:sz w:val="20"/>
      </w:rPr>
      <w:t xml:space="preserve"> </w:t>
    </w:r>
    <w:r w:rsidR="006F49B2">
      <w:rPr>
        <w:sz w:val="20"/>
      </w:rPr>
      <w:t xml:space="preserve"> </w:t>
    </w:r>
    <w:r>
      <w:rPr>
        <w:sz w:val="20"/>
      </w:rPr>
      <w:t>(F)</w:t>
    </w:r>
    <w:r w:rsidR="006F49B2">
      <w:rPr>
        <w:sz w:val="20"/>
      </w:rPr>
      <w:t xml:space="preserve">    140617    140617</w:t>
    </w:r>
    <w:r>
      <w:rPr>
        <w:sz w:val="20"/>
      </w:rPr>
      <w:br/>
    </w:r>
    <w:r w:rsidRPr="00C221FB">
      <w:rPr>
        <w:rFonts w:ascii="C39T30Lfz" w:hAnsi="C39T30Lfz"/>
        <w:sz w:val="56"/>
      </w:rPr>
      <w:t></w:t>
    </w:r>
    <w:r w:rsidRPr="00C221FB">
      <w:rPr>
        <w:rFonts w:ascii="C39T30Lfz" w:hAnsi="C39T30Lfz"/>
        <w:sz w:val="56"/>
      </w:rPr>
      <w:t></w:t>
    </w:r>
    <w:r w:rsidRPr="00C221FB">
      <w:rPr>
        <w:rFonts w:ascii="C39T30Lfz" w:hAnsi="C39T30Lfz"/>
        <w:sz w:val="56"/>
      </w:rPr>
      <w:t></w:t>
    </w:r>
    <w:r w:rsidRPr="00C221FB">
      <w:rPr>
        <w:rFonts w:ascii="C39T30Lfz" w:hAnsi="C39T30Lfz"/>
        <w:sz w:val="56"/>
      </w:rPr>
      <w:t></w:t>
    </w:r>
    <w:r w:rsidRPr="00C221FB">
      <w:rPr>
        <w:rFonts w:ascii="C39T30Lfz" w:hAnsi="C39T30Lfz"/>
        <w:sz w:val="56"/>
      </w:rPr>
      <w:t></w:t>
    </w:r>
    <w:r w:rsidRPr="00C221FB">
      <w:rPr>
        <w:rFonts w:ascii="C39T30Lfz" w:hAnsi="C39T30Lfz"/>
        <w:sz w:val="56"/>
      </w:rPr>
      <w:t></w:t>
    </w:r>
    <w:r w:rsidRPr="00C221FB">
      <w:rPr>
        <w:rFonts w:ascii="C39T30Lfz" w:hAnsi="C39T30Lfz"/>
        <w:sz w:val="56"/>
      </w:rPr>
      <w:t></w:t>
    </w:r>
    <w:r w:rsidRPr="00C221FB">
      <w:rPr>
        <w:rFonts w:ascii="C39T30Lfz" w:hAnsi="C39T30Lfz"/>
        <w:sz w:val="56"/>
      </w:rPr>
      <w:t></w:t>
    </w:r>
    <w:r w:rsidRPr="00C221F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RTR/2017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RTR/2017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8F" w:rsidRPr="00AC3823" w:rsidRDefault="001141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418F" w:rsidRPr="00AC3823" w:rsidRDefault="0011418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1418F" w:rsidRPr="00AC3823" w:rsidRDefault="0011418F">
      <w:pPr>
        <w:spacing w:line="240" w:lineRule="auto"/>
        <w:rPr>
          <w:sz w:val="2"/>
          <w:szCs w:val="2"/>
        </w:rPr>
      </w:pPr>
    </w:p>
  </w:footnote>
  <w:footnote w:id="2">
    <w:p w:rsidR="00C221FB" w:rsidRPr="004A14BF" w:rsidRDefault="00233879" w:rsidP="00233879">
      <w:pPr>
        <w:pStyle w:val="Notedebasdepage"/>
        <w:rPr>
          <w:szCs w:val="18"/>
        </w:rPr>
      </w:pPr>
      <w:r w:rsidRPr="00233879">
        <w:rPr>
          <w:rStyle w:val="Appelnotedebasdep"/>
          <w:sz w:val="20"/>
          <w:vertAlign w:val="baseline"/>
        </w:rPr>
        <w:tab/>
      </w:r>
      <w:r w:rsidR="00C221FB" w:rsidRPr="00233879">
        <w:rPr>
          <w:rStyle w:val="Appelnotedebasdep"/>
          <w:sz w:val="20"/>
          <w:vertAlign w:val="baseline"/>
        </w:rPr>
        <w:sym w:font="Symbol" w:char="F02A"/>
      </w:r>
      <w:r w:rsidRPr="00233879">
        <w:rPr>
          <w:rStyle w:val="Appelnotedebasdep"/>
          <w:sz w:val="20"/>
          <w:vertAlign w:val="baseline"/>
        </w:rPr>
        <w:tab/>
      </w:r>
      <w:r w:rsidR="004A14BF" w:rsidRPr="004A14BF">
        <w:rPr>
          <w:szCs w:val="18"/>
        </w:rPr>
        <w:t xml:space="preserve">Il n’a pas été apporté de modifications de fond à la version la plus récente du projet, qui a été publiée sous la cote </w:t>
      </w:r>
      <w:r w:rsidR="00C221FB" w:rsidRPr="004A14BF">
        <w:rPr>
          <w:szCs w:val="18"/>
        </w:rPr>
        <w:t xml:space="preserve">ECE/MP.PRTR/2014/Add.1. </w:t>
      </w:r>
      <w:r w:rsidR="00CE6ECC" w:rsidRPr="004A14BF">
        <w:rPr>
          <w:szCs w:val="18"/>
        </w:rPr>
        <w:t>Le présent document a donc été soumis pour publication sans avoir été revu par les services d’édition</w:t>
      </w:r>
      <w:r w:rsidR="00C221FB" w:rsidRPr="004A14B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FB" w:rsidRPr="00C221FB" w:rsidRDefault="00C221FB">
    <w:pPr>
      <w:pStyle w:val="En-tte"/>
    </w:pPr>
    <w:fldSimple w:instr=" TITLE  \* MERGEFORMAT ">
      <w:r w:rsidR="00D05224">
        <w:t>ECE/MP.PRTR/2017/12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FB" w:rsidRPr="00C221FB" w:rsidRDefault="00C221FB" w:rsidP="00C221FB">
    <w:pPr>
      <w:pStyle w:val="En-tte"/>
      <w:jc w:val="right"/>
    </w:pPr>
    <w:fldSimple w:instr=" TITLE  \* MERGEFORMAT ">
      <w:r w:rsidR="00D05224">
        <w:t>ECE/MP.PRTR/2017/12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8F"/>
    <w:rsid w:val="00017F94"/>
    <w:rsid w:val="00023842"/>
    <w:rsid w:val="00031189"/>
    <w:rsid w:val="000334F9"/>
    <w:rsid w:val="0007796D"/>
    <w:rsid w:val="000B7790"/>
    <w:rsid w:val="00111F2F"/>
    <w:rsid w:val="0011418F"/>
    <w:rsid w:val="0014365E"/>
    <w:rsid w:val="00176178"/>
    <w:rsid w:val="001F525A"/>
    <w:rsid w:val="00223272"/>
    <w:rsid w:val="00233879"/>
    <w:rsid w:val="0024779E"/>
    <w:rsid w:val="002832AC"/>
    <w:rsid w:val="002B40F9"/>
    <w:rsid w:val="002D7C93"/>
    <w:rsid w:val="00347C38"/>
    <w:rsid w:val="00441C3B"/>
    <w:rsid w:val="00446FE5"/>
    <w:rsid w:val="00452396"/>
    <w:rsid w:val="004A14BF"/>
    <w:rsid w:val="004E468C"/>
    <w:rsid w:val="005505B7"/>
    <w:rsid w:val="00573BE5"/>
    <w:rsid w:val="00586ED3"/>
    <w:rsid w:val="00596AA9"/>
    <w:rsid w:val="00621799"/>
    <w:rsid w:val="00690950"/>
    <w:rsid w:val="006B1022"/>
    <w:rsid w:val="006C0E3B"/>
    <w:rsid w:val="006F49B2"/>
    <w:rsid w:val="0071601D"/>
    <w:rsid w:val="007A5FC4"/>
    <w:rsid w:val="007A62E6"/>
    <w:rsid w:val="0080684C"/>
    <w:rsid w:val="00831497"/>
    <w:rsid w:val="00871C75"/>
    <w:rsid w:val="00874B89"/>
    <w:rsid w:val="008776DC"/>
    <w:rsid w:val="008C2BC3"/>
    <w:rsid w:val="008D6B3F"/>
    <w:rsid w:val="00964083"/>
    <w:rsid w:val="009705C8"/>
    <w:rsid w:val="009C1CF4"/>
    <w:rsid w:val="00A14420"/>
    <w:rsid w:val="00A30353"/>
    <w:rsid w:val="00A45DAC"/>
    <w:rsid w:val="00A73127"/>
    <w:rsid w:val="00AA6E83"/>
    <w:rsid w:val="00AC3823"/>
    <w:rsid w:val="00AE323C"/>
    <w:rsid w:val="00B00181"/>
    <w:rsid w:val="00B00B0D"/>
    <w:rsid w:val="00B765F7"/>
    <w:rsid w:val="00BA0CA9"/>
    <w:rsid w:val="00C02897"/>
    <w:rsid w:val="00C221FB"/>
    <w:rsid w:val="00C554CE"/>
    <w:rsid w:val="00CE6ECC"/>
    <w:rsid w:val="00D05224"/>
    <w:rsid w:val="00D3439C"/>
    <w:rsid w:val="00D502AD"/>
    <w:rsid w:val="00D503D3"/>
    <w:rsid w:val="00DB1831"/>
    <w:rsid w:val="00DD3BFD"/>
    <w:rsid w:val="00DF5712"/>
    <w:rsid w:val="00DF6678"/>
    <w:rsid w:val="00E96BD6"/>
    <w:rsid w:val="00EB1193"/>
    <w:rsid w:val="00EF2E22"/>
    <w:rsid w:val="00F660DF"/>
    <w:rsid w:val="00F95C08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DB51C2"/>
  <w15:docId w15:val="{1ED0A939-E889-4D41-A3ED-C3860A8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8D6B3F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8D6B3F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64083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1</TotalTime>
  <Pages>4</Pages>
  <Words>1250</Words>
  <Characters>8627</Characters>
  <Application>Microsoft Office Word</Application>
  <DocSecurity>0</DocSecurity>
  <Lines>958</Lines>
  <Paragraphs>411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ECE/MP.PRTR/2017/12</vt:lpstr>
    </vt:vector>
  </TitlesOfParts>
  <Company>DCM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ECE/MP.PRTR/2017/12</dc:title>
  <dc:subject/>
  <dc:creator>Nicolas MORIN</dc:creator>
  <cp:keywords/>
  <cp:lastModifiedBy>Nicolas MORIN</cp:lastModifiedBy>
  <cp:revision>3</cp:revision>
  <cp:lastPrinted>2017-06-14T13:33:00Z</cp:lastPrinted>
  <dcterms:created xsi:type="dcterms:W3CDTF">2017-06-14T13:33:00Z</dcterms:created>
  <dcterms:modified xsi:type="dcterms:W3CDTF">2017-06-14T13:34:00Z</dcterms:modified>
</cp:coreProperties>
</file>