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574C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574C5" w:rsidP="00A574C5">
            <w:pPr>
              <w:jc w:val="right"/>
            </w:pPr>
            <w:proofErr w:type="spellStart"/>
            <w:r w:rsidRPr="00A574C5">
              <w:rPr>
                <w:sz w:val="40"/>
              </w:rPr>
              <w:t>ECE</w:t>
            </w:r>
            <w:proofErr w:type="spellEnd"/>
            <w:r>
              <w:t>/</w:t>
            </w:r>
            <w:proofErr w:type="spellStart"/>
            <w:r>
              <w:t>MP.PP</w:t>
            </w:r>
            <w:proofErr w:type="spellEnd"/>
            <w:r>
              <w:t>/2017/21</w:t>
            </w:r>
          </w:p>
        </w:tc>
      </w:tr>
      <w:tr w:rsidR="002D5AAC" w:rsidRPr="00A574C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574C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574C5" w:rsidRDefault="00A574C5" w:rsidP="00A574C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July 2017</w:t>
            </w:r>
          </w:p>
          <w:p w:rsidR="00A574C5" w:rsidRDefault="00A574C5" w:rsidP="00A574C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574C5" w:rsidRPr="008D53B6" w:rsidRDefault="00A574C5" w:rsidP="00A574C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B344E" w:rsidRPr="002B344E" w:rsidRDefault="002B344E" w:rsidP="002B344E">
      <w:pPr>
        <w:spacing w:before="120"/>
        <w:rPr>
          <w:sz w:val="28"/>
          <w:szCs w:val="28"/>
        </w:rPr>
      </w:pPr>
      <w:r w:rsidRPr="002B344E">
        <w:rPr>
          <w:sz w:val="28"/>
          <w:szCs w:val="28"/>
        </w:rPr>
        <w:t xml:space="preserve">Совещание Сторон Конвенции о доступе </w:t>
      </w:r>
      <w:r>
        <w:rPr>
          <w:sz w:val="28"/>
          <w:szCs w:val="28"/>
        </w:rPr>
        <w:br/>
      </w:r>
      <w:r w:rsidRPr="002B344E">
        <w:rPr>
          <w:sz w:val="28"/>
          <w:szCs w:val="28"/>
        </w:rPr>
        <w:t xml:space="preserve">к информации, участии общественности </w:t>
      </w:r>
      <w:r>
        <w:rPr>
          <w:sz w:val="28"/>
          <w:szCs w:val="28"/>
        </w:rPr>
        <w:br/>
      </w:r>
      <w:r w:rsidRPr="002B344E">
        <w:rPr>
          <w:sz w:val="28"/>
          <w:szCs w:val="28"/>
        </w:rPr>
        <w:t xml:space="preserve">в процессе принятия решений и доступе </w:t>
      </w:r>
      <w:r>
        <w:rPr>
          <w:sz w:val="28"/>
          <w:szCs w:val="28"/>
        </w:rPr>
        <w:br/>
      </w:r>
      <w:r w:rsidRPr="002B344E">
        <w:rPr>
          <w:sz w:val="28"/>
          <w:szCs w:val="28"/>
        </w:rPr>
        <w:t xml:space="preserve">к правосудию по вопросам, касающимся </w:t>
      </w:r>
      <w:r w:rsidR="006F1958">
        <w:rPr>
          <w:sz w:val="28"/>
          <w:szCs w:val="28"/>
        </w:rPr>
        <w:br/>
      </w:r>
      <w:r w:rsidRPr="002B344E">
        <w:rPr>
          <w:sz w:val="28"/>
          <w:szCs w:val="28"/>
        </w:rPr>
        <w:t>окружающей среды</w:t>
      </w:r>
    </w:p>
    <w:p w:rsidR="002B344E" w:rsidRPr="002B344E" w:rsidRDefault="002B344E" w:rsidP="002B344E">
      <w:pPr>
        <w:spacing w:before="120"/>
        <w:rPr>
          <w:b/>
        </w:rPr>
      </w:pPr>
      <w:r w:rsidRPr="002B344E">
        <w:rPr>
          <w:b/>
        </w:rPr>
        <w:t>Шестая сессия</w:t>
      </w:r>
    </w:p>
    <w:p w:rsidR="002B344E" w:rsidRPr="002B344E" w:rsidRDefault="002B344E" w:rsidP="002B344E">
      <w:proofErr w:type="spellStart"/>
      <w:r w:rsidRPr="002B344E">
        <w:t>Будва</w:t>
      </w:r>
      <w:proofErr w:type="spellEnd"/>
      <w:r w:rsidRPr="002B344E">
        <w:t>, Черногория, 11–13 сентября 2017 года</w:t>
      </w:r>
    </w:p>
    <w:p w:rsidR="002B344E" w:rsidRPr="002B344E" w:rsidRDefault="002B344E" w:rsidP="002B344E">
      <w:r w:rsidRPr="002B344E">
        <w:t xml:space="preserve">Пункт 7 </w:t>
      </w:r>
      <w:r w:rsidRPr="002B344E">
        <w:rPr>
          <w:lang w:val="en-US"/>
        </w:rPr>
        <w:t>b</w:t>
      </w:r>
      <w:r w:rsidRPr="002B344E">
        <w:t>) предварительной повестки дня</w:t>
      </w:r>
    </w:p>
    <w:p w:rsidR="002B344E" w:rsidRPr="002B344E" w:rsidRDefault="002B344E" w:rsidP="002B344E">
      <w:pPr>
        <w:rPr>
          <w:b/>
        </w:rPr>
      </w:pPr>
      <w:r w:rsidRPr="002B344E">
        <w:rPr>
          <w:b/>
        </w:rPr>
        <w:t xml:space="preserve">Процедуры и механизмы, способствующие </w:t>
      </w:r>
      <w:r w:rsidR="006F1958">
        <w:rPr>
          <w:b/>
        </w:rPr>
        <w:br/>
      </w:r>
      <w:r w:rsidRPr="002B344E">
        <w:rPr>
          <w:b/>
        </w:rPr>
        <w:t>осуществлению Конвенции: механизм соблюдения</w:t>
      </w:r>
    </w:p>
    <w:p w:rsidR="002B344E" w:rsidRPr="002B344E" w:rsidRDefault="006F1958" w:rsidP="006F1958">
      <w:pPr>
        <w:pStyle w:val="HChGR"/>
      </w:pPr>
      <w:r>
        <w:tab/>
      </w:r>
      <w:r>
        <w:tab/>
      </w:r>
      <w:r w:rsidR="002B344E" w:rsidRPr="002B344E">
        <w:t xml:space="preserve">Проект решения </w:t>
      </w:r>
      <w:r w:rsidR="002B344E" w:rsidRPr="002B344E">
        <w:rPr>
          <w:lang w:val="en-US"/>
        </w:rPr>
        <w:t>VI</w:t>
      </w:r>
      <w:r w:rsidR="002B344E" w:rsidRPr="002B344E">
        <w:t>/8</w:t>
      </w:r>
      <w:r w:rsidR="002B344E" w:rsidRPr="002B344E">
        <w:rPr>
          <w:lang w:val="en-US"/>
        </w:rPr>
        <w:t>b</w:t>
      </w:r>
      <w:r w:rsidR="002B344E" w:rsidRPr="002B344E">
        <w:t xml:space="preserve"> о соблюдении Австрией своих обязательств по Конвенции </w:t>
      </w:r>
    </w:p>
    <w:p w:rsidR="002B344E" w:rsidRPr="002B344E" w:rsidRDefault="006F1958" w:rsidP="006F1958">
      <w:pPr>
        <w:pStyle w:val="H1GR"/>
      </w:pPr>
      <w:r>
        <w:tab/>
      </w:r>
      <w:r>
        <w:tab/>
      </w:r>
      <w:r w:rsidR="002B344E" w:rsidRPr="002B344E">
        <w:t>Подготовлен Президиумом</w:t>
      </w:r>
    </w:p>
    <w:p w:rsidR="002B344E" w:rsidRPr="002B344E" w:rsidRDefault="002B344E" w:rsidP="002B344E">
      <w:pPr>
        <w:pStyle w:val="SingleTxtGR"/>
        <w:rPr>
          <w:i/>
        </w:rPr>
      </w:pPr>
      <w:r w:rsidRPr="002B344E">
        <w:rPr>
          <w:i/>
        </w:rPr>
        <w:tab/>
        <w:t>Совещание Сторон,</w:t>
      </w:r>
    </w:p>
    <w:p w:rsidR="002B344E" w:rsidRPr="002B344E" w:rsidRDefault="002B344E" w:rsidP="002B344E">
      <w:pPr>
        <w:pStyle w:val="SingleTxtGR"/>
      </w:pPr>
      <w:r w:rsidRPr="002B344E">
        <w:rPr>
          <w:i/>
        </w:rPr>
        <w:tab/>
        <w:t>действуя</w:t>
      </w:r>
      <w:r w:rsidR="006F1958">
        <w:rPr>
          <w:i/>
        </w:rPr>
        <w:t xml:space="preserve"> </w:t>
      </w:r>
      <w:r w:rsidRPr="002B344E">
        <w:t xml:space="preserve">в соответствии с пунктом 37 приложения к своему решению </w:t>
      </w:r>
      <w:r w:rsidRPr="002B344E">
        <w:rPr>
          <w:lang w:val="en-US"/>
        </w:rPr>
        <w:t>I</w:t>
      </w:r>
      <w:r w:rsidRPr="002B344E">
        <w:t>/7 о рассмотрении соблюдения (</w:t>
      </w:r>
      <w:proofErr w:type="spellStart"/>
      <w:r w:rsidRPr="002B344E">
        <w:rPr>
          <w:lang w:val="en-GB"/>
        </w:rPr>
        <w:t>ECE</w:t>
      </w:r>
      <w:proofErr w:type="spellEnd"/>
      <w:r w:rsidRPr="002B344E">
        <w:t>/</w:t>
      </w:r>
      <w:r w:rsidRPr="002B344E">
        <w:rPr>
          <w:lang w:val="en-GB"/>
        </w:rPr>
        <w:t>MP</w:t>
      </w:r>
      <w:r w:rsidRPr="002B344E">
        <w:t>.</w:t>
      </w:r>
      <w:r w:rsidRPr="002B344E">
        <w:rPr>
          <w:lang w:val="en-GB"/>
        </w:rPr>
        <w:t>PP</w:t>
      </w:r>
      <w:r w:rsidRPr="002B344E">
        <w:t>/2/</w:t>
      </w:r>
      <w:r w:rsidRPr="002B344E">
        <w:rPr>
          <w:lang w:val="en-GB"/>
        </w:rPr>
        <w:t>Add</w:t>
      </w:r>
      <w:r w:rsidRPr="002B344E">
        <w:t>.8),</w:t>
      </w:r>
    </w:p>
    <w:p w:rsidR="002B344E" w:rsidRPr="00537A67" w:rsidRDefault="002B344E" w:rsidP="00537A67">
      <w:pPr>
        <w:pStyle w:val="SingleTxtGR"/>
      </w:pPr>
      <w:r w:rsidRPr="00537A67">
        <w:tab/>
      </w:r>
      <w:r w:rsidRPr="00537A67">
        <w:rPr>
          <w:i/>
        </w:rPr>
        <w:t>учитывая</w:t>
      </w:r>
      <w:r w:rsidRPr="00537A67">
        <w:t xml:space="preserve"> выводы и рекомендации, сформулированные в </w:t>
      </w:r>
      <w:r w:rsidR="00C3302F" w:rsidRPr="00537A67">
        <w:t xml:space="preserve">его </w:t>
      </w:r>
      <w:r w:rsidRPr="00537A67">
        <w:t>решении</w:t>
      </w:r>
      <w:r w:rsidR="00C3302F" w:rsidRPr="00537A67">
        <w:t> </w:t>
      </w:r>
      <w:r w:rsidRPr="00537A67">
        <w:t xml:space="preserve">V/9b (см. </w:t>
      </w:r>
      <w:proofErr w:type="spellStart"/>
      <w:r w:rsidRPr="00537A67">
        <w:t>ECE</w:t>
      </w:r>
      <w:proofErr w:type="spellEnd"/>
      <w:r w:rsidRPr="00537A67">
        <w:t>/</w:t>
      </w:r>
      <w:proofErr w:type="spellStart"/>
      <w:r w:rsidRPr="00537A67">
        <w:t>MP.PP</w:t>
      </w:r>
      <w:proofErr w:type="spellEnd"/>
      <w:r w:rsidRPr="00537A67">
        <w:t xml:space="preserve">/2014/Add.1) в отношении соблюдения Австрией своих обязательств, </w:t>
      </w:r>
    </w:p>
    <w:p w:rsidR="002B344E" w:rsidRPr="002B344E" w:rsidRDefault="002B344E" w:rsidP="002B344E">
      <w:pPr>
        <w:pStyle w:val="SingleTxtGR"/>
      </w:pPr>
      <w:r w:rsidRPr="002B344E">
        <w:tab/>
      </w:r>
      <w:r w:rsidRPr="002B344E">
        <w:rPr>
          <w:i/>
        </w:rPr>
        <w:t xml:space="preserve">принимая к сведению </w:t>
      </w:r>
      <w:r w:rsidRPr="002B344E">
        <w:t>доклад Комитета по соблюдени</w:t>
      </w:r>
      <w:bookmarkStart w:id="0" w:name="_GoBack"/>
      <w:bookmarkEnd w:id="0"/>
      <w:r w:rsidRPr="002B344E">
        <w:t>ю, действующ</w:t>
      </w:r>
      <w:r w:rsidR="00C3302F">
        <w:t>его</w:t>
      </w:r>
      <w:r w:rsidRPr="002B344E">
        <w:t xml:space="preserve"> в рамках Конвенции о доступе к информации, участии общественности в процессе принятия решений и доступе к правосудию по вопросам, касающимся окружающей среды, о выполнении решения </w:t>
      </w:r>
      <w:r w:rsidRPr="002B344E">
        <w:rPr>
          <w:lang w:val="en-US"/>
        </w:rPr>
        <w:t>V</w:t>
      </w:r>
      <w:r w:rsidRPr="002B344E">
        <w:t>/9</w:t>
      </w:r>
      <w:r w:rsidRPr="002B344E">
        <w:rPr>
          <w:lang w:val="en-US"/>
        </w:rPr>
        <w:t>b</w:t>
      </w:r>
      <w:r w:rsidRPr="002B344E">
        <w:t xml:space="preserve"> относительно соблюдения Австрией своих обязательств по Конвенции (</w:t>
      </w:r>
      <w:proofErr w:type="spellStart"/>
      <w:r w:rsidRPr="002B344E">
        <w:rPr>
          <w:lang w:val="en-GB"/>
        </w:rPr>
        <w:t>ECE</w:t>
      </w:r>
      <w:proofErr w:type="spellEnd"/>
      <w:r w:rsidRPr="002B344E">
        <w:t>/</w:t>
      </w:r>
      <w:r w:rsidRPr="002B344E">
        <w:rPr>
          <w:lang w:val="en-GB"/>
        </w:rPr>
        <w:t>MP</w:t>
      </w:r>
      <w:r w:rsidRPr="002B344E">
        <w:t>.</w:t>
      </w:r>
      <w:r w:rsidRPr="002B344E">
        <w:rPr>
          <w:lang w:val="en-GB"/>
        </w:rPr>
        <w:t>PP</w:t>
      </w:r>
      <w:r w:rsidRPr="002B344E">
        <w:t>/2017/34),</w:t>
      </w:r>
    </w:p>
    <w:p w:rsidR="002B344E" w:rsidRPr="002B344E" w:rsidRDefault="002B344E" w:rsidP="002B344E">
      <w:pPr>
        <w:pStyle w:val="SingleTxtGR"/>
      </w:pPr>
      <w:r w:rsidRPr="002B344E">
        <w:tab/>
      </w:r>
      <w:r w:rsidRPr="002B344E">
        <w:rPr>
          <w:i/>
        </w:rPr>
        <w:t>будучи воодушевлено</w:t>
      </w:r>
      <w:r w:rsidRPr="002B344E">
        <w:t xml:space="preserve"> готовностью Австрии конструктивно обсуждать с Комитетом соответствующие вопросы соблюдения,</w:t>
      </w:r>
    </w:p>
    <w:p w:rsidR="002B344E" w:rsidRPr="002B344E" w:rsidRDefault="002B344E" w:rsidP="002B344E">
      <w:pPr>
        <w:pStyle w:val="SingleTxtGR"/>
      </w:pPr>
      <w:r w:rsidRPr="002B344E">
        <w:tab/>
        <w:t>1.</w:t>
      </w:r>
      <w:r w:rsidRPr="002B344E">
        <w:tab/>
      </w:r>
      <w:r w:rsidRPr="002B344E">
        <w:rPr>
          <w:i/>
        </w:rPr>
        <w:t xml:space="preserve">одобряет </w:t>
      </w:r>
      <w:r w:rsidRPr="002B344E">
        <w:t xml:space="preserve">вывод Комитета о том, что соответствующая Сторона еще не выполнила требований, содержащихся в решении </w:t>
      </w:r>
      <w:r w:rsidRPr="002B344E">
        <w:rPr>
          <w:lang w:val="en-US"/>
        </w:rPr>
        <w:t>V</w:t>
      </w:r>
      <w:r w:rsidRPr="002B344E">
        <w:t>/9</w:t>
      </w:r>
      <w:r w:rsidRPr="002B344E">
        <w:rPr>
          <w:lang w:val="en-US"/>
        </w:rPr>
        <w:t>b</w:t>
      </w:r>
      <w:r w:rsidRPr="002B344E">
        <w:t>;</w:t>
      </w:r>
    </w:p>
    <w:p w:rsidR="002B344E" w:rsidRPr="002B344E" w:rsidRDefault="002B344E" w:rsidP="002B344E">
      <w:pPr>
        <w:pStyle w:val="SingleTxtGR"/>
      </w:pPr>
      <w:r w:rsidRPr="002B344E">
        <w:tab/>
        <w:t>2.</w:t>
      </w:r>
      <w:r w:rsidRPr="002B344E">
        <w:tab/>
      </w:r>
      <w:r w:rsidRPr="002B344E">
        <w:rPr>
          <w:i/>
        </w:rPr>
        <w:t xml:space="preserve">приветствует </w:t>
      </w:r>
      <w:r w:rsidRPr="002B344E">
        <w:t xml:space="preserve">меры, принятые до настоящего времени соответствующей Стороной с целью выполнения рекомендаций, изложенных в </w:t>
      </w:r>
      <w:proofErr w:type="gramStart"/>
      <w:r w:rsidRPr="002B344E">
        <w:t>подпунктах</w:t>
      </w:r>
      <w:proofErr w:type="gramEnd"/>
      <w:r w:rsidRPr="002B344E">
        <w:t xml:space="preserve"> а) </w:t>
      </w:r>
      <w:proofErr w:type="spellStart"/>
      <w:r w:rsidRPr="002B344E">
        <w:rPr>
          <w:lang w:val="en-US"/>
        </w:rPr>
        <w:t>i</w:t>
      </w:r>
      <w:proofErr w:type="spellEnd"/>
      <w:r w:rsidRPr="002B344E">
        <w:t xml:space="preserve">) и </w:t>
      </w:r>
      <w:r w:rsidRPr="002B344E">
        <w:rPr>
          <w:lang w:val="en-US"/>
        </w:rPr>
        <w:t>ii</w:t>
      </w:r>
      <w:r w:rsidRPr="002B344E">
        <w:t xml:space="preserve">) пункта 3 решения </w:t>
      </w:r>
      <w:r w:rsidRPr="002B344E">
        <w:rPr>
          <w:lang w:val="en-US"/>
        </w:rPr>
        <w:t>V</w:t>
      </w:r>
      <w:r w:rsidRPr="002B344E">
        <w:t>/9</w:t>
      </w:r>
      <w:r w:rsidRPr="002B344E">
        <w:rPr>
          <w:lang w:val="en-US"/>
        </w:rPr>
        <w:t>b</w:t>
      </w:r>
      <w:r w:rsidRPr="002B344E">
        <w:t xml:space="preserve">, однако выражает свою обеспокоенность в связи с медленным выполнением соответствующей Стороной рекомендаций, изложенных в подпункте а) </w:t>
      </w:r>
      <w:r w:rsidRPr="002B344E">
        <w:rPr>
          <w:lang w:val="en-US"/>
        </w:rPr>
        <w:t>iii</w:t>
      </w:r>
      <w:r w:rsidRPr="002B344E">
        <w:t xml:space="preserve">) пункта 3 и пункте 6 решения </w:t>
      </w:r>
      <w:r w:rsidRPr="002B344E">
        <w:rPr>
          <w:lang w:val="en-US"/>
        </w:rPr>
        <w:t>V</w:t>
      </w:r>
      <w:r w:rsidRPr="002B344E">
        <w:t>/9</w:t>
      </w:r>
      <w:r w:rsidRPr="002B344E">
        <w:rPr>
          <w:lang w:val="en-US"/>
        </w:rPr>
        <w:t>b</w:t>
      </w:r>
      <w:r w:rsidRPr="002B344E">
        <w:t>, особенно с учетом времени, которое прошло с тех пор, как эти рекомендации были приняты Комитетом с согласия соответствующей Стороны;</w:t>
      </w:r>
    </w:p>
    <w:p w:rsidR="002B344E" w:rsidRPr="002B344E" w:rsidRDefault="002B344E" w:rsidP="002B344E">
      <w:pPr>
        <w:pStyle w:val="SingleTxtGR"/>
      </w:pPr>
      <w:r w:rsidRPr="002B344E">
        <w:lastRenderedPageBreak/>
        <w:tab/>
        <w:t>3.</w:t>
      </w:r>
      <w:r w:rsidRPr="002B344E">
        <w:tab/>
      </w:r>
      <w:r w:rsidRPr="002B344E">
        <w:rPr>
          <w:i/>
        </w:rPr>
        <w:t xml:space="preserve">подтверждает </w:t>
      </w:r>
      <w:r w:rsidRPr="002B344E">
        <w:t xml:space="preserve">свое решение </w:t>
      </w:r>
      <w:r w:rsidRPr="002B344E">
        <w:rPr>
          <w:lang w:val="en-US"/>
        </w:rPr>
        <w:t>V</w:t>
      </w:r>
      <w:r w:rsidRPr="002B344E">
        <w:t>/9</w:t>
      </w:r>
      <w:r w:rsidRPr="002B344E">
        <w:rPr>
          <w:lang w:val="en-US"/>
        </w:rPr>
        <w:t>b</w:t>
      </w:r>
      <w:r w:rsidRPr="002B344E">
        <w:t xml:space="preserve"> и просит соответствующую Сторону:</w:t>
      </w:r>
    </w:p>
    <w:p w:rsidR="002B344E" w:rsidRPr="002B344E" w:rsidRDefault="002B344E" w:rsidP="002B344E">
      <w:pPr>
        <w:pStyle w:val="SingleTxtGR"/>
      </w:pPr>
      <w:r w:rsidRPr="002B344E">
        <w:tab/>
        <w:t>а)</w:t>
      </w:r>
      <w:r w:rsidRPr="002B344E">
        <w:tab/>
        <w:t>в срочном порядке принять необходимые законодательные, нормативные и административные мера, а также меры практического характера для обеспечения того, чтобы критерии процессуальной правоспособности неправительственных организаций (НПО) оспаривать действия или бездействие частных лиц или государственных органов, которые нарушают положения национального законодательства, относящегося к окружающей среде</w:t>
      </w:r>
      <w:r w:rsidR="00C3302F">
        <w:t>,</w:t>
      </w:r>
      <w:r w:rsidRPr="002B344E">
        <w:t xml:space="preserve"> в соответствии с пунктом 3 статьи 9 Конвенции были пересмотрены и конкретно изложены в секторальных природоохранных законах в дополнение к любым другим существующим критериям предоставления процессуальной правоспособности НПО в отношении законов, касающихся оценки воздействия на окружающую среду, комплексного предотвращения и контроля загрязнения, управления отходами или экологической ответственности;</w:t>
      </w:r>
    </w:p>
    <w:p w:rsidR="002B344E" w:rsidRPr="002B344E" w:rsidRDefault="002B344E" w:rsidP="002B344E">
      <w:pPr>
        <w:pStyle w:val="SingleTxtGR"/>
      </w:pPr>
      <w:r w:rsidRPr="002B344E">
        <w:tab/>
      </w:r>
      <w:r w:rsidRPr="002B344E">
        <w:rPr>
          <w:lang w:val="en-US"/>
        </w:rPr>
        <w:t>b</w:t>
      </w:r>
      <w:r w:rsidRPr="002B344E">
        <w:t>)</w:t>
      </w:r>
      <w:r w:rsidRPr="002B344E">
        <w:tab/>
        <w:t xml:space="preserve">обеспечить также, чтобы при </w:t>
      </w:r>
      <w:r w:rsidR="00C3302F">
        <w:t>принятии мер по подпункту</w:t>
      </w:r>
      <w:r w:rsidRPr="002B344E">
        <w:t xml:space="preserve"> а) выше представители общественности, включая НПО, имели доступ к адекватным и эффективным административным или судебным процедурам и средствам правовой защиты в целях оспаривания действий или бездействия частных лиц и государственных органов, которые нарушают национальные законы, включая нормы административно-уголовного и уголовного права, касающиеся окружающей среды;</w:t>
      </w:r>
    </w:p>
    <w:p w:rsidR="002B344E" w:rsidRPr="002B344E" w:rsidRDefault="002B344E" w:rsidP="002B344E">
      <w:pPr>
        <w:pStyle w:val="SingleTxtGR"/>
      </w:pPr>
      <w:r w:rsidRPr="002B344E">
        <w:tab/>
        <w:t>с)</w:t>
      </w:r>
      <w:r w:rsidRPr="002B344E">
        <w:tab/>
        <w:t>как можно скорее, но не позднее 1 октября 2018 года представить Комитету подробный план действий по выполнению вышеуказанных рекомендаций;</w:t>
      </w:r>
    </w:p>
    <w:p w:rsidR="002B344E" w:rsidRPr="002B344E" w:rsidRDefault="002B344E" w:rsidP="002B344E">
      <w:pPr>
        <w:pStyle w:val="SingleTxtGR"/>
      </w:pPr>
      <w:r w:rsidRPr="002B344E">
        <w:tab/>
      </w:r>
      <w:r w:rsidRPr="002B344E">
        <w:rPr>
          <w:lang w:val="en-US"/>
        </w:rPr>
        <w:t>d</w:t>
      </w:r>
      <w:r w:rsidRPr="002B344E">
        <w:t>)</w:t>
      </w:r>
      <w:r w:rsidRPr="002B344E">
        <w:tab/>
        <w:t>разработать программу по укреплению потенциала и обеспечить профессиональную подготовку судей, прокуроров и адвокатов</w:t>
      </w:r>
      <w:r w:rsidR="00C3302F" w:rsidRPr="00C3302F">
        <w:t xml:space="preserve"> </w:t>
      </w:r>
      <w:r w:rsidR="00C3302F" w:rsidRPr="002B344E">
        <w:t>по вопросам осуществления Конвенции</w:t>
      </w:r>
      <w:r w:rsidRPr="002B344E">
        <w:t>;</w:t>
      </w:r>
    </w:p>
    <w:p w:rsidR="002B344E" w:rsidRPr="002B344E" w:rsidRDefault="002B344E" w:rsidP="002B344E">
      <w:pPr>
        <w:pStyle w:val="SingleTxtGR"/>
      </w:pPr>
      <w:r w:rsidRPr="002B344E">
        <w:tab/>
        <w:t>е)</w:t>
      </w:r>
      <w:r w:rsidRPr="002B344E">
        <w:tab/>
        <w:t xml:space="preserve">представить Комитету к 1 октября 2018 года, 1 октября 2019 </w:t>
      </w:r>
      <w:r w:rsidR="00C3302F">
        <w:t xml:space="preserve">года </w:t>
      </w:r>
      <w:r w:rsidRPr="002B344E">
        <w:t>и 1 октября 2020 года доклады о ходе работы, содержащие информацию о принятых мерах и результатах, достигнутых в деле выполнения вышеизложенных рекомендаций;</w:t>
      </w:r>
    </w:p>
    <w:p w:rsidR="002B344E" w:rsidRPr="002B344E" w:rsidRDefault="002B344E" w:rsidP="002B344E">
      <w:pPr>
        <w:pStyle w:val="SingleTxtGR"/>
      </w:pPr>
      <w:r w:rsidRPr="002B344E">
        <w:tab/>
      </w:r>
      <w:r w:rsidRPr="002B344E">
        <w:rPr>
          <w:lang w:val="en-US"/>
        </w:rPr>
        <w:t>f</w:t>
      </w:r>
      <w:r w:rsidRPr="002B344E">
        <w:t>)</w:t>
      </w:r>
      <w:r w:rsidRPr="002B344E">
        <w:tab/>
        <w:t>представить такую дополнительную информацию, которую Комитет может запросить в промежутке между упомянутыми выше датами представ</w:t>
      </w:r>
      <w:r w:rsidR="00C3302F">
        <w:t>ления</w:t>
      </w:r>
      <w:r w:rsidRPr="002B344E">
        <w:t xml:space="preserve"> докладов, с те</w:t>
      </w:r>
      <w:r w:rsidR="00C3302F">
        <w:t>м</w:t>
      </w:r>
      <w:r w:rsidRPr="002B344E">
        <w:t xml:space="preserve"> чтобы оказать Комитету содействие в рассмотрении прогресса, достигнутого Стороной в деле выполнения вышеизложенных рекомендаций;</w:t>
      </w:r>
    </w:p>
    <w:p w:rsidR="002B344E" w:rsidRPr="002B344E" w:rsidRDefault="002B344E" w:rsidP="002B344E">
      <w:pPr>
        <w:pStyle w:val="SingleTxtGR"/>
      </w:pPr>
      <w:r w:rsidRPr="002B344E">
        <w:tab/>
      </w:r>
      <w:r w:rsidRPr="002B344E">
        <w:rPr>
          <w:lang w:val="en-US"/>
        </w:rPr>
        <w:t>g</w:t>
      </w:r>
      <w:r w:rsidRPr="002B344E">
        <w:t>)</w:t>
      </w:r>
      <w:r w:rsidRPr="002B344E">
        <w:tab/>
        <w:t xml:space="preserve">участвовать (либо </w:t>
      </w:r>
      <w:r w:rsidR="00166BEA">
        <w:t>лично</w:t>
      </w:r>
      <w:r w:rsidRPr="002B344E">
        <w:t xml:space="preserve">, либо в </w:t>
      </w:r>
      <w:r w:rsidR="00166BEA">
        <w:t>режиме</w:t>
      </w:r>
      <w:r w:rsidRPr="002B344E">
        <w:t xml:space="preserve"> </w:t>
      </w:r>
      <w:proofErr w:type="spellStart"/>
      <w:r w:rsidRPr="002B344E">
        <w:t>аудиоконференции</w:t>
      </w:r>
      <w:proofErr w:type="spellEnd"/>
      <w:r w:rsidRPr="002B344E">
        <w:t>) в тех совещаниях Комитета, на которых будет рассматриваться прогресс, достигнутый соответствующей Стороной в деле выполнения вышеуказанных рекомендаций;</w:t>
      </w:r>
    </w:p>
    <w:p w:rsidR="002B344E" w:rsidRPr="002B344E" w:rsidRDefault="002B344E" w:rsidP="002B344E">
      <w:pPr>
        <w:pStyle w:val="SingleTxtGR"/>
      </w:pPr>
      <w:r w:rsidRPr="002B344E">
        <w:tab/>
        <w:t>4.</w:t>
      </w:r>
      <w:r w:rsidRPr="002B344E">
        <w:tab/>
      </w:r>
      <w:r w:rsidRPr="002B344E">
        <w:rPr>
          <w:i/>
        </w:rPr>
        <w:t xml:space="preserve">обязуется </w:t>
      </w:r>
      <w:r w:rsidRPr="002B344E">
        <w:t>рассмотреть сложившуюся ситуацию на своей седьмой сессии.</w:t>
      </w:r>
    </w:p>
    <w:p w:rsidR="00E12C5F" w:rsidRPr="002B344E" w:rsidRDefault="002B344E" w:rsidP="002B344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2B344E" w:rsidSect="00A574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5EE" w:rsidRPr="00A312BC" w:rsidRDefault="00B245EE" w:rsidP="00A312BC"/>
  </w:endnote>
  <w:endnote w:type="continuationSeparator" w:id="0">
    <w:p w:rsidR="00B245EE" w:rsidRPr="00A312BC" w:rsidRDefault="00B245E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4C5" w:rsidRPr="00A574C5" w:rsidRDefault="00A574C5">
    <w:pPr>
      <w:pStyle w:val="a8"/>
    </w:pPr>
    <w:r w:rsidRPr="00A574C5">
      <w:rPr>
        <w:b/>
        <w:sz w:val="18"/>
      </w:rPr>
      <w:fldChar w:fldCharType="begin"/>
    </w:r>
    <w:r w:rsidRPr="00A574C5">
      <w:rPr>
        <w:b/>
        <w:sz w:val="18"/>
      </w:rPr>
      <w:instrText xml:space="preserve"> PAGE  \* MERGEFORMAT </w:instrText>
    </w:r>
    <w:r w:rsidRPr="00A574C5">
      <w:rPr>
        <w:b/>
        <w:sz w:val="18"/>
      </w:rPr>
      <w:fldChar w:fldCharType="separate"/>
    </w:r>
    <w:r w:rsidR="005868DE">
      <w:rPr>
        <w:b/>
        <w:noProof/>
        <w:sz w:val="18"/>
      </w:rPr>
      <w:t>2</w:t>
    </w:r>
    <w:r w:rsidRPr="00A574C5">
      <w:rPr>
        <w:b/>
        <w:sz w:val="18"/>
      </w:rPr>
      <w:fldChar w:fldCharType="end"/>
    </w:r>
    <w:r>
      <w:rPr>
        <w:b/>
        <w:sz w:val="18"/>
      </w:rPr>
      <w:tab/>
    </w:r>
    <w:r>
      <w:t>GE.17-12110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4C5" w:rsidRPr="00A574C5" w:rsidRDefault="00A574C5" w:rsidP="00A574C5">
    <w:pPr>
      <w:pStyle w:val="a8"/>
      <w:tabs>
        <w:tab w:val="clear" w:pos="9639"/>
        <w:tab w:val="right" w:pos="9638"/>
      </w:tabs>
      <w:rPr>
        <w:b/>
        <w:sz w:val="18"/>
      </w:rPr>
    </w:pPr>
    <w:r>
      <w:t>GE.17-12110</w:t>
    </w:r>
    <w:r>
      <w:tab/>
    </w:r>
    <w:r w:rsidRPr="00A574C5">
      <w:rPr>
        <w:b/>
        <w:sz w:val="18"/>
      </w:rPr>
      <w:fldChar w:fldCharType="begin"/>
    </w:r>
    <w:r w:rsidRPr="00A574C5">
      <w:rPr>
        <w:b/>
        <w:sz w:val="18"/>
      </w:rPr>
      <w:instrText xml:space="preserve"> PAGE  \* MERGEFORMAT </w:instrText>
    </w:r>
    <w:r w:rsidRPr="00A574C5">
      <w:rPr>
        <w:b/>
        <w:sz w:val="18"/>
      </w:rPr>
      <w:fldChar w:fldCharType="separate"/>
    </w:r>
    <w:r w:rsidR="002B344E">
      <w:rPr>
        <w:b/>
        <w:noProof/>
        <w:sz w:val="18"/>
      </w:rPr>
      <w:t>3</w:t>
    </w:r>
    <w:r w:rsidRPr="00A574C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A574C5" w:rsidRDefault="00A574C5" w:rsidP="00A574C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60288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17-12110  (R)</w:t>
    </w:r>
    <w:r>
      <w:rPr>
        <w:lang w:val="en-US"/>
      </w:rPr>
      <w:t xml:space="preserve">  </w:t>
    </w:r>
    <w:r w:rsidR="002B344E">
      <w:rPr>
        <w:lang w:val="en-US"/>
      </w:rPr>
      <w:t>030817  080817</w:t>
    </w:r>
    <w:r>
      <w:br/>
    </w:r>
    <w:r w:rsidRPr="00A574C5">
      <w:rPr>
        <w:rFonts w:ascii="C39T30Lfz" w:hAnsi="C39T30Lfz"/>
        <w:spacing w:val="0"/>
        <w:w w:val="100"/>
        <w:sz w:val="56"/>
      </w:rPr>
      <w:t></w:t>
    </w:r>
    <w:r w:rsidRPr="00A574C5">
      <w:rPr>
        <w:rFonts w:ascii="C39T30Lfz" w:hAnsi="C39T30Lfz"/>
        <w:spacing w:val="0"/>
        <w:w w:val="100"/>
        <w:sz w:val="56"/>
      </w:rPr>
      <w:t></w:t>
    </w:r>
    <w:r w:rsidRPr="00A574C5">
      <w:rPr>
        <w:rFonts w:ascii="C39T30Lfz" w:hAnsi="C39T30Lfz"/>
        <w:spacing w:val="0"/>
        <w:w w:val="100"/>
        <w:sz w:val="56"/>
      </w:rPr>
      <w:t></w:t>
    </w:r>
    <w:r w:rsidRPr="00A574C5">
      <w:rPr>
        <w:rFonts w:ascii="C39T30Lfz" w:hAnsi="C39T30Lfz"/>
        <w:spacing w:val="0"/>
        <w:w w:val="100"/>
        <w:sz w:val="56"/>
      </w:rPr>
      <w:t></w:t>
    </w:r>
    <w:r w:rsidRPr="00A574C5">
      <w:rPr>
        <w:rFonts w:ascii="C39T30Lfz" w:hAnsi="C39T30Lfz"/>
        <w:spacing w:val="0"/>
        <w:w w:val="100"/>
        <w:sz w:val="56"/>
      </w:rPr>
      <w:t></w:t>
    </w:r>
    <w:r w:rsidRPr="00A574C5">
      <w:rPr>
        <w:rFonts w:ascii="C39T30Lfz" w:hAnsi="C39T30Lfz"/>
        <w:spacing w:val="0"/>
        <w:w w:val="100"/>
        <w:sz w:val="56"/>
      </w:rPr>
      <w:t></w:t>
    </w:r>
    <w:r w:rsidRPr="00A574C5">
      <w:rPr>
        <w:rFonts w:ascii="C39T30Lfz" w:hAnsi="C39T30Lfz"/>
        <w:spacing w:val="0"/>
        <w:w w:val="100"/>
        <w:sz w:val="56"/>
      </w:rPr>
      <w:t></w:t>
    </w:r>
    <w:r w:rsidRPr="00A574C5">
      <w:rPr>
        <w:rFonts w:ascii="C39T30Lfz" w:hAnsi="C39T30Lfz"/>
        <w:spacing w:val="0"/>
        <w:w w:val="100"/>
        <w:sz w:val="56"/>
      </w:rPr>
      <w:t></w:t>
    </w:r>
    <w:r w:rsidRPr="00A574C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MP.PP/2017/2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PP/2017/2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5EE" w:rsidRPr="001075E9" w:rsidRDefault="00B245E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245EE" w:rsidRDefault="00B245E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4C5" w:rsidRPr="00A574C5" w:rsidRDefault="00A574C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1F40DE">
      <w:t>ECE</w:t>
    </w:r>
    <w:proofErr w:type="spellEnd"/>
    <w:r w:rsidR="001F40DE">
      <w:t>/</w:t>
    </w:r>
    <w:proofErr w:type="spellStart"/>
    <w:r w:rsidR="001F40DE">
      <w:t>MP.PP</w:t>
    </w:r>
    <w:proofErr w:type="spellEnd"/>
    <w:r w:rsidR="001F40DE">
      <w:t>/2017/21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4C5" w:rsidRPr="00A574C5" w:rsidRDefault="00A574C5" w:rsidP="00A574C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1F40DE">
      <w:t>ECE</w:t>
    </w:r>
    <w:proofErr w:type="spellEnd"/>
    <w:r w:rsidR="001F40DE">
      <w:t>/</w:t>
    </w:r>
    <w:proofErr w:type="spellStart"/>
    <w:r w:rsidR="001F40DE">
      <w:t>MP.PP</w:t>
    </w:r>
    <w:proofErr w:type="spellEnd"/>
    <w:r w:rsidR="001F40DE">
      <w:t>/2017/21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4C5" w:rsidRDefault="00A574C5" w:rsidP="002B344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EE"/>
    <w:rsid w:val="00000FE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6BEA"/>
    <w:rsid w:val="00180183"/>
    <w:rsid w:val="0018024D"/>
    <w:rsid w:val="0018649F"/>
    <w:rsid w:val="00196389"/>
    <w:rsid w:val="001B3EF6"/>
    <w:rsid w:val="001C7A89"/>
    <w:rsid w:val="001F40DE"/>
    <w:rsid w:val="00255343"/>
    <w:rsid w:val="0027151D"/>
    <w:rsid w:val="002A2EFC"/>
    <w:rsid w:val="002B0106"/>
    <w:rsid w:val="002B344E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3A2B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37A67"/>
    <w:rsid w:val="005639C1"/>
    <w:rsid w:val="005709E0"/>
    <w:rsid w:val="00572E19"/>
    <w:rsid w:val="005868DE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1958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D78CC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574C5"/>
    <w:rsid w:val="00A84021"/>
    <w:rsid w:val="00A84D35"/>
    <w:rsid w:val="00A917B3"/>
    <w:rsid w:val="00AB4B51"/>
    <w:rsid w:val="00B10CC7"/>
    <w:rsid w:val="00B245EE"/>
    <w:rsid w:val="00B36DF7"/>
    <w:rsid w:val="00B539E7"/>
    <w:rsid w:val="00B62458"/>
    <w:rsid w:val="00BC18B2"/>
    <w:rsid w:val="00BD33EE"/>
    <w:rsid w:val="00BE1CC7"/>
    <w:rsid w:val="00C106D6"/>
    <w:rsid w:val="00C119AE"/>
    <w:rsid w:val="00C3302F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23BC6B"/>
  <w15:docId w15:val="{C667F7EA-AAC6-48BB-A0C8-5C88D097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544</Words>
  <Characters>3836</Characters>
  <Application>Microsoft Office Word</Application>
  <DocSecurity>0</DocSecurity>
  <Lines>91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ECE/MP.PP/2017/21</vt:lpstr>
      <vt:lpstr>A/</vt:lpstr>
    </vt:vector>
  </TitlesOfParts>
  <Company>DCM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ECE/MP.PP/2017/21</dc:title>
  <dc:subject/>
  <dc:creator>SHUVALOVA Natalia</dc:creator>
  <cp:keywords/>
  <cp:lastModifiedBy>SHUVALOVA Natalia</cp:lastModifiedBy>
  <cp:revision>4</cp:revision>
  <cp:lastPrinted>2017-08-08T09:33:00Z</cp:lastPrinted>
  <dcterms:created xsi:type="dcterms:W3CDTF">2017-08-08T09:33:00Z</dcterms:created>
  <dcterms:modified xsi:type="dcterms:W3CDTF">2017-08-08T09:35:00Z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