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E0E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E0E63" w:rsidP="00FE0E63">
            <w:pPr>
              <w:jc w:val="right"/>
            </w:pPr>
            <w:r w:rsidRPr="00FE0E63">
              <w:rPr>
                <w:sz w:val="40"/>
              </w:rPr>
              <w:t>ECE</w:t>
            </w:r>
            <w:r>
              <w:t>/MP.PP/2017/19</w:t>
            </w:r>
          </w:p>
        </w:tc>
      </w:tr>
      <w:tr w:rsidR="002D5AAC" w:rsidRPr="008045B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E0E6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E0E63" w:rsidRDefault="00FE0E63" w:rsidP="00FE0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July 2017</w:t>
            </w:r>
          </w:p>
          <w:p w:rsidR="00FE0E63" w:rsidRDefault="00FE0E63" w:rsidP="00FE0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E0E63" w:rsidRPr="008D53B6" w:rsidRDefault="00FE0E63" w:rsidP="00FE0E6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FE0E6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0E63" w:rsidRPr="00FE0E63" w:rsidRDefault="00FE0E63" w:rsidP="00FE0E6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E0E63">
        <w:rPr>
          <w:sz w:val="28"/>
          <w:szCs w:val="28"/>
        </w:rPr>
        <w:t xml:space="preserve">Совещание Сторон Конвенции о доступе </w:t>
      </w:r>
      <w:r w:rsidRPr="00FE0E63">
        <w:rPr>
          <w:sz w:val="28"/>
          <w:szCs w:val="28"/>
        </w:rPr>
        <w:br/>
        <w:t xml:space="preserve">к информации, участии общественности </w:t>
      </w:r>
      <w:r w:rsidRPr="00FE0E63">
        <w:rPr>
          <w:sz w:val="28"/>
          <w:szCs w:val="28"/>
        </w:rPr>
        <w:br/>
        <w:t xml:space="preserve">в процессе принятия решений и доступе </w:t>
      </w:r>
      <w:r w:rsidRPr="00FE0E63">
        <w:rPr>
          <w:sz w:val="28"/>
          <w:szCs w:val="28"/>
        </w:rPr>
        <w:br/>
        <w:t xml:space="preserve">к правосудию по вопросам, касающимся </w:t>
      </w:r>
      <w:r w:rsidRPr="00FE0E63">
        <w:rPr>
          <w:sz w:val="28"/>
          <w:szCs w:val="28"/>
        </w:rPr>
        <w:br/>
        <w:t>окружающей среды</w:t>
      </w:r>
    </w:p>
    <w:p w:rsidR="00FE0E63" w:rsidRPr="00FE0E63" w:rsidRDefault="00FE0E63" w:rsidP="00FE0E63">
      <w:pPr>
        <w:pStyle w:val="SingleTxtGR"/>
        <w:spacing w:after="0"/>
        <w:ind w:left="0"/>
        <w:jc w:val="left"/>
        <w:rPr>
          <w:b/>
          <w:bCs/>
        </w:rPr>
      </w:pPr>
      <w:r w:rsidRPr="00FE0E63">
        <w:rPr>
          <w:b/>
          <w:bCs/>
        </w:rPr>
        <w:t xml:space="preserve">Шестая сессия </w:t>
      </w:r>
    </w:p>
    <w:p w:rsidR="00FE0E63" w:rsidRPr="00FE0E63" w:rsidRDefault="00FE0E63" w:rsidP="00FE0E63">
      <w:pPr>
        <w:pStyle w:val="SingleTxtGR"/>
        <w:spacing w:after="0"/>
        <w:ind w:left="0"/>
        <w:jc w:val="left"/>
      </w:pPr>
      <w:r w:rsidRPr="00FE0E63">
        <w:t>Будва, Черногория, 11–13 сентября 2017</w:t>
      </w:r>
      <w:r w:rsidR="00C0766C">
        <w:t> год</w:t>
      </w:r>
      <w:r w:rsidRPr="00FE0E63">
        <w:t>а</w:t>
      </w:r>
    </w:p>
    <w:p w:rsidR="00FE0E63" w:rsidRPr="00FE0E63" w:rsidRDefault="00FE0E63" w:rsidP="00FE0E63">
      <w:pPr>
        <w:pStyle w:val="SingleTxtGR"/>
        <w:spacing w:after="0"/>
        <w:ind w:left="0"/>
        <w:jc w:val="left"/>
      </w:pPr>
      <w:r w:rsidRPr="00FE0E63">
        <w:t>Пункт 7 b) предварительной повестки дня</w:t>
      </w:r>
    </w:p>
    <w:p w:rsidR="00FE0E63" w:rsidRPr="00FE0E63" w:rsidRDefault="00FE0E63" w:rsidP="00FE0E63">
      <w:pPr>
        <w:pStyle w:val="SingleTxtGR"/>
        <w:spacing w:after="0"/>
        <w:ind w:left="0"/>
        <w:jc w:val="left"/>
        <w:rPr>
          <w:b/>
          <w:bCs/>
        </w:rPr>
      </w:pPr>
      <w:r w:rsidRPr="00FE0E63">
        <w:rPr>
          <w:b/>
          <w:bCs/>
        </w:rPr>
        <w:t xml:space="preserve">Процедуры и механизмы, способствующие </w:t>
      </w:r>
      <w:r w:rsidR="00B90752">
        <w:rPr>
          <w:b/>
          <w:bCs/>
        </w:rPr>
        <w:br/>
      </w:r>
      <w:r w:rsidRPr="00FE0E63">
        <w:rPr>
          <w:b/>
          <w:bCs/>
        </w:rPr>
        <w:t>осуществлению Конвенции: механизм соблюдения</w:t>
      </w:r>
    </w:p>
    <w:p w:rsidR="00FE0E63" w:rsidRPr="00FE0E63" w:rsidRDefault="00FE0E63" w:rsidP="00FE0E63">
      <w:pPr>
        <w:pStyle w:val="HChGR"/>
      </w:pPr>
      <w:r w:rsidRPr="00FE0E63">
        <w:tab/>
      </w:r>
      <w:r w:rsidRPr="00FE0E63">
        <w:tab/>
        <w:t>Проект решения VI/8 об общих вопросах соблюдения</w:t>
      </w:r>
    </w:p>
    <w:p w:rsidR="00FE0E63" w:rsidRPr="00FE0E63" w:rsidRDefault="00FE0E63" w:rsidP="00FE0E63">
      <w:pPr>
        <w:pStyle w:val="H1GR"/>
      </w:pPr>
      <w:r w:rsidRPr="00FE0E63">
        <w:tab/>
      </w:r>
      <w:r w:rsidRPr="00FE0E63">
        <w:tab/>
        <w:t>Подготовлен Президиумом</w:t>
      </w:r>
    </w:p>
    <w:p w:rsidR="00FE0E63" w:rsidRPr="00FE0E63" w:rsidRDefault="00055297" w:rsidP="00FE0E63">
      <w:pPr>
        <w:pStyle w:val="SingleTxtGR"/>
        <w:rPr>
          <w:i/>
          <w:iCs/>
        </w:rPr>
      </w:pPr>
      <w:r>
        <w:rPr>
          <w:i/>
          <w:iCs/>
        </w:rPr>
        <w:tab/>
      </w:r>
      <w:r w:rsidR="00FE0E63" w:rsidRPr="00FE0E63">
        <w:rPr>
          <w:i/>
          <w:iCs/>
        </w:rPr>
        <w:t>Совещание Сторон,</w:t>
      </w:r>
    </w:p>
    <w:p w:rsidR="00FE0E63" w:rsidRPr="00FE0E63" w:rsidRDefault="00FE0E63" w:rsidP="00FE0E63">
      <w:pPr>
        <w:pStyle w:val="SingleTxtGR"/>
      </w:pPr>
      <w:r w:rsidRPr="00B90752">
        <w:rPr>
          <w:i/>
          <w:iCs/>
        </w:rPr>
        <w:tab/>
      </w:r>
      <w:r w:rsidRPr="00FE0E63">
        <w:rPr>
          <w:i/>
          <w:iCs/>
        </w:rPr>
        <w:t>учитывая</w:t>
      </w:r>
      <w:r w:rsidRPr="00FE0E63">
        <w:t xml:space="preserve"> свое решение I/7 о рассмотрении соблюдения</w:t>
      </w:r>
      <w:r w:rsidR="00405850">
        <w:t>,</w:t>
      </w:r>
      <w:r w:rsidRPr="00FE0E63">
        <w:t xml:space="preserve"> и в частности пункт 37 приложения к нему, </w:t>
      </w:r>
    </w:p>
    <w:p w:rsidR="00FE0E63" w:rsidRPr="00FE0E63" w:rsidRDefault="00FE0E63" w:rsidP="00FE0E63">
      <w:pPr>
        <w:pStyle w:val="SingleTxtGR"/>
      </w:pPr>
      <w:r w:rsidRPr="00405850">
        <w:rPr>
          <w:i/>
          <w:iCs/>
        </w:rPr>
        <w:tab/>
      </w:r>
      <w:proofErr w:type="gramStart"/>
      <w:r w:rsidRPr="00FE0E63">
        <w:rPr>
          <w:i/>
          <w:iCs/>
        </w:rPr>
        <w:t>учитывая также</w:t>
      </w:r>
      <w:r w:rsidRPr="00FE0E63">
        <w:t xml:space="preserve"> решение V/9 по общим вопросам соблюдения и реш</w:t>
      </w:r>
      <w:r w:rsidRPr="00FE0E63">
        <w:t>е</w:t>
      </w:r>
      <w:r w:rsidRPr="00FE0E63">
        <w:t>ния V/9а, V/9b, V/9c, V/9d, V/9e, V/9f, V/9g, V/9h, V/9i, V/9j, V/9k, V/9l, V/9m и V/9n в отношении соблюдения отдельными Сторонами своих обязательств в с</w:t>
      </w:r>
      <w:r w:rsidRPr="00FE0E63">
        <w:t>о</w:t>
      </w:r>
      <w:r w:rsidRPr="00FE0E63">
        <w:t>ответствии с Конвенцией о доступе к информации, участии общественности в процессе принятия</w:t>
      </w:r>
      <w:proofErr w:type="gramEnd"/>
      <w:r w:rsidRPr="00FE0E63">
        <w:t xml:space="preserve"> решений и </w:t>
      </w:r>
      <w:proofErr w:type="gramStart"/>
      <w:r w:rsidRPr="00FE0E63">
        <w:t>доступе</w:t>
      </w:r>
      <w:proofErr w:type="gramEnd"/>
      <w:r w:rsidRPr="00FE0E63">
        <w:t xml:space="preserve"> к правосудию по вопросам, касающимся окружающей среды (Орхусская конвенция), </w:t>
      </w:r>
    </w:p>
    <w:p w:rsidR="00FE0E63" w:rsidRPr="00FE0E63" w:rsidRDefault="00FE0E63" w:rsidP="00FE0E63">
      <w:pPr>
        <w:pStyle w:val="SingleTxtGR"/>
      </w:pPr>
      <w:r w:rsidRPr="00405850">
        <w:rPr>
          <w:i/>
          <w:iCs/>
        </w:rPr>
        <w:tab/>
      </w:r>
      <w:r w:rsidRPr="00FE0E63">
        <w:rPr>
          <w:i/>
          <w:iCs/>
        </w:rPr>
        <w:t>с удовлетворением отмечая</w:t>
      </w:r>
      <w:r w:rsidRPr="00FE0E63">
        <w:t xml:space="preserve"> </w:t>
      </w:r>
      <w:proofErr w:type="gramStart"/>
      <w:r w:rsidRPr="00FE0E63">
        <w:t>доклады Комитета шестой сессии Совещ</w:t>
      </w:r>
      <w:r w:rsidRPr="00FE0E63">
        <w:t>а</w:t>
      </w:r>
      <w:r w:rsidRPr="00FE0E63">
        <w:t>ния Сторон и принимая</w:t>
      </w:r>
      <w:proofErr w:type="gramEnd"/>
      <w:r w:rsidRPr="00FE0E63">
        <w:t xml:space="preserve"> к сведению доклады Комитета о работе его совещаний в межсессионный период,</w:t>
      </w:r>
    </w:p>
    <w:p w:rsidR="00FE0E63" w:rsidRPr="00FE0E63" w:rsidRDefault="00FE0E63" w:rsidP="00FE0E63">
      <w:pPr>
        <w:pStyle w:val="SingleTxtGR"/>
      </w:pPr>
      <w:r w:rsidRPr="00901FDD">
        <w:rPr>
          <w:i/>
          <w:iCs/>
        </w:rPr>
        <w:tab/>
      </w:r>
      <w:r w:rsidRPr="00FE0E63">
        <w:rPr>
          <w:i/>
          <w:iCs/>
        </w:rPr>
        <w:t>с удовлетворением отмечая также</w:t>
      </w:r>
      <w:r w:rsidRPr="00FE0E63">
        <w:t xml:space="preserve"> выводы и рекомендации, принятые Комитетом в межсессионный период</w:t>
      </w:r>
      <w:r w:rsidR="00C62242">
        <w:t>,</w:t>
      </w:r>
    </w:p>
    <w:p w:rsidR="00FE0E63" w:rsidRPr="00FE0E63" w:rsidRDefault="00FE0E63" w:rsidP="00FE0E63">
      <w:pPr>
        <w:pStyle w:val="SingleTxtGR"/>
      </w:pPr>
      <w:r w:rsidRPr="00C62242">
        <w:rPr>
          <w:i/>
          <w:iCs/>
        </w:rPr>
        <w:tab/>
      </w:r>
      <w:r w:rsidRPr="00FE0E63">
        <w:rPr>
          <w:i/>
          <w:iCs/>
        </w:rPr>
        <w:t>ссылаясь на</w:t>
      </w:r>
      <w:r w:rsidRPr="00FE0E63">
        <w:t xml:space="preserve"> решения VI/8a, VI/8b, VI/8c, VI/8d, VI/8e, VI/8f, VI/8g, VI/8h, VI/8i, VI/8j и VI/8k о соблюдении Арменией, Австрией, Беларусью, Болгарией, Чехией, Европейским союзом, </w:t>
      </w:r>
      <w:r w:rsidR="00BF7E43" w:rsidRPr="00FE0E63">
        <w:t>Казахстаном,</w:t>
      </w:r>
      <w:r w:rsidR="00BF7E43">
        <w:t xml:space="preserve"> </w:t>
      </w:r>
      <w:r w:rsidRPr="00FE0E63">
        <w:t xml:space="preserve">Румынией, Словакией, Испанией и Соединенным Королевством Великобритании и Северной Ирландии, принятые одновременно с настоящим решением, </w:t>
      </w:r>
    </w:p>
    <w:p w:rsidR="00FE0E63" w:rsidRPr="00FE0E63" w:rsidRDefault="00FE0E63" w:rsidP="00FE0E63">
      <w:pPr>
        <w:pStyle w:val="SingleTxtGR"/>
      </w:pPr>
      <w:r w:rsidRPr="00BF7E43">
        <w:lastRenderedPageBreak/>
        <w:tab/>
      </w:r>
      <w:r w:rsidRPr="00FE0E63">
        <w:t>1.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доклады Комитета по вопросам соблюдения Орху</w:t>
      </w:r>
      <w:r w:rsidRPr="00FE0E63">
        <w:t>с</w:t>
      </w:r>
      <w:r w:rsidRPr="00FE0E63">
        <w:t>ской конвенции Совещанию Сторон на его шестой сессии по процедурным в</w:t>
      </w:r>
      <w:r w:rsidRPr="00FE0E63">
        <w:t>о</w:t>
      </w:r>
      <w:r w:rsidRPr="00FE0E63">
        <w:t>просам и общим вопросам соблюдения</w:t>
      </w:r>
      <w:r w:rsidRPr="00C0766C">
        <w:rPr>
          <w:sz w:val="18"/>
          <w:vertAlign w:val="superscript"/>
        </w:rPr>
        <w:footnoteReference w:id="1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2.</w:t>
      </w:r>
      <w:r w:rsidRPr="00FE0E63">
        <w:tab/>
      </w:r>
      <w:r w:rsidRPr="00477724">
        <w:rPr>
          <w:i/>
        </w:rPr>
        <w:t>также приветствует</w:t>
      </w:r>
      <w:r w:rsidRPr="00FE0E63">
        <w:t xml:space="preserve"> методы работы Комитета и дальнейшее уточнение его процедур, разработанных в период 2014−2017</w:t>
      </w:r>
      <w:r w:rsidR="00C0766C">
        <w:t> год</w:t>
      </w:r>
      <w:r w:rsidRPr="00FE0E63">
        <w:t xml:space="preserve">ов на основе решения I/7, что отражено в докладах о работе его совещаний; 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3.</w:t>
      </w:r>
      <w:r w:rsidRPr="00FE0E63">
        <w:tab/>
      </w:r>
      <w:r w:rsidRPr="00FE0E63">
        <w:rPr>
          <w:i/>
          <w:iCs/>
        </w:rPr>
        <w:t>призывает</w:t>
      </w:r>
      <w:r w:rsidRPr="00FE0E63">
        <w:t xml:space="preserve"> Стороны, признанные не соблюдающими Конвенцию, принять меры по приведению законодательства или практики в соответствие с положениями Конвенции, по возможности, в кратчайшие сроки после выявл</w:t>
      </w:r>
      <w:r w:rsidRPr="00FE0E63">
        <w:t>е</w:t>
      </w:r>
      <w:r w:rsidRPr="00FE0E63">
        <w:t>ния конкретных проблем с соблюдением в целях обеспечения там, где это во</w:t>
      </w:r>
      <w:r w:rsidRPr="00FE0E63">
        <w:t>з</w:t>
      </w:r>
      <w:r w:rsidRPr="00FE0E63">
        <w:t>можно, полного соблюдения соответствующих положений уже в межсессио</w:t>
      </w:r>
      <w:r w:rsidRPr="00FE0E63">
        <w:t>н</w:t>
      </w:r>
      <w:r w:rsidRPr="00FE0E63">
        <w:t>ный период;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4.</w:t>
      </w:r>
      <w:r w:rsidRPr="00FE0E63">
        <w:tab/>
      </w:r>
      <w:r w:rsidRPr="00FE0E63">
        <w:rPr>
          <w:i/>
          <w:iCs/>
        </w:rPr>
        <w:t>с удовлетворением отмечает</w:t>
      </w:r>
      <w:r w:rsidRPr="00FE0E63">
        <w:t>, что рекомендации, консультацио</w:t>
      </w:r>
      <w:r w:rsidRPr="00FE0E63">
        <w:t>н</w:t>
      </w:r>
      <w:r w:rsidRPr="00FE0E63">
        <w:t>ная и экспертная помощь, предоставляемые Комитетом соответствующим Ст</w:t>
      </w:r>
      <w:r w:rsidRPr="00FE0E63">
        <w:t>о</w:t>
      </w:r>
      <w:r w:rsidRPr="00FE0E63">
        <w:t xml:space="preserve">ронам в межсессионный период, являются эффективным средством содействия соблюдению Сторонами положений Конвенции;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5.</w:t>
      </w:r>
      <w:r w:rsidRPr="00FE0E63">
        <w:tab/>
      </w:r>
      <w:r w:rsidRPr="00FE0E63">
        <w:rPr>
          <w:i/>
          <w:iCs/>
        </w:rPr>
        <w:t xml:space="preserve">настоятельно призывает </w:t>
      </w:r>
      <w:r w:rsidRPr="00FE0E63">
        <w:t>каждую Сторону к конструктивному с</w:t>
      </w:r>
      <w:r w:rsidRPr="00FE0E63">
        <w:t>о</w:t>
      </w:r>
      <w:r w:rsidRPr="00FE0E63">
        <w:t>трудничеству с Комитетом в связи с любым будущим рассмотрением соблюд</w:t>
      </w:r>
      <w:r w:rsidRPr="00FE0E63">
        <w:t>е</w:t>
      </w:r>
      <w:r w:rsidRPr="00FE0E63">
        <w:t xml:space="preserve">ния ею Конвенции;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>Выводы и рекомендации, сформулированные в 2014−2017</w:t>
      </w:r>
      <w:r w:rsidR="00C0766C">
        <w:t> год</w:t>
      </w:r>
      <w:r w:rsidRPr="00FE0E63">
        <w:t>ах, и</w:t>
      </w:r>
      <w:r>
        <w:rPr>
          <w:lang w:val="en-US"/>
        </w:rPr>
        <w:t> </w:t>
      </w:r>
      <w:r w:rsidRPr="00FE0E63">
        <w:t xml:space="preserve">сотрудничество Сторон 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6.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конструктивный подход и сотрудничество, прод</w:t>
      </w:r>
      <w:r w:rsidRPr="00FE0E63">
        <w:t>е</w:t>
      </w:r>
      <w:r w:rsidRPr="00FE0E63">
        <w:t>монстрированные Беларусью, Бельгией, Болгарией, Чехией, Европейским со</w:t>
      </w:r>
      <w:r w:rsidRPr="00FE0E63">
        <w:t>ю</w:t>
      </w:r>
      <w:r w:rsidRPr="00FE0E63">
        <w:t>зом, Германией, Казахстаном, Норвегией, Румынией, Испанией, Словакией, Швецией, бывшей югославской Республикой Македони</w:t>
      </w:r>
      <w:r w:rsidR="004C59BE">
        <w:t>я</w:t>
      </w:r>
      <w:r w:rsidRPr="00FE0E63">
        <w:t xml:space="preserve"> и Соединенным Кор</w:t>
      </w:r>
      <w:r w:rsidRPr="00FE0E63">
        <w:t>о</w:t>
      </w:r>
      <w:r w:rsidRPr="00FE0E63">
        <w:t>левством, соблюдение которыми Конвенции было предметом рассмотрения в межсессионный период 2014–2017</w:t>
      </w:r>
      <w:r w:rsidR="00C0766C">
        <w:t> год</w:t>
      </w:r>
      <w:r w:rsidRPr="00FE0E63">
        <w:t>ов;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7.</w:t>
      </w:r>
      <w:r w:rsidRPr="00FE0E63">
        <w:tab/>
      </w:r>
      <w:r w:rsidRPr="00FE0E63">
        <w:rPr>
          <w:i/>
          <w:iCs/>
        </w:rPr>
        <w:t>также приветствует</w:t>
      </w:r>
      <w:r w:rsidRPr="00FE0E63">
        <w:t xml:space="preserve"> рассмотрение и оценку Комитетом конкре</w:t>
      </w:r>
      <w:r w:rsidRPr="00FE0E63">
        <w:t>т</w:t>
      </w:r>
      <w:r w:rsidRPr="00FE0E63">
        <w:t>ных случаев предполагаемого несоблюдения, указанных в выводах и рекоме</w:t>
      </w:r>
      <w:r w:rsidRPr="00FE0E63">
        <w:t>н</w:t>
      </w:r>
      <w:r w:rsidRPr="00FE0E63">
        <w:t>дациях, принятых Комитетом в межсессионный период</w:t>
      </w:r>
      <w:r w:rsidRPr="00C0766C">
        <w:rPr>
          <w:sz w:val="18"/>
          <w:vertAlign w:val="superscript"/>
        </w:rPr>
        <w:footnoteReference w:id="2"/>
      </w:r>
      <w:r w:rsidRPr="00FE0E63">
        <w:t>;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8.</w:t>
      </w:r>
      <w:r w:rsidRPr="00FE0E63">
        <w:tab/>
      </w:r>
      <w:r w:rsidRPr="00FE0E63">
        <w:rPr>
          <w:i/>
          <w:iCs/>
        </w:rPr>
        <w:t>одобряет</w:t>
      </w:r>
      <w:r w:rsidRPr="00FE0E63">
        <w:t xml:space="preserve"> основные выводы в отношении соблюдения, содержащ</w:t>
      </w:r>
      <w:r w:rsidRPr="00FE0E63">
        <w:t>и</w:t>
      </w:r>
      <w:r w:rsidRPr="00FE0E63">
        <w:t>еся в выводах и рекомендациях, принятых Комитетом в межсессионный пер</w:t>
      </w:r>
      <w:r w:rsidRPr="00FE0E63">
        <w:t>и</w:t>
      </w:r>
      <w:r w:rsidRPr="00FE0E63">
        <w:t>од</w:t>
      </w:r>
      <w:r w:rsidRPr="00C0766C">
        <w:rPr>
          <w:sz w:val="18"/>
          <w:vertAlign w:val="superscript"/>
        </w:rPr>
        <w:footnoteReference w:id="3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9.</w:t>
      </w:r>
      <w:r w:rsidRPr="00FE0E63">
        <w:tab/>
      </w:r>
      <w:r w:rsidRPr="00FE0E63">
        <w:rPr>
          <w:i/>
          <w:iCs/>
        </w:rPr>
        <w:t>отмечает</w:t>
      </w:r>
      <w:r w:rsidRPr="00FE0E63">
        <w:t xml:space="preserve"> заключительные замечания Комитета в его выводах по сообщению ACCC/C/2014/111</w:t>
      </w:r>
      <w:r w:rsidRPr="00C0766C">
        <w:rPr>
          <w:sz w:val="18"/>
          <w:vertAlign w:val="superscript"/>
        </w:rPr>
        <w:footnoteReference w:id="4"/>
      </w:r>
      <w:r w:rsidRPr="00FE0E63">
        <w:t xml:space="preserve"> о том, что Бельгия обеспечила соблюдение п</w:t>
      </w:r>
      <w:r w:rsidRPr="00FE0E63">
        <w:t>о</w:t>
      </w:r>
      <w:r w:rsidRPr="00FE0E63">
        <w:t>ложений Конвенции в этом случае; его выводы по сообщениям</w:t>
      </w:r>
      <w:r w:rsidR="00080EF1">
        <w:t> </w:t>
      </w:r>
      <w:r w:rsidRPr="00FE0E63">
        <w:t>ACCC/</w:t>
      </w:r>
      <w:r w:rsidR="00080EF1">
        <w:t xml:space="preserve"> </w:t>
      </w:r>
      <w:r w:rsidRPr="00FE0E63">
        <w:t>C/2014/101</w:t>
      </w:r>
      <w:r w:rsidRPr="00C0766C">
        <w:rPr>
          <w:sz w:val="18"/>
          <w:vertAlign w:val="superscript"/>
        </w:rPr>
        <w:footnoteReference w:id="5"/>
      </w:r>
      <w:r w:rsidRPr="00FE0E63">
        <w:t xml:space="preserve"> и ACCC/C/2014/123</w:t>
      </w:r>
      <w:r w:rsidRPr="00C0766C">
        <w:rPr>
          <w:sz w:val="18"/>
          <w:vertAlign w:val="superscript"/>
        </w:rPr>
        <w:footnoteReference w:id="6"/>
      </w:r>
      <w:r w:rsidRPr="00FE0E63">
        <w:t xml:space="preserve"> о том, что Европейский союз обеспечил с</w:t>
      </w:r>
      <w:r w:rsidRPr="00FE0E63">
        <w:t>о</w:t>
      </w:r>
      <w:r w:rsidRPr="00FE0E63">
        <w:t>блюдение положений Конвенции в этих случаях; выводы по сообщению</w:t>
      </w:r>
      <w:r w:rsidR="00DF7232">
        <w:t> </w:t>
      </w:r>
      <w:r w:rsidRPr="00FE0E63">
        <w:t>ACCC/</w:t>
      </w:r>
      <w:r w:rsidR="00DF7232">
        <w:t xml:space="preserve"> </w:t>
      </w:r>
      <w:r w:rsidRPr="00FE0E63">
        <w:lastRenderedPageBreak/>
        <w:t>C/2013/92</w:t>
      </w:r>
      <w:r w:rsidRPr="00C0766C">
        <w:rPr>
          <w:sz w:val="18"/>
          <w:vertAlign w:val="superscript"/>
        </w:rPr>
        <w:footnoteReference w:id="7"/>
      </w:r>
      <w:r w:rsidRPr="00FE0E63">
        <w:t xml:space="preserve"> о том, что Германия обеспечила соблюдение положений Конвенции в этом случае; и его выводы по сообщению ACCC/C/2013/81</w:t>
      </w:r>
      <w:r w:rsidRPr="00C0766C">
        <w:rPr>
          <w:sz w:val="18"/>
          <w:vertAlign w:val="superscript"/>
        </w:rPr>
        <w:footnoteReference w:id="8"/>
      </w:r>
      <w:r w:rsidRPr="00FE0E63">
        <w:t xml:space="preserve"> о том, что Швеция обеспечила соблюдение положений Конвенции в этом случае; </w:t>
      </w:r>
    </w:p>
    <w:p w:rsidR="00FE0E63" w:rsidRPr="00FE0E63" w:rsidRDefault="00FE0E63" w:rsidP="00FE0E63">
      <w:pPr>
        <w:pStyle w:val="SingleTxtGR"/>
      </w:pPr>
      <w:r w:rsidRPr="00080EF1">
        <w:tab/>
      </w:r>
      <w:proofErr w:type="gramStart"/>
      <w:r w:rsidRPr="00FE0E63">
        <w:t>10.</w:t>
      </w:r>
      <w:r w:rsidRPr="00FE0E63">
        <w:tab/>
      </w:r>
      <w:r w:rsidRPr="00FE0E63">
        <w:rPr>
          <w:i/>
          <w:iCs/>
        </w:rPr>
        <w:t>принимает к сведению также</w:t>
      </w:r>
      <w:r w:rsidRPr="00FE0E63">
        <w:t xml:space="preserve"> выводы Комитета в его решении по просьбе Совещания Сторон ACCC/M/2014/1</w:t>
      </w:r>
      <w:r w:rsidRPr="00C0766C">
        <w:rPr>
          <w:sz w:val="18"/>
          <w:vertAlign w:val="superscript"/>
        </w:rPr>
        <w:footnoteReference w:id="9"/>
      </w:r>
      <w:r w:rsidRPr="00FE0E63">
        <w:t xml:space="preserve"> о том, что бывшая югославская Республика Македония не обеспечила соблюдения пункта 2 статьи 10 Конве</w:t>
      </w:r>
      <w:r w:rsidRPr="00FE0E63">
        <w:t>н</w:t>
      </w:r>
      <w:r w:rsidRPr="00FE0E63">
        <w:t>ции, однако, поскольку соответствующая Сторона впоследствии представила свои национальные доклады об осуществлении в рамках третьего и четвертого цикла, она более не находится в состоянии несоблюдения</w:t>
      </w:r>
      <w:r w:rsidR="00DF7232">
        <w:t>,</w:t>
      </w:r>
      <w:r w:rsidRPr="00FE0E63">
        <w:t xml:space="preserve"> и что Комитет</w:t>
      </w:r>
      <w:proofErr w:type="gramEnd"/>
      <w:r w:rsidRPr="00FE0E63">
        <w:t xml:space="preserve"> во</w:t>
      </w:r>
      <w:r w:rsidRPr="00FE0E63">
        <w:t>з</w:t>
      </w:r>
      <w:r w:rsidRPr="00FE0E63">
        <w:t xml:space="preserve">держался от вынесения рекомендаций по этому делу; </w:t>
      </w:r>
    </w:p>
    <w:p w:rsidR="00FE0E63" w:rsidRPr="00FE0E63" w:rsidRDefault="00FE0E63" w:rsidP="00FE0E63">
      <w:pPr>
        <w:pStyle w:val="SingleTxtGR"/>
      </w:pPr>
      <w:r w:rsidRPr="00DF7232">
        <w:tab/>
      </w:r>
      <w:proofErr w:type="gramStart"/>
      <w:r w:rsidRPr="00FE0E63">
        <w:t>11.</w:t>
      </w:r>
      <w:r w:rsidRPr="00FE0E63">
        <w:tab/>
      </w:r>
      <w:r w:rsidRPr="00FE0E63">
        <w:rPr>
          <w:i/>
          <w:iCs/>
        </w:rPr>
        <w:t>также принимает к сведению</w:t>
      </w:r>
      <w:r w:rsidRPr="00FE0E63">
        <w:t xml:space="preserve"> замечания Комитета в его выводах по сообщению ACCC/C/2013/93</w:t>
      </w:r>
      <w:r w:rsidRPr="00C0766C">
        <w:rPr>
          <w:sz w:val="18"/>
          <w:vertAlign w:val="superscript"/>
        </w:rPr>
        <w:footnoteReference w:id="10"/>
      </w:r>
      <w:r w:rsidRPr="00FE0E63">
        <w:t xml:space="preserve"> о том, что Норвегия не обеспечила соблюд</w:t>
      </w:r>
      <w:r w:rsidRPr="00FE0E63">
        <w:t>е</w:t>
      </w:r>
      <w:r w:rsidRPr="00FE0E63">
        <w:t>ния пунктов 1 и 4 статьи 9 Конвенции, но что, принимая во внимание тот факт, что не было представлено никаких доказательств в подтверждение того, что н</w:t>
      </w:r>
      <w:r w:rsidRPr="00FE0E63">
        <w:t>е</w:t>
      </w:r>
      <w:r w:rsidRPr="00FE0E63">
        <w:t>соблюдение объясняется системной ошибкой, Комитет воздержался от вынес</w:t>
      </w:r>
      <w:r w:rsidRPr="00FE0E63">
        <w:t>е</w:t>
      </w:r>
      <w:r w:rsidRPr="00FE0E63">
        <w:t>ния рекомендаций по этому делу;</w:t>
      </w:r>
      <w:proofErr w:type="gramEnd"/>
    </w:p>
    <w:p w:rsidR="00FE0E63" w:rsidRPr="00FE0E63" w:rsidRDefault="00FE0E63" w:rsidP="00FE0E63">
      <w:pPr>
        <w:pStyle w:val="SingleTxtGR"/>
      </w:pPr>
      <w:r w:rsidRPr="009F3939">
        <w:tab/>
      </w:r>
      <w:r w:rsidRPr="00FE0E63">
        <w:t>12.</w:t>
      </w:r>
      <w:r w:rsidRPr="00FE0E63">
        <w:rPr>
          <w:i/>
          <w:iCs/>
        </w:rPr>
        <w:tab/>
        <w:t>приветствует</w:t>
      </w:r>
      <w:r w:rsidRPr="00FE0E63">
        <w:t xml:space="preserve"> рекомендации, сформулированные Комитетом в межсессионный период 2014–2017</w:t>
      </w:r>
      <w:r w:rsidR="00C0766C">
        <w:t> год</w:t>
      </w:r>
      <w:r w:rsidRPr="00FE0E63">
        <w:t>ов в соответствии с пунктом 36 b) пр</w:t>
      </w:r>
      <w:r w:rsidRPr="00FE0E63">
        <w:t>и</w:t>
      </w:r>
      <w:r w:rsidRPr="00FE0E63">
        <w:t>ложения к решению I/7 в отношении соблюдения Конвенции отдельными Ст</w:t>
      </w:r>
      <w:r w:rsidRPr="00FE0E63">
        <w:t>о</w:t>
      </w:r>
      <w:r w:rsidRPr="00FE0E63">
        <w:t>ронами, и принятие большинством Сторон, признанных не соблюдающими Конвенцию, таких рекомендаций Комитета;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>Рекомендации в отношении просьб о предоставлении консультаций или</w:t>
      </w:r>
      <w:r>
        <w:rPr>
          <w:lang w:val="en-US"/>
        </w:rPr>
        <w:t> </w:t>
      </w:r>
      <w:r w:rsidRPr="00FE0E63">
        <w:t>помощи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13.</w:t>
      </w:r>
      <w:r w:rsidRPr="00FE0E63">
        <w:tab/>
      </w:r>
      <w:r w:rsidRPr="00FE0E63">
        <w:rPr>
          <w:i/>
          <w:iCs/>
        </w:rPr>
        <w:t>приветствует также</w:t>
      </w:r>
      <w:r w:rsidRPr="00FE0E63">
        <w:t xml:space="preserve"> рекомендации, вынесенные Комитетом в межсессионный период 2014–2017</w:t>
      </w:r>
      <w:r w:rsidR="00C0766C">
        <w:t> год</w:t>
      </w:r>
      <w:r w:rsidRPr="00FE0E63">
        <w:t>ов в отношении просьбы Беларуси ACCC/A/2014/1</w:t>
      </w:r>
      <w:r w:rsidRPr="00C0766C">
        <w:rPr>
          <w:sz w:val="18"/>
          <w:vertAlign w:val="superscript"/>
        </w:rPr>
        <w:footnoteReference w:id="11"/>
      </w:r>
      <w:r w:rsidRPr="00FE0E63">
        <w:t xml:space="preserve"> о предоставлении консультаций и помощи в соответствии с пунктами 13 b) и 14 приложения к решению I/7 и пункта 53 доклада о работе пятой сессии Совещания Сторон</w:t>
      </w:r>
      <w:r w:rsidRPr="00C0766C">
        <w:rPr>
          <w:sz w:val="18"/>
          <w:vertAlign w:val="superscript"/>
        </w:rPr>
        <w:footnoteReference w:id="12"/>
      </w:r>
      <w:r w:rsidRPr="00FE0E63">
        <w:t xml:space="preserve">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 xml:space="preserve">Выполнение решений относительно соблюдения Конвенции отдельными Сторонами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14.</w:t>
      </w:r>
      <w:r w:rsidRPr="00FE0E63">
        <w:tab/>
      </w:r>
      <w:r w:rsidRPr="00FE0E63">
        <w:rPr>
          <w:i/>
          <w:iCs/>
        </w:rPr>
        <w:t>принимает к сведению</w:t>
      </w:r>
      <w:r w:rsidRPr="00FE0E63">
        <w:t xml:space="preserve"> доклады Комитета об осуществлении реш</w:t>
      </w:r>
      <w:r w:rsidRPr="00FE0E63">
        <w:t>е</w:t>
      </w:r>
      <w:r w:rsidRPr="00FE0E63">
        <w:t>ний V/9a</w:t>
      </w:r>
      <w:r w:rsidRPr="00C0766C">
        <w:rPr>
          <w:sz w:val="18"/>
          <w:vertAlign w:val="superscript"/>
        </w:rPr>
        <w:footnoteReference w:id="13"/>
      </w:r>
      <w:r w:rsidRPr="00FE0E63">
        <w:t>, V/9b</w:t>
      </w:r>
      <w:r w:rsidRPr="00C0766C">
        <w:rPr>
          <w:sz w:val="18"/>
          <w:vertAlign w:val="superscript"/>
        </w:rPr>
        <w:footnoteReference w:id="14"/>
      </w:r>
      <w:r w:rsidRPr="00FE0E63">
        <w:t>, V/9c</w:t>
      </w:r>
      <w:r w:rsidRPr="00C0766C">
        <w:rPr>
          <w:sz w:val="18"/>
          <w:vertAlign w:val="superscript"/>
        </w:rPr>
        <w:footnoteReference w:id="15"/>
      </w:r>
      <w:r w:rsidRPr="00FE0E63">
        <w:t>, V/9d</w:t>
      </w:r>
      <w:r w:rsidRPr="00C0766C">
        <w:rPr>
          <w:sz w:val="18"/>
          <w:vertAlign w:val="superscript"/>
        </w:rPr>
        <w:footnoteReference w:id="16"/>
      </w:r>
      <w:r w:rsidRPr="00FE0E63">
        <w:t>, V/9e</w:t>
      </w:r>
      <w:r w:rsidRPr="00C0766C">
        <w:rPr>
          <w:sz w:val="18"/>
          <w:vertAlign w:val="superscript"/>
        </w:rPr>
        <w:footnoteReference w:id="17"/>
      </w:r>
      <w:r w:rsidRPr="00FE0E63">
        <w:t>, V/9f</w:t>
      </w:r>
      <w:r w:rsidRPr="00C0766C">
        <w:rPr>
          <w:sz w:val="18"/>
          <w:vertAlign w:val="superscript"/>
        </w:rPr>
        <w:footnoteReference w:id="18"/>
      </w:r>
      <w:r w:rsidRPr="00FE0E63">
        <w:t>, V/9g</w:t>
      </w:r>
      <w:r w:rsidRPr="00C0766C">
        <w:rPr>
          <w:sz w:val="18"/>
          <w:vertAlign w:val="superscript"/>
        </w:rPr>
        <w:footnoteReference w:id="19"/>
      </w:r>
      <w:r w:rsidRPr="00FE0E63">
        <w:t>, V/9h</w:t>
      </w:r>
      <w:r w:rsidRPr="00C0766C">
        <w:rPr>
          <w:sz w:val="18"/>
          <w:vertAlign w:val="superscript"/>
        </w:rPr>
        <w:footnoteReference w:id="20"/>
      </w:r>
      <w:r w:rsidRPr="00FE0E63">
        <w:t>, V/9i</w:t>
      </w:r>
      <w:r w:rsidRPr="00C0766C">
        <w:rPr>
          <w:sz w:val="18"/>
          <w:vertAlign w:val="superscript"/>
        </w:rPr>
        <w:footnoteReference w:id="21"/>
      </w:r>
      <w:r w:rsidRPr="00FE0E63">
        <w:t>, V/9j</w:t>
      </w:r>
      <w:r w:rsidRPr="00C0766C">
        <w:rPr>
          <w:sz w:val="18"/>
          <w:vertAlign w:val="superscript"/>
        </w:rPr>
        <w:footnoteReference w:id="22"/>
      </w:r>
      <w:r w:rsidRPr="00FE0E63">
        <w:t>, V/9k</w:t>
      </w:r>
      <w:r w:rsidRPr="00C0766C">
        <w:rPr>
          <w:sz w:val="18"/>
          <w:vertAlign w:val="superscript"/>
        </w:rPr>
        <w:footnoteReference w:id="23"/>
      </w:r>
      <w:r w:rsidRPr="00FE0E63">
        <w:t>, V/9l</w:t>
      </w:r>
      <w:r w:rsidRPr="00C0766C">
        <w:rPr>
          <w:sz w:val="18"/>
          <w:vertAlign w:val="superscript"/>
        </w:rPr>
        <w:footnoteReference w:id="24"/>
      </w:r>
      <w:r w:rsidRPr="00FE0E63">
        <w:t>, V/9m</w:t>
      </w:r>
      <w:r w:rsidRPr="00C0766C">
        <w:rPr>
          <w:sz w:val="18"/>
          <w:vertAlign w:val="superscript"/>
        </w:rPr>
        <w:footnoteReference w:id="25"/>
      </w:r>
      <w:r w:rsidRPr="00FE0E63">
        <w:t xml:space="preserve"> и V/9n</w:t>
      </w:r>
      <w:r w:rsidRPr="00C0766C">
        <w:rPr>
          <w:sz w:val="18"/>
          <w:vertAlign w:val="superscript"/>
        </w:rPr>
        <w:footnoteReference w:id="26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164DC8">
        <w:tab/>
      </w:r>
      <w:r w:rsidRPr="00FE0E63">
        <w:t>15.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целенаправленные усилия Хорватии, Германии, Туркменистана и Украины по полному выполнению рекомендаций, вынесенных Совещанием Сторон в решениях V/9e, V/9h, V/9l и V/m соответственно, и по приведению их законодательства и практики в соответствие с положениями Конвенции; </w:t>
      </w:r>
    </w:p>
    <w:p w:rsidR="00FE0E63" w:rsidRPr="00FE0E63" w:rsidRDefault="00FE0E63" w:rsidP="00FE0E63">
      <w:pPr>
        <w:pStyle w:val="SingleTxtGR"/>
      </w:pPr>
      <w:r w:rsidRPr="00405850">
        <w:tab/>
      </w:r>
      <w:proofErr w:type="gramStart"/>
      <w:r w:rsidRPr="00FE0E63">
        <w:t>16.</w:t>
      </w:r>
      <w:r w:rsidRPr="00FE0E63">
        <w:tab/>
      </w:r>
      <w:r w:rsidRPr="00FE0E63">
        <w:rPr>
          <w:i/>
          <w:iCs/>
        </w:rPr>
        <w:t>также приветствует</w:t>
      </w:r>
      <w:r w:rsidRPr="00FE0E63">
        <w:t xml:space="preserve"> конструктивные усилия, предпринятые А</w:t>
      </w:r>
      <w:r w:rsidRPr="00FE0E63">
        <w:t>р</w:t>
      </w:r>
      <w:r w:rsidRPr="00FE0E63">
        <w:t>менией, Австрией, Беларусью, Чехией, Европейским союзом, Казахстаном, Р</w:t>
      </w:r>
      <w:r w:rsidRPr="00FE0E63">
        <w:t>у</w:t>
      </w:r>
      <w:r w:rsidRPr="00FE0E63">
        <w:t>мынией, Испанией и Соединенным Королевством с целью выполнения рек</w:t>
      </w:r>
      <w:r w:rsidRPr="00FE0E63">
        <w:t>о</w:t>
      </w:r>
      <w:r w:rsidRPr="00FE0E63">
        <w:t>мендаций, вынесенных Совещанием Сторон в решениях</w:t>
      </w:r>
      <w:r w:rsidR="006843C0">
        <w:t xml:space="preserve"> </w:t>
      </w:r>
      <w:r w:rsidRPr="00FE0E63">
        <w:t>V/9a, V/9b, V/9c, V/9f, V/9g, V/9i, V/9j, V/9k и V/9n соответственно, в отношении приведения их зак</w:t>
      </w:r>
      <w:r w:rsidRPr="00FE0E63">
        <w:t>о</w:t>
      </w:r>
      <w:r w:rsidRPr="00FE0E63">
        <w:t>нодательства и практики в соответствие с Конвенцией, одновременно признавая</w:t>
      </w:r>
      <w:proofErr w:type="gramEnd"/>
      <w:r w:rsidRPr="00FE0E63">
        <w:t xml:space="preserve"> необходимость проведения каждой Стороной дополнительной </w:t>
      </w:r>
      <w:proofErr w:type="gramStart"/>
      <w:r w:rsidRPr="00FE0E63">
        <w:t>работы</w:t>
      </w:r>
      <w:proofErr w:type="gramEnd"/>
      <w:r w:rsidRPr="00FE0E63">
        <w:t xml:space="preserve"> с целью полного устранения остающихся случаев несоблюдения; </w:t>
      </w:r>
    </w:p>
    <w:p w:rsidR="00FE0E63" w:rsidRPr="00FE0E63" w:rsidRDefault="00FE0E63" w:rsidP="00FE0E63">
      <w:pPr>
        <w:pStyle w:val="SingleTxtGR"/>
      </w:pPr>
      <w:r w:rsidRPr="00034A14">
        <w:tab/>
      </w:r>
      <w:proofErr w:type="gramStart"/>
      <w:r w:rsidRPr="00FE0E63">
        <w:t>17.</w:t>
      </w:r>
      <w:r w:rsidRPr="00FE0E63">
        <w:tab/>
      </w:r>
      <w:r w:rsidRPr="00FE0E63">
        <w:rPr>
          <w:i/>
          <w:iCs/>
        </w:rPr>
        <w:t>приветствует далее</w:t>
      </w:r>
      <w:r w:rsidRPr="00FE0E63">
        <w:t xml:space="preserve"> конструктивное сотрудничество Болгарии с Комитетом в межсессионный период, но при этом выражает глубокую озаб</w:t>
      </w:r>
      <w:r w:rsidRPr="00FE0E63">
        <w:t>о</w:t>
      </w:r>
      <w:r w:rsidRPr="00FE0E63">
        <w:t>ченность в связи с тем, что соответствующая Сторона продолжает придерж</w:t>
      </w:r>
      <w:r w:rsidRPr="00FE0E63">
        <w:t>и</w:t>
      </w:r>
      <w:r w:rsidRPr="00FE0E63">
        <w:t>ваться позиции, что для обеспечения полного соответствия с пунктами 2 и 3 статьи 9 Конвенции не требуется выполнение рекомендаций, содержащихся в решении V/9d, и напоминает, что Комитет уже выражал свою обеспокоенность в связи с</w:t>
      </w:r>
      <w:proofErr w:type="gramEnd"/>
      <w:r w:rsidRPr="00FE0E63">
        <w:t xml:space="preserve"> позицией Болгарии в пункте 5 решения V/9d; </w:t>
      </w:r>
    </w:p>
    <w:p w:rsidR="00FE0E63" w:rsidRPr="00FE0E63" w:rsidRDefault="00FE0E63" w:rsidP="00FE0E63">
      <w:pPr>
        <w:pStyle w:val="SingleTxtGR"/>
      </w:pPr>
      <w:r w:rsidRPr="00901FDD">
        <w:tab/>
      </w:r>
      <w:r w:rsidRPr="00FE0E63">
        <w:t>18.</w:t>
      </w:r>
      <w:r w:rsidRPr="00FE0E63">
        <w:tab/>
      </w:r>
      <w:r w:rsidRPr="00FE0E63">
        <w:rPr>
          <w:i/>
          <w:iCs/>
        </w:rPr>
        <w:t>просит</w:t>
      </w:r>
      <w:r w:rsidRPr="00FE0E63">
        <w:t xml:space="preserve"> Комитет при поддержке секретариата предоставлять ко</w:t>
      </w:r>
      <w:r w:rsidRPr="00FE0E63">
        <w:t>н</w:t>
      </w:r>
      <w:r w:rsidRPr="00FE0E63">
        <w:t>сультации, оказывать помощь и, при необходимости, давать рекомендации с</w:t>
      </w:r>
      <w:r w:rsidRPr="00FE0E63">
        <w:t>о</w:t>
      </w:r>
      <w:r w:rsidRPr="00FE0E63">
        <w:t>ответствующим Сторонам в целях поддержки осуществления мер, упомянутых в решениях V</w:t>
      </w:r>
      <w:r w:rsidR="00034A14">
        <w:rPr>
          <w:lang w:val="en-US"/>
        </w:rPr>
        <w:t>I</w:t>
      </w:r>
      <w:r w:rsidRPr="00FE0E63">
        <w:t xml:space="preserve">/8a−k, касающихся соблюдения; </w:t>
      </w:r>
    </w:p>
    <w:p w:rsidR="00FE0E63" w:rsidRPr="00FE0E63" w:rsidRDefault="00FE0E63" w:rsidP="00FE0E63">
      <w:pPr>
        <w:pStyle w:val="SingleTxtGR"/>
      </w:pPr>
      <w:r w:rsidRPr="00034A14">
        <w:tab/>
      </w:r>
      <w:r w:rsidRPr="00FE0E63">
        <w:t>19.</w:t>
      </w:r>
      <w:r w:rsidRPr="00FE0E63">
        <w:tab/>
      </w:r>
      <w:r w:rsidRPr="00FE0E63">
        <w:rPr>
          <w:i/>
          <w:iCs/>
        </w:rPr>
        <w:t>обязуется</w:t>
      </w:r>
      <w:r w:rsidRPr="00FE0E63">
        <w:t xml:space="preserve"> провести на своей седьмой очередной сессии обзор ос</w:t>
      </w:r>
      <w:r w:rsidRPr="00FE0E63">
        <w:t>у</w:t>
      </w:r>
      <w:r w:rsidRPr="00FE0E63">
        <w:t>ществления решений</w:t>
      </w:r>
      <w:r w:rsidR="006843C0">
        <w:t xml:space="preserve"> </w:t>
      </w:r>
      <w:r w:rsidRPr="00FE0E63">
        <w:t xml:space="preserve">VI/8a–k, а также более общих рекомендаций, изложенных в последующих пунктах, и в этой связи просит Комитет рассмотреть данные вопросы до начала этой сессии и представить доклады об осуществлении этих решений для рассмотрения на его седьмой сессии;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 xml:space="preserve">Ресурсы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20.</w:t>
      </w:r>
      <w:r w:rsidRPr="00FE0E63">
        <w:tab/>
      </w:r>
      <w:r w:rsidRPr="00FE0E63">
        <w:rPr>
          <w:i/>
          <w:iCs/>
        </w:rPr>
        <w:t>предлагает</w:t>
      </w:r>
      <w:r w:rsidRPr="00FE0E63">
        <w:t xml:space="preserve"> всем Сторонам и другим заинтересованным госуда</w:t>
      </w:r>
      <w:r w:rsidRPr="00FE0E63">
        <w:t>р</w:t>
      </w:r>
      <w:r w:rsidRPr="00FE0E63">
        <w:t>ствам и организациям, которые могут это сделать, оказать странам с перехо</w:t>
      </w:r>
      <w:r w:rsidRPr="00FE0E63">
        <w:t>д</w:t>
      </w:r>
      <w:r w:rsidRPr="00FE0E63">
        <w:t xml:space="preserve">ной экономикой финансовую и техническую помощь в целях обеспечения более эффективного осуществления и соблюдения Конвенции;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21.</w:t>
      </w:r>
      <w:r w:rsidRPr="00FE0E63">
        <w:rPr>
          <w:i/>
          <w:iCs/>
        </w:rPr>
        <w:tab/>
        <w:t>отмечает</w:t>
      </w:r>
      <w:r w:rsidRPr="00FE0E63">
        <w:t>, что в межсессионный период 2014−2017</w:t>
      </w:r>
      <w:r w:rsidR="00C0766C">
        <w:t> год</w:t>
      </w:r>
      <w:r w:rsidRPr="00FE0E63">
        <w:t>ов объем работы как секретариата, так и Комитета в связи с функционированием мех</w:t>
      </w:r>
      <w:r w:rsidRPr="00FE0E63">
        <w:t>а</w:t>
      </w:r>
      <w:r w:rsidRPr="00FE0E63">
        <w:t>низма соблюдения значительно возрос и что, как предполагается, он будет ув</w:t>
      </w:r>
      <w:r w:rsidRPr="00FE0E63">
        <w:t>е</w:t>
      </w:r>
      <w:r w:rsidRPr="00FE0E63">
        <w:t>личиваться и далее, и просит Рабочую группу Сторон, Президиум и секретар</w:t>
      </w:r>
      <w:r w:rsidRPr="00FE0E63">
        <w:t>и</w:t>
      </w:r>
      <w:r w:rsidRPr="00FE0E63">
        <w:t xml:space="preserve">ат с учетом их соответствующих ролей обеспечить выделение достаточных людских и финансовых ресурсов для этой цели; </w:t>
      </w:r>
    </w:p>
    <w:p w:rsidR="00E12C5F" w:rsidRPr="00FE0E63" w:rsidRDefault="00FE0E63" w:rsidP="00FE0E63">
      <w:pPr>
        <w:pStyle w:val="SingleTxtGR"/>
      </w:pPr>
      <w:r w:rsidRPr="00C0766C">
        <w:tab/>
      </w:r>
      <w:r w:rsidRPr="00FE0E63">
        <w:t>22.</w:t>
      </w:r>
      <w:r w:rsidRPr="00FE0E63">
        <w:tab/>
      </w:r>
      <w:r w:rsidRPr="00FE0E63">
        <w:rPr>
          <w:i/>
          <w:iCs/>
        </w:rPr>
        <w:t xml:space="preserve">просит </w:t>
      </w:r>
      <w:r w:rsidRPr="00FE0E63">
        <w:t>секретариат продолжать подготавливать повестки дня, д</w:t>
      </w:r>
      <w:r w:rsidRPr="00FE0E63">
        <w:t>о</w:t>
      </w:r>
      <w:r w:rsidRPr="00FE0E63">
        <w:t>клады, выводы и другие документы Комитета по вопросам соблюдения в кач</w:t>
      </w:r>
      <w:r w:rsidRPr="00FE0E63">
        <w:t>е</w:t>
      </w:r>
      <w:r w:rsidRPr="00FE0E63">
        <w:t>стве официальных документов и распространять их на соответствующих зас</w:t>
      </w:r>
      <w:r w:rsidRPr="00FE0E63">
        <w:t>е</w:t>
      </w:r>
      <w:r w:rsidRPr="00FE0E63">
        <w:t>даниях на трех официальных языках Европейской экономической комиссии О</w:t>
      </w:r>
      <w:r w:rsidRPr="00FE0E63">
        <w:t>р</w:t>
      </w:r>
      <w:r w:rsidRPr="00FE0E63">
        <w:t>ганизации Объединенных Наций без задействования дополнительных внебю</w:t>
      </w:r>
      <w:r w:rsidRPr="00FE0E63">
        <w:t>д</w:t>
      </w:r>
      <w:r w:rsidRPr="00FE0E63">
        <w:t>жетных ресурсов.</w:t>
      </w:r>
    </w:p>
    <w:p w:rsidR="00FE0E63" w:rsidRPr="00FE0E63" w:rsidRDefault="00FE0E63" w:rsidP="00FE0E63">
      <w:pPr>
        <w:pStyle w:val="SingleTxtGR"/>
        <w:spacing w:before="240" w:after="0"/>
        <w:jc w:val="center"/>
        <w:rPr>
          <w:u w:val="single"/>
        </w:rPr>
      </w:pPr>
      <w:r w:rsidRPr="00FE0E63">
        <w:rPr>
          <w:u w:val="single"/>
        </w:rPr>
        <w:tab/>
      </w:r>
      <w:r w:rsidRPr="00FE0E63">
        <w:rPr>
          <w:u w:val="single"/>
        </w:rPr>
        <w:tab/>
      </w:r>
      <w:r w:rsidRPr="00FE0E63">
        <w:rPr>
          <w:u w:val="single"/>
        </w:rPr>
        <w:tab/>
      </w:r>
    </w:p>
    <w:sectPr w:rsidR="00FE0E63" w:rsidRPr="00FE0E63" w:rsidSect="00FE0E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A9" w:rsidRPr="00A312BC" w:rsidRDefault="00CD2BA9" w:rsidP="00A312BC"/>
  </w:endnote>
  <w:endnote w:type="continuationSeparator" w:id="0">
    <w:p w:rsidR="00CD2BA9" w:rsidRPr="00A312BC" w:rsidRDefault="00CD2B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3" w:rsidRPr="00FE0E63" w:rsidRDefault="00FE0E63">
    <w:pPr>
      <w:pStyle w:val="a8"/>
    </w:pPr>
    <w:r w:rsidRPr="00FE0E63">
      <w:rPr>
        <w:b/>
        <w:sz w:val="18"/>
      </w:rPr>
      <w:fldChar w:fldCharType="begin"/>
    </w:r>
    <w:r w:rsidRPr="00FE0E63">
      <w:rPr>
        <w:b/>
        <w:sz w:val="18"/>
      </w:rPr>
      <w:instrText xml:space="preserve"> PAGE  \* MERGEFORMAT </w:instrText>
    </w:r>
    <w:r w:rsidRPr="00FE0E63">
      <w:rPr>
        <w:b/>
        <w:sz w:val="18"/>
      </w:rPr>
      <w:fldChar w:fldCharType="separate"/>
    </w:r>
    <w:r w:rsidR="008045B5">
      <w:rPr>
        <w:b/>
        <w:noProof/>
        <w:sz w:val="18"/>
      </w:rPr>
      <w:t>2</w:t>
    </w:r>
    <w:r w:rsidRPr="00FE0E63">
      <w:rPr>
        <w:b/>
        <w:sz w:val="18"/>
      </w:rPr>
      <w:fldChar w:fldCharType="end"/>
    </w:r>
    <w:r>
      <w:rPr>
        <w:b/>
        <w:sz w:val="18"/>
      </w:rPr>
      <w:tab/>
    </w:r>
    <w:r>
      <w:t>GE.17-13067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3" w:rsidRPr="00FE0E63" w:rsidRDefault="00FE0E63" w:rsidP="00FE0E63">
    <w:pPr>
      <w:pStyle w:val="a8"/>
      <w:tabs>
        <w:tab w:val="clear" w:pos="9639"/>
        <w:tab w:val="right" w:pos="9638"/>
      </w:tabs>
      <w:rPr>
        <w:b/>
        <w:sz w:val="18"/>
      </w:rPr>
    </w:pPr>
    <w:r>
      <w:t>GE.17-13067</w:t>
    </w:r>
    <w:r>
      <w:tab/>
    </w:r>
    <w:r w:rsidRPr="00FE0E63">
      <w:rPr>
        <w:b/>
        <w:sz w:val="18"/>
      </w:rPr>
      <w:fldChar w:fldCharType="begin"/>
    </w:r>
    <w:r w:rsidRPr="00FE0E63">
      <w:rPr>
        <w:b/>
        <w:sz w:val="18"/>
      </w:rPr>
      <w:instrText xml:space="preserve"> PAGE  \* MERGEFORMAT </w:instrText>
    </w:r>
    <w:r w:rsidRPr="00FE0E63">
      <w:rPr>
        <w:b/>
        <w:sz w:val="18"/>
      </w:rPr>
      <w:fldChar w:fldCharType="separate"/>
    </w:r>
    <w:r w:rsidR="008045B5">
      <w:rPr>
        <w:b/>
        <w:noProof/>
        <w:sz w:val="18"/>
      </w:rPr>
      <w:t>3</w:t>
    </w:r>
    <w:r w:rsidRPr="00FE0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FE0E63" w:rsidRDefault="00FE0E63" w:rsidP="00FE0E6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39B7E70D" wp14:editId="5F27B4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17-13067  (R)</w:t>
    </w:r>
    <w:r>
      <w:rPr>
        <w:lang w:val="en-US"/>
      </w:rPr>
      <w:t xml:space="preserve">  </w:t>
    </w:r>
    <w:r>
      <w:rPr>
        <w:lang w:val="en-US"/>
      </w:rPr>
      <w:t>1</w:t>
    </w:r>
    <w:r w:rsidR="00901FDD">
      <w:t>7</w:t>
    </w:r>
    <w:bookmarkStart w:id="0" w:name="_GoBack"/>
    <w:bookmarkEnd w:id="0"/>
    <w:r>
      <w:rPr>
        <w:lang w:val="en-US"/>
      </w:rPr>
      <w:t xml:space="preserve">0817  </w:t>
    </w:r>
    <w:r w:rsidR="00800D0F">
      <w:t>21</w:t>
    </w:r>
    <w:r>
      <w:rPr>
        <w:lang w:val="en-US"/>
      </w:rPr>
      <w:t>0817</w:t>
    </w:r>
    <w:r>
      <w:br/>
    </w:r>
    <w:r w:rsidRPr="00FE0E63">
      <w:rPr>
        <w:rFonts w:ascii="C39T30Lfz" w:hAnsi="C39T30Lfz"/>
        <w:spacing w:val="0"/>
        <w:w w:val="100"/>
        <w:sz w:val="56"/>
      </w:rPr>
      <w:t></w:t>
    </w:r>
    <w:r w:rsidRPr="00FE0E63">
      <w:rPr>
        <w:rFonts w:ascii="C39T30Lfz" w:hAnsi="C39T30Lfz"/>
        <w:spacing w:val="0"/>
        <w:w w:val="100"/>
        <w:sz w:val="56"/>
      </w:rPr>
      <w:t></w:t>
    </w:r>
    <w:r w:rsidRPr="00FE0E63">
      <w:rPr>
        <w:rFonts w:ascii="C39T30Lfz" w:hAnsi="C39T30Lfz"/>
        <w:spacing w:val="0"/>
        <w:w w:val="100"/>
        <w:sz w:val="56"/>
      </w:rPr>
      <w:t></w:t>
    </w:r>
    <w:r w:rsidRPr="00FE0E63">
      <w:rPr>
        <w:rFonts w:ascii="C39T30Lfz" w:hAnsi="C39T30Lfz"/>
        <w:spacing w:val="0"/>
        <w:w w:val="100"/>
        <w:sz w:val="56"/>
      </w:rPr>
      <w:t></w:t>
    </w:r>
    <w:r w:rsidRPr="00FE0E63">
      <w:rPr>
        <w:rFonts w:ascii="C39T30Lfz" w:hAnsi="C39T30Lfz"/>
        <w:spacing w:val="0"/>
        <w:w w:val="100"/>
        <w:sz w:val="56"/>
      </w:rPr>
      <w:t></w:t>
    </w:r>
    <w:r w:rsidRPr="00FE0E63">
      <w:rPr>
        <w:rFonts w:ascii="C39T30Lfz" w:hAnsi="C39T30Lfz"/>
        <w:spacing w:val="0"/>
        <w:w w:val="100"/>
        <w:sz w:val="56"/>
      </w:rPr>
      <w:t></w:t>
    </w:r>
    <w:r w:rsidRPr="00FE0E63">
      <w:rPr>
        <w:rFonts w:ascii="C39T30Lfz" w:hAnsi="C39T30Lfz"/>
        <w:spacing w:val="0"/>
        <w:w w:val="100"/>
        <w:sz w:val="56"/>
      </w:rPr>
      <w:t></w:t>
    </w:r>
    <w:r w:rsidRPr="00FE0E63">
      <w:rPr>
        <w:rFonts w:ascii="C39T30Lfz" w:hAnsi="C39T30Lfz"/>
        <w:spacing w:val="0"/>
        <w:w w:val="100"/>
        <w:sz w:val="56"/>
      </w:rPr>
      <w:t></w:t>
    </w:r>
    <w:r w:rsidRPr="00FE0E6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1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A9" w:rsidRPr="001075E9" w:rsidRDefault="00CD2B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2BA9" w:rsidRDefault="00CD2B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szCs w:val="18"/>
          <w:lang w:val="ru-RU"/>
        </w:rPr>
        <w:footnoteRef/>
      </w:r>
      <w:r>
        <w:rPr>
          <w:lang w:val="ru-RU"/>
        </w:rPr>
        <w:tab/>
        <w:t>ECE/MP.PP/2017/31 и ECE/MP.PP/2017/32.</w:t>
      </w:r>
    </w:p>
  </w:footnote>
  <w:footnote w:id="2">
    <w:p w:rsidR="00FE0E63" w:rsidRPr="008573E3" w:rsidRDefault="00FE0E63" w:rsidP="00FE0E63">
      <w:pPr>
        <w:pStyle w:val="ad"/>
        <w:rPr>
          <w:lang w:val="ru-RU"/>
        </w:rPr>
      </w:pPr>
      <w:r w:rsidRPr="00415A37">
        <w:rPr>
          <w:lang w:val="ru-RU"/>
        </w:rPr>
        <w:tab/>
      </w:r>
      <w:r w:rsidRPr="00C0766C">
        <w:rPr>
          <w:rStyle w:val="aa"/>
          <w:szCs w:val="18"/>
          <w:lang w:val="ru-RU"/>
        </w:rPr>
        <w:footnoteRef/>
      </w:r>
      <w:r>
        <w:rPr>
          <w:lang w:val="ru-RU"/>
        </w:rPr>
        <w:tab/>
        <w:t>ECE/MP.PP/C.1/2015/3 (Соединенное Королевство), ECE/MP.PP/C.1/2015/10 (Румыния), ECE/MP.PP/C.1/2016/3 (Болгария), ECE/MP.PP/C.1/2016/10 (Соединенное Королевство), ECE/MP.PP/C.1/2017/3 (Чехия), ECE/MP.PP/C.1/2017/4 (Швеция), ECE/MP.PP/C.1/2017/7 (Европейский союз), ECE/MP.PP/C.1/2017/8 (бывшая югославская Республика Македония), ECE/MP.PP/C.1/2017/12 (Казахстан), ECE/MP.PP/C.1/2017/13 (Словакия), ECE/MP.PP/C.1/2017/14  (Соединенное Королевство),  ECE/MP.PP/C.1/2017/15 (Германия), ECE/MP.PP/C.1/2017/16 (Норвегия), ECE/MP.PP/C.1/2017/17 (Испания), ECE/MP.PP/C.1/2017/18 (Европейский союз), ECE/MP.PP/C.1/2017/19 (Беларусь), ECE/MP.PP/C.1/2017/20 (Бельгия) и ECE/MP.PP/C.1/2017/21 (Европейский союз).</w:t>
      </w:r>
    </w:p>
  </w:footnote>
  <w:footnote w:id="3">
    <w:p w:rsidR="00FE0E63" w:rsidRPr="008573E3" w:rsidRDefault="00FE0E63" w:rsidP="00FE0E63">
      <w:pPr>
        <w:pStyle w:val="ad"/>
        <w:rPr>
          <w:lang w:val="ru-RU"/>
        </w:rPr>
      </w:pPr>
      <w:r w:rsidRPr="006066FA">
        <w:rPr>
          <w:lang w:val="ru-RU"/>
        </w:rPr>
        <w:tab/>
      </w:r>
      <w:r w:rsidRPr="00C0766C">
        <w:rPr>
          <w:rStyle w:val="aa"/>
          <w:szCs w:val="18"/>
          <w:lang w:val="ru-RU"/>
        </w:rPr>
        <w:footnoteRef/>
      </w:r>
      <w:r>
        <w:rPr>
          <w:lang w:val="ru-RU"/>
        </w:rPr>
        <w:tab/>
        <w:t>Там же.</w:t>
      </w:r>
    </w:p>
  </w:footnote>
  <w:footnote w:id="4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szCs w:val="18"/>
          <w:lang w:val="ru-RU"/>
        </w:rPr>
        <w:footnoteRef/>
      </w:r>
      <w:r>
        <w:rPr>
          <w:lang w:val="ru-RU"/>
        </w:rPr>
        <w:tab/>
        <w:t>ECE/MP.PP/C.1/2017/20.</w:t>
      </w:r>
    </w:p>
  </w:footnote>
  <w:footnote w:id="5">
    <w:p w:rsidR="00FE0E63" w:rsidRPr="00751A89" w:rsidRDefault="00FE0E63" w:rsidP="00FE0E63">
      <w:pPr>
        <w:pStyle w:val="ad"/>
      </w:pPr>
      <w:r>
        <w:rPr>
          <w:lang w:val="ru-RU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ECE/MP.PP/C.1/2017/18.</w:t>
      </w:r>
    </w:p>
  </w:footnote>
  <w:footnote w:id="6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ECE/MP.PP/C.1/2017/21.</w:t>
      </w:r>
    </w:p>
  </w:footnote>
  <w:footnote w:id="7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ECE/MP.PP/C.1/2017/15.</w:t>
      </w:r>
    </w:p>
  </w:footnote>
  <w:footnote w:id="8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ECE/MP.PP/C.1/2017/4.</w:t>
      </w:r>
    </w:p>
  </w:footnote>
  <w:footnote w:id="9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ECE/MP.PP/C.1/2017/8.</w:t>
      </w:r>
    </w:p>
  </w:footnote>
  <w:footnote w:id="10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ECE/MP.PP/C.1/2017/16.</w:t>
      </w:r>
    </w:p>
  </w:footnote>
  <w:footnote w:id="11">
    <w:p w:rsidR="00FE0E63" w:rsidRPr="00751A89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>ECE/MP.PP/C.1/2017/11.</w:t>
      </w:r>
    </w:p>
  </w:footnote>
  <w:footnote w:id="12">
    <w:p w:rsidR="00FE0E63" w:rsidRPr="006854B2" w:rsidRDefault="00FE0E63" w:rsidP="00FE0E63">
      <w:pPr>
        <w:pStyle w:val="ad"/>
      </w:pPr>
      <w:r w:rsidRPr="008573E3">
        <w:rPr>
          <w:lang w:val="en-US"/>
        </w:rPr>
        <w:tab/>
      </w:r>
      <w:r w:rsidRPr="00C0766C">
        <w:rPr>
          <w:rStyle w:val="aa"/>
          <w:szCs w:val="18"/>
          <w:lang w:val="ru-RU"/>
        </w:rPr>
        <w:footnoteRef/>
      </w:r>
      <w:r w:rsidRPr="008573E3">
        <w:rPr>
          <w:lang w:val="en-US"/>
        </w:rPr>
        <w:tab/>
        <w:t xml:space="preserve">ECE/MP.PP/2014/2, </w:t>
      </w:r>
      <w:r>
        <w:rPr>
          <w:lang w:val="ru-RU"/>
        </w:rPr>
        <w:t>пункт</w:t>
      </w:r>
      <w:r w:rsidRPr="008573E3">
        <w:rPr>
          <w:lang w:val="en-US"/>
        </w:rPr>
        <w:t xml:space="preserve"> 53.</w:t>
      </w:r>
    </w:p>
  </w:footnote>
  <w:footnote w:id="13">
    <w:p w:rsidR="00FE0E63" w:rsidRPr="00273431" w:rsidRDefault="00FE0E63" w:rsidP="00FE0E63">
      <w:pPr>
        <w:pStyle w:val="ad"/>
        <w:rPr>
          <w:lang w:val="en-US"/>
        </w:rPr>
      </w:pPr>
      <w:r w:rsidRPr="008573E3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273431">
        <w:rPr>
          <w:lang w:val="en-US"/>
        </w:rPr>
        <w:tab/>
      </w:r>
      <w:r w:rsidR="009F3939" w:rsidRPr="00273431">
        <w:rPr>
          <w:lang w:val="en-US"/>
        </w:rPr>
        <w:t>ECE/MP.PP/2017/33 (</w:t>
      </w:r>
      <w:r w:rsidR="009F3939">
        <w:rPr>
          <w:lang w:val="ru-RU"/>
        </w:rPr>
        <w:t>Армения</w:t>
      </w:r>
      <w:r w:rsidR="009F3939" w:rsidRPr="00273431">
        <w:rPr>
          <w:lang w:val="en-US"/>
        </w:rPr>
        <w:t>).</w:t>
      </w:r>
    </w:p>
  </w:footnote>
  <w:footnote w:id="14">
    <w:p w:rsidR="00FE0E63" w:rsidRPr="00273431" w:rsidRDefault="00FE0E63" w:rsidP="00FE0E63">
      <w:pPr>
        <w:pStyle w:val="ad"/>
        <w:rPr>
          <w:lang w:val="en-US"/>
        </w:rPr>
      </w:pPr>
      <w:r w:rsidRPr="00273431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273431">
        <w:rPr>
          <w:lang w:val="en-US"/>
        </w:rPr>
        <w:tab/>
      </w:r>
      <w:r w:rsidR="009F3939" w:rsidRPr="00273431">
        <w:rPr>
          <w:lang w:val="en-US"/>
        </w:rPr>
        <w:t>ECE/MP.PP/2017/34 (</w:t>
      </w:r>
      <w:r w:rsidR="009F3939">
        <w:rPr>
          <w:lang w:val="ru-RU"/>
        </w:rPr>
        <w:t>Австрия</w:t>
      </w:r>
      <w:r w:rsidR="009F3939" w:rsidRPr="00273431">
        <w:rPr>
          <w:lang w:val="en-US"/>
        </w:rPr>
        <w:t>).</w:t>
      </w:r>
    </w:p>
  </w:footnote>
  <w:footnote w:id="15">
    <w:p w:rsidR="00FE0E63" w:rsidRPr="008045B5" w:rsidRDefault="00FE0E63" w:rsidP="00FE0E63">
      <w:pPr>
        <w:pStyle w:val="ad"/>
        <w:rPr>
          <w:lang w:val="en-US"/>
        </w:rPr>
      </w:pPr>
      <w:r w:rsidRPr="00273431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8045B5">
        <w:rPr>
          <w:lang w:val="en-US"/>
        </w:rPr>
        <w:tab/>
        <w:t>ECE/MP.PP/2017/35 (</w:t>
      </w:r>
      <w:r>
        <w:rPr>
          <w:lang w:val="ru-RU"/>
        </w:rPr>
        <w:t>Беларусь</w:t>
      </w:r>
      <w:r w:rsidRPr="008045B5">
        <w:rPr>
          <w:lang w:val="en-US"/>
        </w:rPr>
        <w:t>).</w:t>
      </w:r>
    </w:p>
  </w:footnote>
  <w:footnote w:id="16">
    <w:p w:rsidR="00FE0E63" w:rsidRPr="008045B5" w:rsidRDefault="00FE0E63" w:rsidP="00FE0E63">
      <w:pPr>
        <w:pStyle w:val="ad"/>
        <w:rPr>
          <w:lang w:val="en-US"/>
        </w:rPr>
      </w:pPr>
      <w:r w:rsidRPr="008045B5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8045B5">
        <w:rPr>
          <w:lang w:val="en-US"/>
        </w:rPr>
        <w:tab/>
        <w:t>ECE/MP.PP/2017/36 (</w:t>
      </w:r>
      <w:r>
        <w:rPr>
          <w:lang w:val="ru-RU"/>
        </w:rPr>
        <w:t>Болгария</w:t>
      </w:r>
      <w:r w:rsidRPr="008045B5">
        <w:rPr>
          <w:lang w:val="en-US"/>
        </w:rPr>
        <w:t>).</w:t>
      </w:r>
    </w:p>
  </w:footnote>
  <w:footnote w:id="17">
    <w:p w:rsidR="00FE0E63" w:rsidRPr="008045B5" w:rsidRDefault="00FE0E63" w:rsidP="00FE0E63">
      <w:pPr>
        <w:pStyle w:val="ad"/>
        <w:rPr>
          <w:lang w:val="en-US"/>
        </w:rPr>
      </w:pPr>
      <w:r w:rsidRPr="008045B5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8045B5">
        <w:rPr>
          <w:lang w:val="en-US"/>
        </w:rPr>
        <w:tab/>
        <w:t>ECE/MP.PP/2017/37 (</w:t>
      </w:r>
      <w:r>
        <w:rPr>
          <w:lang w:val="ru-RU"/>
        </w:rPr>
        <w:t>Хорватия</w:t>
      </w:r>
      <w:r w:rsidRPr="008045B5">
        <w:rPr>
          <w:lang w:val="en-US"/>
        </w:rPr>
        <w:t>).</w:t>
      </w:r>
    </w:p>
  </w:footnote>
  <w:footnote w:id="18">
    <w:p w:rsidR="00FE0E63" w:rsidRPr="008045B5" w:rsidRDefault="00FE0E63" w:rsidP="00FE0E63">
      <w:pPr>
        <w:pStyle w:val="ad"/>
        <w:rPr>
          <w:lang w:val="en-US"/>
        </w:rPr>
      </w:pPr>
      <w:r w:rsidRPr="008045B5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 w:rsidRPr="008045B5">
        <w:rPr>
          <w:lang w:val="en-US"/>
        </w:rPr>
        <w:tab/>
        <w:t>ECE/MP.PP/2017/38 (</w:t>
      </w:r>
      <w:r>
        <w:rPr>
          <w:lang w:val="ru-RU"/>
        </w:rPr>
        <w:t>Чехия</w:t>
      </w:r>
      <w:r w:rsidRPr="008045B5">
        <w:rPr>
          <w:lang w:val="en-US"/>
        </w:rPr>
        <w:t>).</w:t>
      </w:r>
    </w:p>
  </w:footnote>
  <w:footnote w:id="19">
    <w:p w:rsidR="00FE0E63" w:rsidRPr="008573E3" w:rsidRDefault="00FE0E63" w:rsidP="00FE0E63">
      <w:pPr>
        <w:pStyle w:val="ad"/>
        <w:rPr>
          <w:lang w:val="ru-RU"/>
        </w:rPr>
      </w:pPr>
      <w:r w:rsidRPr="008045B5">
        <w:rPr>
          <w:lang w:val="en-US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ECE/MP.PP/2017/39 (Европейский союз).</w:t>
      </w:r>
    </w:p>
  </w:footnote>
  <w:footnote w:id="20">
    <w:p w:rsidR="00FE0E63" w:rsidRPr="008573E3" w:rsidRDefault="00FE0E63" w:rsidP="00FE0E63">
      <w:pPr>
        <w:pStyle w:val="ad"/>
        <w:rPr>
          <w:lang w:val="ru-RU"/>
        </w:rPr>
      </w:pPr>
      <w:r w:rsidRPr="006854B2"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</w:r>
      <w:r w:rsidR="00273431">
        <w:t>ECE</w:t>
      </w:r>
      <w:r w:rsidR="00273431" w:rsidRPr="008045B5">
        <w:rPr>
          <w:lang w:val="ru-RU"/>
        </w:rPr>
        <w:t>/</w:t>
      </w:r>
      <w:r w:rsidR="00273431">
        <w:t>MP</w:t>
      </w:r>
      <w:r w:rsidR="00273431" w:rsidRPr="008045B5">
        <w:rPr>
          <w:lang w:val="ru-RU"/>
        </w:rPr>
        <w:t>.</w:t>
      </w:r>
      <w:r w:rsidR="00273431">
        <w:t>PP</w:t>
      </w:r>
      <w:r w:rsidR="00273431" w:rsidRPr="008045B5">
        <w:rPr>
          <w:lang w:val="ru-RU"/>
        </w:rPr>
        <w:t>/2017/40 (</w:t>
      </w:r>
      <w:r w:rsidR="00273431">
        <w:rPr>
          <w:lang w:val="ru-RU"/>
        </w:rPr>
        <w:t>Германия</w:t>
      </w:r>
      <w:r w:rsidR="00273431" w:rsidRPr="008045B5">
        <w:rPr>
          <w:lang w:val="ru-RU"/>
        </w:rPr>
        <w:t>).</w:t>
      </w:r>
    </w:p>
  </w:footnote>
  <w:footnote w:id="21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ECE/MP.PP/2017/41 (Казахстан).</w:t>
      </w:r>
    </w:p>
  </w:footnote>
  <w:footnote w:id="22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ECE/MP.PP/2017/42 (Румыния).</w:t>
      </w:r>
    </w:p>
  </w:footnote>
  <w:footnote w:id="23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ECE/MP.PP/2017/43 (Испания).</w:t>
      </w:r>
    </w:p>
  </w:footnote>
  <w:footnote w:id="24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ECE/MP.PP/2017/44 (Туркменистан).</w:t>
      </w:r>
    </w:p>
  </w:footnote>
  <w:footnote w:id="25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  <w:t>ECE/MP.PP/2017/45 (Украина).</w:t>
      </w:r>
    </w:p>
  </w:footnote>
  <w:footnote w:id="26">
    <w:p w:rsidR="00FE0E63" w:rsidRPr="008573E3" w:rsidRDefault="00FE0E63" w:rsidP="00FE0E63">
      <w:pPr>
        <w:pStyle w:val="ad"/>
        <w:rPr>
          <w:lang w:val="ru-RU"/>
        </w:rPr>
      </w:pPr>
      <w:r>
        <w:rPr>
          <w:lang w:val="ru-RU"/>
        </w:rPr>
        <w:tab/>
      </w:r>
      <w:r w:rsidRPr="00C0766C">
        <w:rPr>
          <w:rStyle w:val="aa"/>
          <w:lang w:val="ru-RU"/>
        </w:rPr>
        <w:footnoteRef/>
      </w:r>
      <w:r>
        <w:rPr>
          <w:lang w:val="ru-RU"/>
        </w:rPr>
        <w:tab/>
      </w:r>
      <w:r>
        <w:t>ECE</w:t>
      </w:r>
      <w:r w:rsidRPr="00FE0E63">
        <w:rPr>
          <w:lang w:val="ru-RU"/>
        </w:rPr>
        <w:t>/</w:t>
      </w:r>
      <w:r>
        <w:t>MP</w:t>
      </w:r>
      <w:r w:rsidRPr="00FE0E63">
        <w:rPr>
          <w:lang w:val="ru-RU"/>
        </w:rPr>
        <w:t>.</w:t>
      </w:r>
      <w:r>
        <w:t>PP</w:t>
      </w:r>
      <w:r w:rsidRPr="00FE0E63">
        <w:rPr>
          <w:lang w:val="ru-RU"/>
        </w:rPr>
        <w:t>/2017/46</w:t>
      </w:r>
      <w:r>
        <w:rPr>
          <w:lang w:val="ru-RU"/>
        </w:rPr>
        <w:t xml:space="preserve"> (Соединенное Королевство).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3" w:rsidRPr="00FE0E63" w:rsidRDefault="008045B5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ECE/MP.PP/2017/19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3" w:rsidRPr="00FE0E63" w:rsidRDefault="008045B5" w:rsidP="00FE0E6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ECE/MP.PP/2017/19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3" w:rsidRDefault="00FE0E63" w:rsidP="00FE0E6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A9"/>
    <w:rsid w:val="00033EE1"/>
    <w:rsid w:val="00034A14"/>
    <w:rsid w:val="00042B72"/>
    <w:rsid w:val="00055297"/>
    <w:rsid w:val="000558BD"/>
    <w:rsid w:val="00076316"/>
    <w:rsid w:val="00080EF1"/>
    <w:rsid w:val="000B57E7"/>
    <w:rsid w:val="000B6373"/>
    <w:rsid w:val="000E4E5B"/>
    <w:rsid w:val="000F09DF"/>
    <w:rsid w:val="000F61B2"/>
    <w:rsid w:val="001075E9"/>
    <w:rsid w:val="0014152F"/>
    <w:rsid w:val="00157A9F"/>
    <w:rsid w:val="00164DC8"/>
    <w:rsid w:val="00180183"/>
    <w:rsid w:val="0018024D"/>
    <w:rsid w:val="0018649F"/>
    <w:rsid w:val="00196389"/>
    <w:rsid w:val="001B3EF6"/>
    <w:rsid w:val="001C7A89"/>
    <w:rsid w:val="00255343"/>
    <w:rsid w:val="0027151D"/>
    <w:rsid w:val="00273431"/>
    <w:rsid w:val="002A2EFC"/>
    <w:rsid w:val="002B0106"/>
    <w:rsid w:val="002B2CF2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BAC"/>
    <w:rsid w:val="00381C24"/>
    <w:rsid w:val="00387CD4"/>
    <w:rsid w:val="003958D0"/>
    <w:rsid w:val="003A0D43"/>
    <w:rsid w:val="003A48CE"/>
    <w:rsid w:val="003B00E5"/>
    <w:rsid w:val="00405850"/>
    <w:rsid w:val="00407B78"/>
    <w:rsid w:val="00424203"/>
    <w:rsid w:val="004272FA"/>
    <w:rsid w:val="00452493"/>
    <w:rsid w:val="00453318"/>
    <w:rsid w:val="00454AF2"/>
    <w:rsid w:val="00454E07"/>
    <w:rsid w:val="00472C5C"/>
    <w:rsid w:val="00477724"/>
    <w:rsid w:val="004C59BE"/>
    <w:rsid w:val="004E05B7"/>
    <w:rsid w:val="0050108D"/>
    <w:rsid w:val="00513081"/>
    <w:rsid w:val="00517901"/>
    <w:rsid w:val="00526683"/>
    <w:rsid w:val="005439E8"/>
    <w:rsid w:val="005639C1"/>
    <w:rsid w:val="005709E0"/>
    <w:rsid w:val="00572E19"/>
    <w:rsid w:val="005961C8"/>
    <w:rsid w:val="005966F1"/>
    <w:rsid w:val="005D7914"/>
    <w:rsid w:val="005E2B41"/>
    <w:rsid w:val="005F0B42"/>
    <w:rsid w:val="00620D45"/>
    <w:rsid w:val="006345DB"/>
    <w:rsid w:val="00640F49"/>
    <w:rsid w:val="00680D03"/>
    <w:rsid w:val="00681A10"/>
    <w:rsid w:val="006843C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0D0F"/>
    <w:rsid w:val="008045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FDD"/>
    <w:rsid w:val="00906890"/>
    <w:rsid w:val="00911BE4"/>
    <w:rsid w:val="00951972"/>
    <w:rsid w:val="009608F3"/>
    <w:rsid w:val="009A24AC"/>
    <w:rsid w:val="009C6FE6"/>
    <w:rsid w:val="009D7E7D"/>
    <w:rsid w:val="009F3939"/>
    <w:rsid w:val="00A001E6"/>
    <w:rsid w:val="00A14DA8"/>
    <w:rsid w:val="00A312BC"/>
    <w:rsid w:val="00A601AA"/>
    <w:rsid w:val="00A84021"/>
    <w:rsid w:val="00A84D35"/>
    <w:rsid w:val="00A917B3"/>
    <w:rsid w:val="00AB4B51"/>
    <w:rsid w:val="00B10CC7"/>
    <w:rsid w:val="00B36DF7"/>
    <w:rsid w:val="00B539E7"/>
    <w:rsid w:val="00B62458"/>
    <w:rsid w:val="00B90752"/>
    <w:rsid w:val="00BB4F12"/>
    <w:rsid w:val="00BC18B2"/>
    <w:rsid w:val="00BD33EE"/>
    <w:rsid w:val="00BE1CC7"/>
    <w:rsid w:val="00BF7E43"/>
    <w:rsid w:val="00C0766C"/>
    <w:rsid w:val="00C106D6"/>
    <w:rsid w:val="00C119AE"/>
    <w:rsid w:val="00C1499B"/>
    <w:rsid w:val="00C60F0C"/>
    <w:rsid w:val="00C62242"/>
    <w:rsid w:val="00C805C9"/>
    <w:rsid w:val="00C92939"/>
    <w:rsid w:val="00CA1679"/>
    <w:rsid w:val="00CB151C"/>
    <w:rsid w:val="00CD2BA9"/>
    <w:rsid w:val="00CE1612"/>
    <w:rsid w:val="00CE5A1A"/>
    <w:rsid w:val="00CF55F6"/>
    <w:rsid w:val="00D33D63"/>
    <w:rsid w:val="00D5253A"/>
    <w:rsid w:val="00D61C41"/>
    <w:rsid w:val="00D90028"/>
    <w:rsid w:val="00D90138"/>
    <w:rsid w:val="00DB4107"/>
    <w:rsid w:val="00DC3B0E"/>
    <w:rsid w:val="00DD78D1"/>
    <w:rsid w:val="00DE32CD"/>
    <w:rsid w:val="00DF5767"/>
    <w:rsid w:val="00DF71B9"/>
    <w:rsid w:val="00DF7232"/>
    <w:rsid w:val="00E12C5F"/>
    <w:rsid w:val="00E73F76"/>
    <w:rsid w:val="00EA2C9F"/>
    <w:rsid w:val="00EA420E"/>
    <w:rsid w:val="00ED0BDA"/>
    <w:rsid w:val="00EE142A"/>
    <w:rsid w:val="00EE28D6"/>
    <w:rsid w:val="00EF1360"/>
    <w:rsid w:val="00EF3220"/>
    <w:rsid w:val="00F2523A"/>
    <w:rsid w:val="00F43903"/>
    <w:rsid w:val="00F94155"/>
    <w:rsid w:val="00F9783F"/>
    <w:rsid w:val="00FD2EF7"/>
    <w:rsid w:val="00FE0E63"/>
    <w:rsid w:val="00FE447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FE0E6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FE0E6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FE0E6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FE0E6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8</TotalTime>
  <Pages>4</Pages>
  <Words>1160</Words>
  <Characters>7762</Characters>
  <Application>Microsoft Office Word</Application>
  <DocSecurity>0</DocSecurity>
  <Lines>161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ECE/MP.PP/2017/19</vt:lpstr>
      <vt:lpstr>A/</vt:lpstr>
    </vt:vector>
  </TitlesOfParts>
  <Company>DCM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ECE/MP.PP/2017/19</dc:title>
  <dc:creator>Ovchinnikova Olga</dc:creator>
  <cp:lastModifiedBy>Ovchinnikova Olga</cp:lastModifiedBy>
  <cp:revision>7</cp:revision>
  <cp:lastPrinted>2017-08-18T15:43:00Z</cp:lastPrinted>
  <dcterms:created xsi:type="dcterms:W3CDTF">2017-08-18T15:28:00Z</dcterms:created>
  <dcterms:modified xsi:type="dcterms:W3CDTF">2017-08-18T15:43:00Z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